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229870</wp:posOffset>
            </wp:positionV>
            <wp:extent cx="1826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2018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001-38313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223520</wp:posOffset>
            </wp:positionV>
            <wp:extent cx="1826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iClick Interactive Asia Group Limited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210820</wp:posOffset>
            </wp:positionV>
            <wp:extent cx="1826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15/F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Prosperity Millennia Plaza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663 King’s Road, Quarry Bay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Hong Kong S.A.R., 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Tel: +852 3700 9000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2715260</wp:posOffset>
            </wp:positionH>
            <wp:positionV relativeFrom="paragraph">
              <wp:posOffset>211455</wp:posOffset>
            </wp:positionV>
            <wp:extent cx="18268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 Form 20-F x Form 40-F o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 (1): o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 (7): 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246620" cy="342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433070</wp:posOffset>
            </wp:positionV>
            <wp:extent cx="7267575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22, 2018, the board of directors of the Registrant approved an increase of 1,500,000 Class A ordinary shares to the award pool under the Post-IPO Share Incentive Plan.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iClick Interactive Asia Group Limited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48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Wing Hong Sammy Hsieh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6480" w:type="dxa"/>
            <w:vAlign w:val="bottom"/>
          </w:tcPr>
          <w:p>
            <w:pPr>
              <w:ind w:left="57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Wing Hong Sammy Hsieh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6480" w:type="dxa"/>
            <w:vAlign w:val="bottom"/>
          </w:tcPr>
          <w:p>
            <w:pPr>
              <w:ind w:left="5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 and Executive Chairman of the Board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24, 2018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480" w:type="dxa"/>
            <w:vAlign w:val="bottom"/>
          </w:tcPr>
          <w:p>
            <w:pPr>
              <w:ind w:left="5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6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544" w:right="199" w:bottom="45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2019-12-08T16:33:06Z</dcterms:created>
  <dcterms:modified xsi:type="dcterms:W3CDTF">2019-12-08T16:33:06Z</dcterms:modified>
</cp:coreProperties>
</file>