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August 2022</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29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 w:type="dxa"/>
            <w:vAlign w:val="bottom"/>
            <w:tcBorders>
              <w:top w:val="single" w:sz="8" w:color="auto"/>
              <w:bottom w:val="single" w:sz="8" w:color="0000EE"/>
            </w:tcBorders>
          </w:tcPr>
          <w:p>
            <w:pPr>
              <w:ind w:left="20"/>
              <w:spacing w:after="0"/>
              <w:rPr>
                <w:sz w:val="20"/>
                <w:szCs w:val="20"/>
                <w:color w:val="auto"/>
              </w:rPr>
            </w:pPr>
            <w:r>
              <w:rPr>
                <w:rFonts w:ascii="Arial" w:cs="Arial" w:eastAsia="Arial" w:hAnsi="Arial"/>
                <w:sz w:val="18"/>
                <w:szCs w:val="18"/>
                <w:color w:val="0000EE"/>
                <w:w w:val="81"/>
              </w:rPr>
              <w:t>Press release</w:t>
            </w:r>
          </w:p>
        </w:tc>
        <w:tc>
          <w:tcPr>
            <w:tcW w:w="906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Zhang</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David Zhang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25,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3416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16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2022 Second-Quarter Unaudited Financial Results</w:t>
      </w:r>
    </w:p>
    <w:p>
      <w:pPr>
        <w:spacing w:after="0" w:line="224" w:lineRule="exact"/>
        <w:rPr>
          <w:sz w:val="20"/>
          <w:szCs w:val="20"/>
          <w:color w:val="auto"/>
        </w:rPr>
      </w:pPr>
    </w:p>
    <w:p>
      <w:pPr>
        <w:ind w:left="2020" w:hanging="116"/>
        <w:spacing w:after="0"/>
        <w:tabs>
          <w:tab w:leader="none" w:pos="202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Enterprise Solutions revenue achieves modest growth despite lockdown measures in China –</w:t>
      </w:r>
    </w:p>
    <w:p>
      <w:pPr>
        <w:spacing w:after="0" w:line="15" w:lineRule="exact"/>
        <w:rPr>
          <w:rFonts w:ascii="Arial" w:cs="Arial" w:eastAsia="Arial" w:hAnsi="Arial"/>
          <w:sz w:val="20"/>
          <w:szCs w:val="20"/>
          <w:i w:val="1"/>
          <w:iCs w:val="1"/>
          <w:color w:val="auto"/>
        </w:rPr>
      </w:pPr>
    </w:p>
    <w:p>
      <w:pPr>
        <w:ind w:left="2980" w:hanging="111"/>
        <w:spacing w:after="0"/>
        <w:tabs>
          <w:tab w:leader="none" w:pos="298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Enterprise Solutions revenue contribution hit a historic high of 36% –</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August 25, 2022 </w:t>
      </w:r>
      <w:r>
        <w:rPr>
          <w:rFonts w:ascii="Arial" w:cs="Arial" w:eastAsia="Arial" w:hAnsi="Arial"/>
          <w:sz w:val="20"/>
          <w:szCs w:val="20"/>
          <w:color w:val="auto"/>
        </w:rPr>
        <w:t>-- iClick Interactive Asia Group Limited (“iClick” or the “Company”) (Nasdaq: ICLK), a leading enterprise</w:t>
      </w:r>
      <w:r>
        <w:rPr>
          <w:rFonts w:ascii="Arial" w:cs="Arial" w:eastAsia="Arial" w:hAnsi="Arial"/>
          <w:sz w:val="20"/>
          <w:szCs w:val="20"/>
          <w:b w:val="1"/>
          <w:bCs w:val="1"/>
          <w:color w:val="auto"/>
        </w:rPr>
        <w:t xml:space="preserve"> </w:t>
      </w:r>
      <w:r>
        <w:rPr>
          <w:rFonts w:ascii="Arial" w:cs="Arial" w:eastAsia="Arial" w:hAnsi="Arial"/>
          <w:sz w:val="20"/>
          <w:szCs w:val="20"/>
          <w:color w:val="auto"/>
        </w:rPr>
        <w:t>and marketing cloud platform in China that empowers worldwide brands with full-stack consumer lifecycle solutions, today announced unaudited financial results for the second quarter ended June 30, 2022.</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260" w:type="dxa"/>
            <w:vAlign w:val="bottom"/>
            <w:tcBorders>
              <w:bottom w:val="single" w:sz="8" w:color="auto"/>
            </w:tcBorders>
            <w:gridSpan w:val="4"/>
          </w:tcPr>
          <w:p>
            <w:pPr>
              <w:ind w:left="1260"/>
              <w:spacing w:after="0"/>
              <w:rPr>
                <w:sz w:val="20"/>
                <w:szCs w:val="20"/>
                <w:color w:val="auto"/>
              </w:rPr>
            </w:pPr>
            <w:r>
              <w:rPr>
                <w:rFonts w:ascii="Arial" w:cs="Arial" w:eastAsia="Arial" w:hAnsi="Arial"/>
                <w:sz w:val="14"/>
                <w:szCs w:val="14"/>
                <w:b w:val="1"/>
                <w:bCs w:val="1"/>
                <w:color w:val="auto"/>
                <w:w w:val="99"/>
              </w:rPr>
              <w:t>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2020" w:type="dxa"/>
            <w:vAlign w:val="bottom"/>
            <w:vMerge w:val="restart"/>
          </w:tcPr>
          <w:p>
            <w:pPr>
              <w:jc w:val="right"/>
              <w:ind w:right="1156"/>
              <w:spacing w:after="0"/>
              <w:rPr>
                <w:sz w:val="20"/>
                <w:szCs w:val="20"/>
                <w:color w:val="auto"/>
              </w:rPr>
            </w:pPr>
            <w:r>
              <w:rPr>
                <w:rFonts w:ascii="Arial" w:cs="Arial" w:eastAsia="Arial" w:hAnsi="Arial"/>
                <w:sz w:val="14"/>
                <w:szCs w:val="14"/>
                <w:b w:val="1"/>
                <w:bCs w:val="1"/>
                <w:color w:val="auto"/>
              </w:rPr>
              <w:t>2022</w:t>
            </w:r>
          </w:p>
        </w:tc>
        <w:tc>
          <w:tcPr>
            <w:tcW w:w="8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0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460" w:type="dxa"/>
            <w:vAlign w:val="bottom"/>
          </w:tcPr>
          <w:p>
            <w:pPr>
              <w:spacing w:after="0"/>
              <w:rPr>
                <w:sz w:val="13"/>
                <w:szCs w:val="13"/>
                <w:color w:val="auto"/>
              </w:rPr>
            </w:pPr>
          </w:p>
        </w:tc>
        <w:tc>
          <w:tcPr>
            <w:tcW w:w="20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i w:val="1"/>
                <w:iCs w:val="1"/>
                <w:color w:val="auto"/>
              </w:rPr>
              <w:t>(US$ in thousands)</w:t>
            </w: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Financial Metrics:</w:t>
            </w:r>
          </w:p>
        </w:tc>
        <w:tc>
          <w:tcPr>
            <w:tcW w:w="2020" w:type="dxa"/>
            <w:vAlign w:val="bottom"/>
          </w:tcPr>
          <w:p>
            <w:pPr>
              <w:jc w:val="right"/>
              <w:ind w:right="156"/>
              <w:spacing w:after="0"/>
              <w:rPr>
                <w:sz w:val="20"/>
                <w:szCs w:val="20"/>
                <w:color w:val="auto"/>
              </w:rPr>
            </w:pPr>
            <w:r>
              <w:rPr>
                <w:rFonts w:ascii="Arial" w:cs="Arial" w:eastAsia="Arial" w:hAnsi="Arial"/>
                <w:sz w:val="14"/>
                <w:szCs w:val="14"/>
                <w:i w:val="1"/>
                <w:iCs w:val="1"/>
                <w:color w:val="auto"/>
              </w:rPr>
              <w:t>(Unaudited)</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46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Revenue</w:t>
            </w:r>
          </w:p>
        </w:tc>
        <w:tc>
          <w:tcPr>
            <w:tcW w:w="2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24,264</w:t>
            </w:r>
          </w:p>
        </w:tc>
        <w:tc>
          <w:tcPr>
            <w:tcW w:w="820" w:type="dxa"/>
            <w:vAlign w:val="bottom"/>
          </w:tcPr>
          <w:p>
            <w:pPr>
              <w:jc w:val="right"/>
              <w:spacing w:after="0"/>
              <w:rPr>
                <w:sz w:val="20"/>
                <w:szCs w:val="20"/>
                <w:color w:val="auto"/>
              </w:rPr>
            </w:pPr>
            <w:r>
              <w:rPr>
                <w:rFonts w:ascii="Arial" w:cs="Arial" w:eastAsia="Arial" w:hAnsi="Arial"/>
                <w:sz w:val="18"/>
                <w:szCs w:val="18"/>
                <w:color w:val="auto"/>
              </w:rPr>
              <w:t>64,610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13,814</w:t>
            </w:r>
          </w:p>
        </w:tc>
        <w:tc>
          <w:tcPr>
            <w:tcW w:w="820" w:type="dxa"/>
            <w:vAlign w:val="bottom"/>
          </w:tcPr>
          <w:p>
            <w:pPr>
              <w:jc w:val="right"/>
              <w:spacing w:after="0"/>
              <w:rPr>
                <w:sz w:val="20"/>
                <w:szCs w:val="20"/>
                <w:color w:val="auto"/>
              </w:rPr>
            </w:pPr>
            <w:r>
              <w:rPr>
                <w:rFonts w:ascii="Arial" w:cs="Arial" w:eastAsia="Arial" w:hAnsi="Arial"/>
                <w:sz w:val="18"/>
                <w:szCs w:val="18"/>
                <w:color w:val="auto"/>
              </w:rPr>
              <w:t>13,392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Total revenue</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38,078</w:t>
            </w:r>
          </w:p>
        </w:tc>
        <w:tc>
          <w:tcPr>
            <w:tcW w:w="820" w:type="dxa"/>
            <w:vAlign w:val="bottom"/>
          </w:tcPr>
          <w:p>
            <w:pPr>
              <w:jc w:val="right"/>
              <w:spacing w:after="0"/>
              <w:rPr>
                <w:sz w:val="20"/>
                <w:szCs w:val="20"/>
                <w:color w:val="auto"/>
              </w:rPr>
            </w:pPr>
            <w:r>
              <w:rPr>
                <w:rFonts w:ascii="Arial" w:cs="Arial" w:eastAsia="Arial" w:hAnsi="Arial"/>
                <w:sz w:val="18"/>
                <w:szCs w:val="18"/>
                <w:color w:val="auto"/>
              </w:rPr>
              <w:t>78,002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profit</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9,255</w:t>
            </w:r>
          </w:p>
        </w:tc>
        <w:tc>
          <w:tcPr>
            <w:tcW w:w="820" w:type="dxa"/>
            <w:vAlign w:val="bottom"/>
          </w:tcPr>
          <w:p>
            <w:pPr>
              <w:jc w:val="right"/>
              <w:spacing w:after="0"/>
              <w:rPr>
                <w:sz w:val="20"/>
                <w:szCs w:val="20"/>
                <w:color w:val="auto"/>
              </w:rPr>
            </w:pPr>
            <w:r>
              <w:rPr>
                <w:rFonts w:ascii="Arial" w:cs="Arial" w:eastAsia="Arial" w:hAnsi="Arial"/>
                <w:sz w:val="18"/>
                <w:szCs w:val="18"/>
                <w:color w:val="auto"/>
              </w:rPr>
              <w:t>24,337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Net (loss)/income</w:t>
            </w:r>
          </w:p>
        </w:tc>
        <w:tc>
          <w:tcPr>
            <w:tcW w:w="2020" w:type="dxa"/>
            <w:vAlign w:val="bottom"/>
          </w:tcPr>
          <w:p>
            <w:pPr>
              <w:jc w:val="right"/>
              <w:ind w:right="576"/>
              <w:spacing w:after="0"/>
              <w:rPr>
                <w:sz w:val="20"/>
                <w:szCs w:val="20"/>
                <w:color w:val="auto"/>
              </w:rPr>
            </w:pPr>
            <w:r>
              <w:rPr>
                <w:rFonts w:ascii="Arial" w:cs="Arial" w:eastAsia="Arial" w:hAnsi="Arial"/>
                <w:sz w:val="18"/>
                <w:szCs w:val="18"/>
                <w:color w:val="auto"/>
              </w:rPr>
              <w:t>(45,776)</w:t>
            </w:r>
          </w:p>
        </w:tc>
        <w:tc>
          <w:tcPr>
            <w:tcW w:w="820" w:type="dxa"/>
            <w:vAlign w:val="bottom"/>
          </w:tcPr>
          <w:p>
            <w:pPr>
              <w:jc w:val="right"/>
              <w:spacing w:after="0"/>
              <w:rPr>
                <w:sz w:val="20"/>
                <w:szCs w:val="20"/>
                <w:color w:val="auto"/>
              </w:rPr>
            </w:pPr>
            <w:r>
              <w:rPr>
                <w:rFonts w:ascii="Arial" w:cs="Arial" w:eastAsia="Arial" w:hAnsi="Arial"/>
                <w:sz w:val="18"/>
                <w:szCs w:val="18"/>
                <w:color w:val="auto"/>
              </w:rPr>
              <w:t>597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2020" w:type="dxa"/>
            <w:vAlign w:val="bottom"/>
          </w:tcPr>
          <w:p>
            <w:pPr>
              <w:jc w:val="right"/>
              <w:ind w:right="576"/>
              <w:spacing w:after="0"/>
              <w:rPr>
                <w:sz w:val="20"/>
                <w:szCs w:val="20"/>
                <w:color w:val="auto"/>
              </w:rPr>
            </w:pPr>
            <w:r>
              <w:rPr>
                <w:rFonts w:ascii="Arial" w:cs="Arial" w:eastAsia="Arial" w:hAnsi="Arial"/>
                <w:sz w:val="18"/>
                <w:szCs w:val="18"/>
                <w:color w:val="auto"/>
              </w:rPr>
              <w:t>(13,172)</w:t>
            </w:r>
          </w:p>
        </w:tc>
        <w:tc>
          <w:tcPr>
            <w:tcW w:w="820" w:type="dxa"/>
            <w:vAlign w:val="bottom"/>
          </w:tcPr>
          <w:p>
            <w:pPr>
              <w:jc w:val="right"/>
              <w:spacing w:after="0"/>
              <w:rPr>
                <w:sz w:val="20"/>
                <w:szCs w:val="20"/>
                <w:color w:val="auto"/>
              </w:rPr>
            </w:pPr>
            <w:r>
              <w:rPr>
                <w:rFonts w:ascii="Arial" w:cs="Arial" w:eastAsia="Arial" w:hAnsi="Arial"/>
                <w:sz w:val="18"/>
                <w:szCs w:val="18"/>
                <w:color w:val="auto"/>
              </w:rPr>
              <w:t>6,137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net (loss)/income</w:t>
            </w:r>
            <w:r>
              <w:rPr>
                <w:rFonts w:ascii="Arial" w:cs="Arial" w:eastAsia="Arial" w:hAnsi="Arial"/>
                <w:sz w:val="15"/>
                <w:szCs w:val="15"/>
                <w:color w:val="auto"/>
              </w:rPr>
              <w:t>1</w:t>
            </w:r>
          </w:p>
        </w:tc>
        <w:tc>
          <w:tcPr>
            <w:tcW w:w="2020" w:type="dxa"/>
            <w:vAlign w:val="bottom"/>
          </w:tcPr>
          <w:p>
            <w:pPr>
              <w:jc w:val="right"/>
              <w:ind w:right="576"/>
              <w:spacing w:after="0"/>
              <w:rPr>
                <w:sz w:val="20"/>
                <w:szCs w:val="20"/>
                <w:color w:val="auto"/>
              </w:rPr>
            </w:pPr>
            <w:r>
              <w:rPr>
                <w:rFonts w:ascii="Arial" w:cs="Arial" w:eastAsia="Arial" w:hAnsi="Arial"/>
                <w:sz w:val="18"/>
                <w:szCs w:val="18"/>
                <w:color w:val="auto"/>
              </w:rPr>
              <w:t>(15,024)</w:t>
            </w:r>
          </w:p>
        </w:tc>
        <w:tc>
          <w:tcPr>
            <w:tcW w:w="820" w:type="dxa"/>
            <w:vAlign w:val="bottom"/>
          </w:tcPr>
          <w:p>
            <w:pPr>
              <w:jc w:val="right"/>
              <w:spacing w:after="0"/>
              <w:rPr>
                <w:sz w:val="20"/>
                <w:szCs w:val="20"/>
                <w:color w:val="auto"/>
              </w:rPr>
            </w:pPr>
            <w:r>
              <w:rPr>
                <w:rFonts w:ascii="Arial" w:cs="Arial" w:eastAsia="Arial" w:hAnsi="Arial"/>
                <w:sz w:val="18"/>
                <w:szCs w:val="18"/>
                <w:color w:val="auto"/>
              </w:rPr>
              <w:t>2,587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8"/>
                <w:szCs w:val="18"/>
                <w:color w:val="auto"/>
              </w:rPr>
              <w:t>Diluted adjusted net (loss)/income per ADS</w:t>
            </w:r>
            <w:r>
              <w:rPr>
                <w:rFonts w:ascii="Arial" w:cs="Arial" w:eastAsia="Arial" w:hAnsi="Arial"/>
                <w:sz w:val="15"/>
                <w:szCs w:val="15"/>
                <w:color w:val="auto"/>
              </w:rPr>
              <w:t>1</w:t>
            </w:r>
          </w:p>
        </w:tc>
        <w:tc>
          <w:tcPr>
            <w:tcW w:w="2020" w:type="dxa"/>
            <w:vAlign w:val="bottom"/>
          </w:tcPr>
          <w:p>
            <w:pPr>
              <w:jc w:val="right"/>
              <w:ind w:right="576"/>
              <w:spacing w:after="0"/>
              <w:rPr>
                <w:sz w:val="20"/>
                <w:szCs w:val="20"/>
                <w:color w:val="auto"/>
              </w:rPr>
            </w:pPr>
            <w:r>
              <w:rPr>
                <w:rFonts w:ascii="Arial" w:cs="Arial" w:eastAsia="Arial" w:hAnsi="Arial"/>
                <w:sz w:val="18"/>
                <w:szCs w:val="18"/>
                <w:color w:val="auto"/>
              </w:rPr>
              <w:t>(0.15)</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3"/>
        </w:trPr>
        <w:tc>
          <w:tcPr>
            <w:tcW w:w="646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2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billing</w:t>
            </w:r>
          </w:p>
        </w:tc>
        <w:tc>
          <w:tcPr>
            <w:tcW w:w="2020" w:type="dxa"/>
            <w:vAlign w:val="bottom"/>
          </w:tcPr>
          <w:p>
            <w:pPr>
              <w:jc w:val="right"/>
              <w:ind w:right="656"/>
              <w:spacing w:after="0"/>
              <w:rPr>
                <w:sz w:val="20"/>
                <w:szCs w:val="20"/>
                <w:color w:val="auto"/>
              </w:rPr>
            </w:pPr>
            <w:r>
              <w:rPr>
                <w:rFonts w:ascii="Arial" w:cs="Arial" w:eastAsia="Arial" w:hAnsi="Arial"/>
                <w:sz w:val="18"/>
                <w:szCs w:val="18"/>
                <w:color w:val="auto"/>
              </w:rPr>
              <w:t>58,134</w:t>
            </w:r>
          </w:p>
        </w:tc>
        <w:tc>
          <w:tcPr>
            <w:tcW w:w="820" w:type="dxa"/>
            <w:vAlign w:val="bottom"/>
          </w:tcPr>
          <w:p>
            <w:pPr>
              <w:jc w:val="right"/>
              <w:spacing w:after="0"/>
              <w:rPr>
                <w:sz w:val="20"/>
                <w:szCs w:val="20"/>
                <w:color w:val="auto"/>
              </w:rPr>
            </w:pPr>
            <w:r>
              <w:rPr>
                <w:rFonts w:ascii="Arial" w:cs="Arial" w:eastAsia="Arial" w:hAnsi="Arial"/>
                <w:sz w:val="18"/>
                <w:szCs w:val="18"/>
                <w:color w:val="auto"/>
              </w:rPr>
              <w:t>194,193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Jian “T.J.” Tang, Chairman, Chief Executive Officer and Co-Founder of iClick, said, “In order to effectively combat the latest resurgence of the COVID-19 pandemic, various regions in China were operating under restrictive measures or in lockdown during the second quarter of 2022, which inevitably had an adverse impact on our performance. Conjunctively, the unpredictable macro environment continued to drive conservatism on advertising spending and promotional activities. As a result, the Company’s total revenue declined by 51% year-on-year, primarily as a result of a 62% year-on-year decrease in our Marketing Solutions revenue, and recorded a goodwill impairment of US$24.9 million in the second quarter of 2022 for its Marketing Solutions reporting unit, both of which contributed to the net loss for the quarter.</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On a positive note, the Company achieved the modest growth in Enterprise Solutions revenue, which accounted for a historically high 36% of total revenue for the second quarter of 2022, despite the lockdown restricting the implementation of our go-to-market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204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44" w:lineRule="auto"/>
        <w:rPr>
          <w:sz w:val="20"/>
          <w:szCs w:val="20"/>
          <w:color w:val="auto"/>
        </w:rPr>
      </w:pPr>
      <w:r>
        <w:rPr>
          <w:rFonts w:ascii="Arial" w:cs="Arial" w:eastAsia="Arial" w:hAnsi="Arial"/>
          <w:sz w:val="20"/>
          <w:szCs w:val="20"/>
          <w:color w:val="auto"/>
        </w:rPr>
        <w:t>Looking to the future, we believe our value proposition to top-tier brand clients remains intact, and we expect better performance once overall market sentiment and client operations recover. We believe our strategic wind-down of the Marketing Solutions business will enable the Company to better align its resources to continue investing in Enterprise Solutions. With the backdrop of the digital transformation trend in China, we also expect to further develop our SaaS+X business model, with the aim of driving long-term growth and enlarging our overall market share.”</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Results:</w:t>
      </w:r>
    </w:p>
    <w:p>
      <w:pPr>
        <w:spacing w:after="0" w:line="216"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second quarter of 2022 was US$38.1 million, compared with US$78.0 million for the second quarter of 2021, mainly due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decrease in revenue from Marketing Solutions, which was partially offset by the slight increase in revenue from Enterprise Solutions.</w:t>
      </w:r>
    </w:p>
    <w:p>
      <w:pPr>
        <w:spacing w:after="0" w:line="15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declined to US$24.3 million for the second quarter of 2022, compared with US$64.6 million for the</w:t>
      </w:r>
      <w:r>
        <w:rPr>
          <w:rFonts w:ascii="Arial" w:cs="Arial" w:eastAsia="Arial" w:hAnsi="Arial"/>
          <w:sz w:val="20"/>
          <w:szCs w:val="20"/>
          <w:i w:val="1"/>
          <w:iCs w:val="1"/>
          <w:color w:val="auto"/>
        </w:rPr>
        <w:t xml:space="preserve"> </w:t>
      </w:r>
      <w:r>
        <w:rPr>
          <w:rFonts w:ascii="Arial" w:cs="Arial" w:eastAsia="Arial" w:hAnsi="Arial"/>
          <w:sz w:val="20"/>
          <w:szCs w:val="20"/>
          <w:color w:val="auto"/>
        </w:rPr>
        <w:t>second quarter of 2021, primarily because we strategically reduced lower margin and higher risk businesses within the Marketing Solutions segment. The decline in revenue from Marketing Solutions was also due to the tightened regulation targeting certain industries in which our clients operate, which led to a broad-based advertising market slowdown in China, and the strict anti-pandemic measures implemented in China.</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Enterprise Solutions </w:t>
      </w:r>
      <w:r>
        <w:rPr>
          <w:rFonts w:ascii="Arial" w:cs="Arial" w:eastAsia="Arial" w:hAnsi="Arial"/>
          <w:sz w:val="20"/>
          <w:szCs w:val="20"/>
          <w:color w:val="auto"/>
        </w:rPr>
        <w:t>slightly grew to US$13.8 million for the second quarter of 2022, from US$13.4 million for the second</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2021.</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second quarter of 2022 was US$9.3 million, compared with US$24.3 million for the second quarter of 2021, mainly due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decline in Marketing Solutions segment. Gross profit margin decreased to 24.3% for the second quarter of 2022 from 31.2% for the second quarter of 2021, primarily as a result of the slowdown of broad-based advertising market in China, and the strict anti-pandemic measures implemented in China.</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US$26.8 million for the second quarter of 2022, compared with US$23.4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2021, primarily due to an additional expected credit loss provision, as a result of the volatile business environment with resurgence of COVID-19 and lockdown conditions.</w:t>
      </w:r>
    </w:p>
    <w:p>
      <w:pPr>
        <w:spacing w:after="0" w:line="204"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b w:val="1"/>
          <w:bCs w:val="1"/>
          <w:color w:val="auto"/>
        </w:rPr>
        <w:t xml:space="preserve">Operating loss </w:t>
      </w:r>
      <w:r>
        <w:rPr>
          <w:rFonts w:ascii="Arial" w:cs="Arial" w:eastAsia="Arial" w:hAnsi="Arial"/>
          <w:sz w:val="19"/>
          <w:szCs w:val="19"/>
          <w:color w:val="auto"/>
        </w:rPr>
        <w:t>was US$17.5 million for the second quarter of 2022, compared with an operating income of US$0.9 million for the second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2021. This decline was as a result of the decrease in gross profit and an additional expected credit loss provision.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Goodwill impairment </w:t>
      </w:r>
      <w:r>
        <w:rPr>
          <w:rFonts w:ascii="Arial" w:cs="Arial" w:eastAsia="Arial" w:hAnsi="Arial"/>
          <w:sz w:val="20"/>
          <w:szCs w:val="20"/>
          <w:color w:val="auto"/>
        </w:rPr>
        <w:t>of US$24.9 million was recorded in the second quarter of 2022 for Marketing Solutions reporting unit, primarily due</w:t>
      </w:r>
      <w:r>
        <w:rPr>
          <w:rFonts w:ascii="Arial" w:cs="Arial" w:eastAsia="Arial" w:hAnsi="Arial"/>
          <w:sz w:val="20"/>
          <w:szCs w:val="20"/>
          <w:b w:val="1"/>
          <w:bCs w:val="1"/>
          <w:color w:val="auto"/>
        </w:rPr>
        <w:t xml:space="preserve"> </w:t>
      </w:r>
      <w:r>
        <w:rPr>
          <w:rFonts w:ascii="Arial" w:cs="Arial" w:eastAsia="Arial" w:hAnsi="Arial"/>
          <w:sz w:val="20"/>
          <w:szCs w:val="20"/>
          <w:color w:val="auto"/>
        </w:rPr>
        <w:t>to the volatile digital advertising industry, which resulted in a shortfall between the carrying value and the estimated fair value of this reporting unit as of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totalled US$45.8 million for the second quarter of 2022, compared with net income of US$0.6 million for the second quarter of</w:t>
      </w:r>
      <w:r>
        <w:rPr>
          <w:rFonts w:ascii="Arial" w:cs="Arial" w:eastAsia="Arial" w:hAnsi="Arial"/>
          <w:sz w:val="19"/>
          <w:szCs w:val="19"/>
          <w:b w:val="1"/>
          <w:bCs w:val="1"/>
          <w:color w:val="auto"/>
        </w:rPr>
        <w:t xml:space="preserve"> </w:t>
      </w:r>
      <w:r>
        <w:rPr>
          <w:rFonts w:ascii="Arial" w:cs="Arial" w:eastAsia="Arial" w:hAnsi="Arial"/>
          <w:sz w:val="19"/>
          <w:szCs w:val="19"/>
          <w:color w:val="auto"/>
        </w:rPr>
        <w:t>2021, primarily due to the goodwill impairment incurred, decrease in gross profit and an additional expected credit loss provision.</w:t>
      </w:r>
    </w:p>
    <w:p>
      <w:pPr>
        <w:spacing w:after="0" w:line="175"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Net loss attributable to the Company’s shareholders per basic and diluted ADS for the second quarter of 2022 were US$0.45, compared with a net income attributable to the Company’s shareholders per basic and diluted ADS of US$0.02 for the second quarter of 2021.</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second quarter of 2022 was a loss of US$13.2 million, compared with earnings of US$6.1 million for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of 2021. For a reconciliation of the Company’s adjusted EBITDA from net (loss)/income, its most comparable GAAP measure, please refer to “Unaudited Reconciliations of GAAP and Non-GAAP Results.”</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loss </w:t>
      </w:r>
      <w:r>
        <w:rPr>
          <w:rFonts w:ascii="Arial" w:cs="Arial" w:eastAsia="Arial" w:hAnsi="Arial"/>
          <w:sz w:val="20"/>
          <w:szCs w:val="20"/>
          <w:color w:val="auto"/>
        </w:rPr>
        <w:t>for the second quarter of 2022 was US$15.0 million, compared with an adjusted net income of US $2.6 million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2021. For a reconciliation of the Company’s adjusted net (loss)/income from net (loss)/income, its most comparable GAAP measure, please refer to “Unaudited Reconciliations of GAAP and Non-GAAP Results.”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was US$58.1 million for the second quarter of 2022, compared with US$194.2 million for the second quarter of 2021,</w:t>
      </w:r>
      <w:r>
        <w:rPr>
          <w:rFonts w:ascii="Arial" w:cs="Arial" w:eastAsia="Arial" w:hAnsi="Arial"/>
          <w:sz w:val="20"/>
          <w:szCs w:val="20"/>
          <w:b w:val="1"/>
          <w:bCs w:val="1"/>
          <w:color w:val="auto"/>
        </w:rPr>
        <w:t xml:space="preserve"> </w:t>
      </w:r>
      <w:r>
        <w:rPr>
          <w:rFonts w:ascii="Arial" w:cs="Arial" w:eastAsia="Arial" w:hAnsi="Arial"/>
          <w:sz w:val="20"/>
          <w:szCs w:val="20"/>
          <w:color w:val="auto"/>
        </w:rPr>
        <w:t>primarily as a result of the decline in gross billing from Marketing Solutions segment.</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June 30, 2022, the Company had cash and cash equivalents, time deposits and restricted cash of US$83.5 million, compared with US$88.7 million as of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December 22, 2021, the Company announced a share repurchase program in which it may purchase its own ADSs with an aggregate value of up to US$20.0 million from January 1, 2022 to December 31, 2022. As of June 30, 2022, the aggregate value of purchased shares was approximately US$7.2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2040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Conference Call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host an earnings conference call at 8:00 AM U.S. Eastern Time on August 25, 2022 (8:00 PM Beijing/Hong Kong time 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August 25, 2022). Participants may join the call through either of the below methods:</w:t>
      </w:r>
    </w:p>
    <w:p>
      <w:pPr>
        <w:spacing w:after="0" w:line="194" w:lineRule="exact"/>
        <w:rPr>
          <w:sz w:val="20"/>
          <w:szCs w:val="20"/>
          <w:color w:val="auto"/>
        </w:rPr>
      </w:pPr>
    </w:p>
    <w:p>
      <w:pPr>
        <w:ind w:left="800" w:hanging="792"/>
        <w:spacing w:after="0"/>
        <w:tabs>
          <w:tab w:leader="none" w:pos="80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Dial-in to the conference call</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are asked to pre-register for the call via the following link: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https://s1.c-conf.com/diamondpass/10024435-adsk322.html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Upon registering, participants will be provided with dial-in numbers, Passcode and unique access PIN.</w:t>
      </w:r>
    </w:p>
    <w:p>
      <w:pPr>
        <w:spacing w:after="0" w:line="210" w:lineRule="exact"/>
        <w:rPr>
          <w:sz w:val="20"/>
          <w:szCs w:val="20"/>
          <w:color w:val="auto"/>
        </w:rPr>
      </w:pPr>
    </w:p>
    <w:p>
      <w:pPr>
        <w:ind w:left="800" w:hanging="792"/>
        <w:spacing w:after="0"/>
        <w:tabs>
          <w:tab w:leader="none" w:pos="80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Webcast</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may also join a live and archived webcast of the call through the below link: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https://edge.media-server.com/mmc/p/qfzgn6e5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live and archived webcast of the conference call will be available on iClick’s investor relations website at </w:t>
      </w:r>
      <w:r>
        <w:rPr>
          <w:rFonts w:ascii="Arial" w:cs="Arial" w:eastAsia="Arial" w:hAnsi="Arial"/>
          <w:sz w:val="20"/>
          <w:szCs w:val="20"/>
          <w:u w:val="single" w:color="auto"/>
          <w:color w:val="auto"/>
        </w:rPr>
        <w:t>https://ir.i-click.com</w:t>
      </w:r>
      <w:r>
        <w:rPr>
          <w:rFonts w:ascii="Arial" w:cs="Arial" w:eastAsia="Arial" w:hAnsi="Arial"/>
          <w:sz w:val="20"/>
          <w:szCs w:val="20"/>
          <w:color w:val="auto"/>
        </w:rPr>
        <w:t>.</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webcast replay of the call will be available approximately two hours after the end of the call through August 25, 2023. The webcast replay can be accessed through the above link.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w:t>
      </w:r>
      <w:r>
        <w:rPr>
          <w:rFonts w:ascii="Arial" w:cs="Arial" w:eastAsia="Arial" w:hAnsi="Arial"/>
          <w:sz w:val="20"/>
          <w:szCs w:val="20"/>
          <w:u w:val="single" w:color="auto"/>
          <w:color w:val="auto"/>
        </w:rPr>
        <w:t>https://ir.i-click.com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uses adjusted EBITDA, adjusted net (loss)/income, and diluted adjusted net (loss)/income per ADS, each a non-GAAP financial measure, in evaluating the Company’s operating results and for financial and operational decision-making purposes. The Company believes that adjusted EBITDA, adjusted net (loss)/income, and diluted adjusted net (loss)/income per ADS help identify underlying trends in the Company’s business that could otherwise be distorted by the effect of the expenses and gains that the Company includes in net (loss)/income. The Company believes that adjusted EBITDA and adjusted net (loss)/income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(loss)/income, and diluted adjusted net (loss)/income per ADS should not be considered in isolation or construed as an alternative to net (loss)/income or any other measure of performance or as an indicator of the Company’s operating performance. Investors are encouraged to review the historical non-GAAP financial measures to the most directly comparable GAAP measures. Adjusted EBITDA, adjusted net (loss)/income, and diluted adjusted net (loss)/income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341630</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Safe Harbor Statement</w:t>
      </w:r>
    </w:p>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5"/>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Tom Caden</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Phone: +86-21-3230-3931 #866</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tomc@coreir.com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9" w:name="page10"/>
    <w:bookmarkEnd w:id="9"/>
    <w:p>
      <w:pPr>
        <w:jc w:val="center"/>
        <w:ind w:right="20"/>
        <w:spacing w:after="0" w:line="252"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Statements of Comprehensive (Loss)/Income </w:t>
      </w:r>
      <w:r>
        <w:rPr>
          <w:rFonts w:ascii="Arial" w:cs="Arial" w:eastAsia="Arial" w:hAnsi="Arial"/>
          <w:sz w:val="20"/>
          <w:szCs w:val="20"/>
          <w:color w:val="auto"/>
        </w:rPr>
        <w:t>(US$’000, except share data and per share data, or otherwise noted,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852"/>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78,002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85,454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(28,823)</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(53,665)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(60,203)</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(100,677)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9,255</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(2,164)</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(2,386)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(4,418)</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(10,685)</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(12,354)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(22,569)</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(29,558)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(13,911)</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(8,698)</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(25,344)</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(23,438)</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(52,331)</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(loss)/income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(17,505)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(1,236)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Goodwill impairment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(24,945)</w:t>
            </w: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(24,945)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(losses)/gains, net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(2,998)</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1,662</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(Loss)/income before income tax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(45,787)</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(54,822)</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(820)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(loss)/income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(45,776)</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(55,063)</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40" w:type="dxa"/>
            <w:vAlign w:val="bottom"/>
          </w:tcPr>
          <w:p>
            <w:pPr>
              <w:spacing w:after="0" w:line="205" w:lineRule="exact"/>
              <w:rPr>
                <w:sz w:val="20"/>
                <w:szCs w:val="20"/>
                <w:color w:val="auto"/>
              </w:rPr>
            </w:pPr>
            <w:r>
              <w:rPr>
                <w:rFonts w:ascii="Arial" w:cs="Arial" w:eastAsia="Arial" w:hAnsi="Arial"/>
                <w:sz w:val="18"/>
                <w:szCs w:val="18"/>
                <w:b w:val="1"/>
                <w:bCs w:val="1"/>
                <w:color w:val="auto"/>
              </w:rPr>
              <w:t>Net (loss)/income attributable to iClick Interactive Asia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(45,064)</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1,765</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(53,682)</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(loss)/income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(45,776)</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(55,063)</w:t>
            </w: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comprehensive (loss)/income: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(2,949)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1,339</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(2,908)</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(loss)/income</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840" w:type="dxa"/>
            <w:vAlign w:val="bottom"/>
            <w:vMerge w:val="continue"/>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(48,725)</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1,936</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(57,971)</w:t>
            </w: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(loss)/income attributable to iClick</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(47,961)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(56,538)</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 per ADS attributable to iClick</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Interactive Asia Group Limited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(0.45)</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(0.54)</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100,348,946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96,262,253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99,845,054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95,321,164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100,348,946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101,861,423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99,845,054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95,321,164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Condensed Consolidated Balance Sheets </w:t>
      </w:r>
      <w:r>
        <w:rPr>
          <w:rFonts w:ascii="Arial" w:cs="Arial" w:eastAsia="Arial" w:hAnsi="Arial"/>
          <w:sz w:val="20"/>
          <w:szCs w:val="20"/>
          <w:color w:val="auto"/>
        </w:rPr>
        <w:t>(US$’000, except share data and per share data, or otherwise noted, 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84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As of</w:t>
            </w: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 2022</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Cash and cash equivalents, time deposits and restricted cash</w:t>
            </w:r>
          </w:p>
        </w:tc>
        <w:tc>
          <w:tcPr>
            <w:tcW w:w="1560" w:type="dxa"/>
            <w:vAlign w:val="bottom"/>
          </w:tcPr>
          <w:p>
            <w:pPr>
              <w:jc w:val="right"/>
              <w:spacing w:after="0"/>
              <w:rPr>
                <w:sz w:val="20"/>
                <w:szCs w:val="20"/>
                <w:color w:val="auto"/>
              </w:rPr>
            </w:pPr>
            <w:r>
              <w:rPr>
                <w:rFonts w:ascii="Arial" w:cs="Arial" w:eastAsia="Arial" w:hAnsi="Arial"/>
                <w:sz w:val="18"/>
                <w:szCs w:val="18"/>
                <w:color w:val="auto"/>
              </w:rPr>
              <w:t>83,498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receivables of US$32,495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US$22,786 as of June 30, 2022 and December 31, 2021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93,336</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187,261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68,350</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245,184</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560" w:type="dxa"/>
            <w:vAlign w:val="bottom"/>
          </w:tcPr>
          <w:p>
            <w:pPr>
              <w:jc w:val="right"/>
              <w:spacing w:after="0"/>
              <w:rPr>
                <w:sz w:val="20"/>
                <w:szCs w:val="20"/>
                <w:color w:val="auto"/>
              </w:rPr>
            </w:pPr>
            <w:r>
              <w:rPr>
                <w:rFonts w:ascii="Arial" w:cs="Arial" w:eastAsia="Arial" w:hAnsi="Arial"/>
                <w:sz w:val="18"/>
                <w:szCs w:val="18"/>
                <w:color w:val="auto"/>
              </w:rPr>
              <w:t>55,818</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81,674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560" w:type="dxa"/>
            <w:vAlign w:val="bottom"/>
          </w:tcPr>
          <w:p>
            <w:pPr>
              <w:jc w:val="right"/>
              <w:spacing w:after="0"/>
              <w:rPr>
                <w:sz w:val="20"/>
                <w:szCs w:val="20"/>
                <w:color w:val="auto"/>
              </w:rPr>
            </w:pPr>
            <w:r>
              <w:rPr>
                <w:rFonts w:ascii="Arial" w:cs="Arial" w:eastAsia="Arial" w:hAnsi="Arial"/>
                <w:sz w:val="18"/>
                <w:szCs w:val="18"/>
                <w:color w:val="auto"/>
              </w:rPr>
              <w:t>52,134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53,713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36,294</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144,246</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389,430</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7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560" w:type="dxa"/>
            <w:vAlign w:val="bottom"/>
          </w:tcPr>
          <w:p>
            <w:pPr>
              <w:jc w:val="right"/>
              <w:spacing w:after="0"/>
              <w:rPr>
                <w:sz w:val="20"/>
                <w:szCs w:val="20"/>
                <w:color w:val="auto"/>
              </w:rPr>
            </w:pPr>
            <w:r>
              <w:rPr>
                <w:rFonts w:ascii="Arial" w:cs="Arial" w:eastAsia="Arial" w:hAnsi="Arial"/>
                <w:sz w:val="18"/>
                <w:szCs w:val="18"/>
                <w:color w:val="auto"/>
              </w:rPr>
              <w:t>41,286</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66,587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1560" w:type="dxa"/>
            <w:vAlign w:val="bottom"/>
          </w:tcPr>
          <w:p>
            <w:pPr>
              <w:jc w:val="right"/>
              <w:spacing w:after="0"/>
              <w:rPr>
                <w:sz w:val="20"/>
                <w:szCs w:val="20"/>
                <w:color w:val="auto"/>
              </w:rPr>
            </w:pPr>
            <w:r>
              <w:rPr>
                <w:rFonts w:ascii="Arial" w:cs="Arial" w:eastAsia="Arial" w:hAnsi="Arial"/>
                <w:sz w:val="18"/>
                <w:szCs w:val="18"/>
                <w:color w:val="auto"/>
              </w:rPr>
              <w:t>45,133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58,815</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145,234</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159,773</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A (US$0.001 par value; 80,000,000 shares authorized as of</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June 30, 2022 and December 31, 2021, respectively; 43,315,658 shares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42,865,515 shares issued and outstanding as of June 30, 2022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2021,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Ordinary shares – Class B (US$0.001 par value; 20,000,000 shares authorized as of</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June 30, 2022 and December 31, 2021, respectively; 5,034,427 shares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as of June 30, 2022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2021, respectively)</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Treasury shares (5,141,980 shares and 2,323,802 shares as of June 30, 2022 and</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40"/>
              <w:spacing w:after="0"/>
              <w:rPr>
                <w:sz w:val="20"/>
                <w:szCs w:val="20"/>
                <w:color w:val="auto"/>
              </w:rPr>
            </w:pPr>
            <w:r>
              <w:rPr>
                <w:rFonts w:ascii="Arial" w:cs="Arial" w:eastAsia="Arial" w:hAnsi="Arial"/>
                <w:sz w:val="18"/>
                <w:szCs w:val="18"/>
                <w:color w:val="auto"/>
              </w:rPr>
              <w:t>December 31, 2021, respectively)</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(28,059)</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(20,908)</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251,865</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1560" w:type="dxa"/>
            <w:vAlign w:val="bottom"/>
          </w:tcPr>
          <w:p>
            <w:pPr>
              <w:jc w:val="right"/>
              <w:spacing w:after="0"/>
              <w:rPr>
                <w:sz w:val="20"/>
                <w:szCs w:val="20"/>
                <w:color w:val="auto"/>
              </w:rPr>
            </w:pPr>
            <w:r>
              <w:rPr>
                <w:rFonts w:ascii="Arial" w:cs="Arial" w:eastAsia="Arial" w:hAnsi="Arial"/>
                <w:sz w:val="18"/>
                <w:szCs w:val="18"/>
                <w:color w:val="auto"/>
              </w:rPr>
              <w:t>223,854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284,352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28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229,657</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720" w:type="dxa"/>
            <w:vAlign w:val="bottom"/>
            <w:gridSpan w:val="2"/>
            <w:vMerge w:val="continue"/>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389,430</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22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9A9A9A"/>
            </w:tcBorders>
          </w:tcPr>
          <w:p>
            <w:pPr>
              <w:spacing w:after="0"/>
              <w:rPr>
                <w:sz w:val="22"/>
                <w:szCs w:val="22"/>
                <w:color w:val="auto"/>
              </w:rPr>
            </w:pPr>
          </w:p>
        </w:tc>
        <w:tc>
          <w:tcPr>
            <w:tcW w:w="450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15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1" w:name="page12"/>
    <w:bookmarkEnd w:id="11"/>
    <w:p>
      <w:pPr>
        <w:jc w:val="center"/>
        <w:spacing w:after="0" w:line="253" w:lineRule="auto"/>
        <w:rPr>
          <w:sz w:val="20"/>
          <w:szCs w:val="20"/>
          <w:color w:val="auto"/>
        </w:rPr>
      </w:pPr>
      <w:r>
        <w:rPr>
          <w:rFonts w:ascii="Arial" w:cs="Arial" w:eastAsia="Arial" w:hAnsi="Arial"/>
          <w:sz w:val="20"/>
          <w:szCs w:val="20"/>
          <w:b w:val="1"/>
          <w:bCs w:val="1"/>
          <w:color w:val="auto"/>
        </w:rPr>
        <w:t xml:space="preserve">ICLICK INTERACTIVE ASIA GROUP LIMITED Unaudited Reconciliations of GAAP and Non-GAAP Results </w:t>
      </w:r>
      <w:r>
        <w:rPr>
          <w:rFonts w:ascii="Arial" w:cs="Arial" w:eastAsia="Arial" w:hAnsi="Arial"/>
          <w:sz w:val="20"/>
          <w:szCs w:val="20"/>
          <w:color w:val="auto"/>
        </w:rPr>
        <w:t>(US$’000, except share data and per share data, or otherwise noted, unaudited)</w:t>
      </w:r>
    </w:p>
    <w:p>
      <w:pPr>
        <w:spacing w:after="0" w:line="1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Adjusted EBITDA represents net (loss)/income before (i) depreciation and amortization, (ii) interest expense, (iii) interest income, (iv) income tax (benefit)/expense, (v) share-based compensation, (vi) goodwill impairment, (vii) other losses/(gains), net, (viii) convertible notes and shares issuance cost, (ix) net loss attributable to non-controlling interests, (x) share of losses from an equity investee, and (xi) cost related to new business setup or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(loss)/income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gridSpan w:val="2"/>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1,701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(649)</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Income tax (benefit)/expense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(43,773)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(50,762)</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Goodwill impairment</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24,945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Other losses/(gains), net</w:t>
            </w:r>
            <w:r>
              <w:rPr>
                <w:rFonts w:ascii="Arial" w:cs="Arial" w:eastAsia="Arial" w:hAnsi="Arial"/>
                <w:sz w:val="15"/>
                <w:szCs w:val="15"/>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4,724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1140" w:type="dxa"/>
            <w:vAlign w:val="bottom"/>
          </w:tcPr>
          <w:p>
            <w:pPr>
              <w:jc w:val="right"/>
              <w:spacing w:after="0"/>
              <w:rPr>
                <w:sz w:val="20"/>
                <w:szCs w:val="20"/>
                <w:color w:val="auto"/>
              </w:rPr>
            </w:pPr>
            <w:r>
              <w:rPr>
                <w:rFonts w:ascii="Arial" w:cs="Arial" w:eastAsia="Arial" w:hAnsi="Arial"/>
                <w:sz w:val="18"/>
                <w:szCs w:val="18"/>
                <w:color w:val="auto"/>
              </w:rPr>
              <w:t>5,056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5</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8</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(16,546)</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22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hanging="111"/>
        <w:spacing w:after="0" w:line="251" w:lineRule="auto"/>
        <w:tabs>
          <w:tab w:leader="none" w:pos="109" w:val="left"/>
        </w:tabs>
        <w:numPr>
          <w:ilvl w:val="0"/>
          <w:numId w:val="6"/>
        </w:numPr>
        <w:rPr>
          <w:rFonts w:ascii="Arial" w:cs="Arial" w:eastAsia="Arial" w:hAnsi="Arial"/>
          <w:sz w:val="12"/>
          <w:szCs w:val="12"/>
          <w:color w:val="auto"/>
        </w:rPr>
      </w:pPr>
      <w:r>
        <w:rPr>
          <w:rFonts w:ascii="Arial" w:cs="Arial" w:eastAsia="Arial" w:hAnsi="Arial"/>
          <w:sz w:val="14"/>
          <w:szCs w:val="14"/>
          <w:color w:val="auto"/>
        </w:rPr>
        <w:t>Goodwill impairment represents the shortfall between the carrying value and the estimated fair value of Marketing Solutions reporting unit due to the volatile digital advertising industry for the three months ended June 30, 2022.</w:t>
      </w:r>
    </w:p>
    <w:p>
      <w:pPr>
        <w:spacing w:after="0" w:line="1" w:lineRule="exact"/>
        <w:rPr>
          <w:sz w:val="20"/>
          <w:szCs w:val="20"/>
          <w:color w:val="auto"/>
        </w:rPr>
      </w:pPr>
    </w:p>
    <w:p>
      <w:pPr>
        <w:ind w:left="100" w:hanging="91"/>
        <w:spacing w:after="0"/>
        <w:tabs>
          <w:tab w:leader="none" w:pos="100" w:val="left"/>
        </w:tabs>
        <w:numPr>
          <w:ilvl w:val="0"/>
          <w:numId w:val="7"/>
        </w:numPr>
        <w:rPr>
          <w:rFonts w:ascii="Arial" w:cs="Arial" w:eastAsia="Arial" w:hAnsi="Arial"/>
          <w:sz w:val="11"/>
          <w:szCs w:val="11"/>
          <w:color w:val="auto"/>
        </w:rPr>
      </w:pPr>
      <w:r>
        <w:rPr>
          <w:rFonts w:ascii="Arial" w:cs="Arial" w:eastAsia="Arial" w:hAnsi="Arial"/>
          <w:sz w:val="13"/>
          <w:szCs w:val="13"/>
          <w:color w:val="auto"/>
        </w:rPr>
        <w:t>Other losses/(gains), net have been adjusted out, except for amounts of US$1,726 thousand, US$878 thousand, US$2,923 thousand and US$1,412 thousand in relation to government grants for</w:t>
      </w:r>
    </w:p>
    <w:p>
      <w:pPr>
        <w:ind w:left="120"/>
        <w:spacing w:after="0" w:line="237" w:lineRule="auto"/>
        <w:rPr>
          <w:sz w:val="20"/>
          <w:szCs w:val="20"/>
          <w:color w:val="auto"/>
        </w:rPr>
      </w:pPr>
      <w:r>
        <w:rPr>
          <w:rFonts w:ascii="Arial" w:cs="Arial" w:eastAsia="Arial" w:hAnsi="Arial"/>
          <w:sz w:val="14"/>
          <w:szCs w:val="14"/>
          <w:color w:val="auto"/>
        </w:rPr>
        <w:t>the three months ended June 30, 2022 and 2021 and for the six months ended June 30, 2022 and 2021, respectively.</w:t>
      </w:r>
    </w:p>
    <w:p>
      <w:pPr>
        <w:ind w:left="120" w:hanging="112"/>
        <w:spacing w:after="0" w:line="222" w:lineRule="auto"/>
        <w:tabs>
          <w:tab w:leader="none" w:pos="120" w:val="left"/>
        </w:tabs>
        <w:numPr>
          <w:ilvl w:val="0"/>
          <w:numId w:val="8"/>
        </w:numPr>
        <w:rPr>
          <w:rFonts w:ascii="Arial" w:cs="Arial" w:eastAsia="Arial" w:hAnsi="Arial"/>
          <w:sz w:val="12"/>
          <w:szCs w:val="12"/>
          <w:color w:val="auto"/>
        </w:rPr>
      </w:pPr>
      <w:r>
        <w:rPr>
          <w:rFonts w:ascii="Arial" w:cs="Arial" w:eastAsia="Arial" w:hAnsi="Arial"/>
          <w:sz w:val="14"/>
          <w:szCs w:val="14"/>
          <w:color w:val="auto"/>
        </w:rPr>
        <w:t>Convertible notes and shares issuance cost represents legal and professional fee for the issue of convertible notes and shares.</w:t>
      </w:r>
    </w:p>
    <w:p>
      <w:pPr>
        <w:ind w:left="120" w:hanging="112"/>
        <w:spacing w:after="0"/>
        <w:tabs>
          <w:tab w:leader="none" w:pos="120" w:val="left"/>
        </w:tabs>
        <w:numPr>
          <w:ilvl w:val="0"/>
          <w:numId w:val="9"/>
        </w:numPr>
        <w:rPr>
          <w:rFonts w:ascii="Arial" w:cs="Arial" w:eastAsia="Arial" w:hAnsi="Arial"/>
          <w:sz w:val="11"/>
          <w:szCs w:val="11"/>
          <w:color w:val="auto"/>
        </w:rPr>
      </w:pPr>
      <w:r>
        <w:rPr>
          <w:rFonts w:ascii="Arial" w:cs="Arial" w:eastAsia="Arial" w:hAnsi="Arial"/>
          <w:sz w:val="13"/>
          <w:szCs w:val="13"/>
          <w:color w:val="auto"/>
        </w:rPr>
        <w:t>Net loss attributable to non-controlling interests has been adjusted back because the Company’s management regularly reviews EBITDA excluding non-controlling interests as a measure of its</w:t>
      </w:r>
    </w:p>
    <w:p>
      <w:pPr>
        <w:ind w:left="120"/>
        <w:spacing w:after="0" w:line="221" w:lineRule="auto"/>
        <w:rPr>
          <w:sz w:val="20"/>
          <w:szCs w:val="20"/>
          <w:color w:val="auto"/>
        </w:rPr>
      </w:pPr>
      <w:r>
        <w:rPr>
          <w:rFonts w:ascii="Arial" w:cs="Arial" w:eastAsia="Arial" w:hAnsi="Arial"/>
          <w:sz w:val="14"/>
          <w:szCs w:val="14"/>
          <w:color w:val="auto"/>
        </w:rPr>
        <w:t>operational performance.</w:t>
      </w:r>
    </w:p>
    <w:p>
      <w:pPr>
        <w:ind w:left="120" w:hanging="112"/>
        <w:spacing w:after="0" w:line="221" w:lineRule="auto"/>
        <w:tabs>
          <w:tab w:leader="none" w:pos="120" w:val="left"/>
        </w:tabs>
        <w:numPr>
          <w:ilvl w:val="0"/>
          <w:numId w:val="10"/>
        </w:numPr>
        <w:rPr>
          <w:rFonts w:ascii="Arial" w:cs="Arial" w:eastAsia="Arial" w:hAnsi="Arial"/>
          <w:sz w:val="12"/>
          <w:szCs w:val="12"/>
          <w:color w:val="auto"/>
        </w:rPr>
      </w:pPr>
      <w:r>
        <w:rPr>
          <w:rFonts w:ascii="Arial" w:cs="Arial" w:eastAsia="Arial" w:hAnsi="Arial"/>
          <w:sz w:val="14"/>
          <w:szCs w:val="14"/>
          <w:color w:val="auto"/>
        </w:rPr>
        <w:t>Share of losses from an equity investee represents share of losses incurred by the Company’s Thailand business operated through an equity investee over which the Company has significant influence, and which is not considered to be a part of the core business that the Company operates through its consolidated entities.</w:t>
      </w:r>
    </w:p>
    <w:p>
      <w:pPr>
        <w:spacing w:after="0" w:line="1"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12"/>
          <w:szCs w:val="12"/>
          <w:color w:val="auto"/>
        </w:rPr>
      </w:pPr>
      <w:r>
        <w:rPr>
          <w:rFonts w:ascii="Arial" w:cs="Arial" w:eastAsia="Arial" w:hAnsi="Arial"/>
          <w:sz w:val="14"/>
          <w:szCs w:val="14"/>
          <w:color w:val="auto"/>
        </w:rPr>
        <w:t>Cost related to new business setup or acquisitions represents transaction cost (e.g. legal and professional fee)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2" w:name="page13"/>
    <w:bookmarkEnd w:id="12"/>
    <w:p>
      <w:pPr>
        <w:jc w:val="both"/>
        <w:spacing w:after="0" w:line="246" w:lineRule="auto"/>
        <w:rPr>
          <w:sz w:val="20"/>
          <w:szCs w:val="20"/>
          <w:color w:val="auto"/>
        </w:rPr>
      </w:pPr>
      <w:r>
        <w:rPr>
          <w:rFonts w:ascii="Arial" w:cs="Arial" w:eastAsia="Arial" w:hAnsi="Arial"/>
          <w:sz w:val="20"/>
          <w:szCs w:val="20"/>
          <w:color w:val="auto"/>
        </w:rPr>
        <w:t>Adjusted net (loss)/income represents net (loss)/income before (i) share-based compensation, (ii) goodwill impairment, (iii) other losses/(gains), net, (iv) convertible notes and shares issuance cost, (v) net loss attributable to non-controlling interests, and (vi) share of losses from an equity investee, and (vii) cost related to new business setup or acquisitions. There is no material tax effects on these non-GAAP adjustments.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(loss)/income from net (loss)/income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(loss)/income</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(45,776)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Add/(less):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Goodwill impairment</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24,945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24,945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losses/(gains), net</w:t>
            </w:r>
            <w:r>
              <w:rPr>
                <w:rFonts w:ascii="Arial" w:cs="Arial" w:eastAsia="Arial" w:hAnsi="Arial"/>
                <w:sz w:val="15"/>
                <w:szCs w:val="15"/>
                <w:color w:val="auto"/>
              </w:rPr>
              <w:t>4</w:t>
            </w:r>
          </w:p>
        </w:tc>
        <w:tc>
          <w:tcPr>
            <w:tcW w:w="1140" w:type="dxa"/>
            <w:vAlign w:val="bottom"/>
          </w:tcPr>
          <w:p>
            <w:pPr>
              <w:jc w:val="right"/>
              <w:spacing w:after="0"/>
              <w:rPr>
                <w:sz w:val="20"/>
                <w:szCs w:val="20"/>
                <w:color w:val="auto"/>
              </w:rPr>
            </w:pPr>
            <w:r>
              <w:rPr>
                <w:rFonts w:ascii="Arial" w:cs="Arial" w:eastAsia="Arial" w:hAnsi="Arial"/>
                <w:sz w:val="18"/>
                <w:szCs w:val="18"/>
                <w:color w:val="auto"/>
              </w:rPr>
              <w:t>4,724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(784)</w:t>
            </w:r>
          </w:p>
        </w:tc>
        <w:tc>
          <w:tcPr>
            <w:tcW w:w="1140" w:type="dxa"/>
            <w:vAlign w:val="bottom"/>
          </w:tcPr>
          <w:p>
            <w:pPr>
              <w:jc w:val="right"/>
              <w:spacing w:after="0"/>
              <w:rPr>
                <w:sz w:val="20"/>
                <w:szCs w:val="20"/>
                <w:color w:val="auto"/>
              </w:rPr>
            </w:pPr>
            <w:r>
              <w:rPr>
                <w:rFonts w:ascii="Arial" w:cs="Arial" w:eastAsia="Arial" w:hAnsi="Arial"/>
                <w:sz w:val="18"/>
                <w:szCs w:val="18"/>
                <w:color w:val="auto"/>
              </w:rPr>
              <w:t>5,056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Convertible notes and shares issuance cost</w:t>
            </w:r>
            <w:r>
              <w:rPr>
                <w:rFonts w:ascii="Arial" w:cs="Arial" w:eastAsia="Arial" w:hAnsi="Arial"/>
                <w:sz w:val="15"/>
                <w:szCs w:val="15"/>
                <w:color w:val="auto"/>
              </w:rPr>
              <w:t>5</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interests</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Share of losses from an equity investee</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8</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(loss)/income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(20,532)</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(loss)/income per ADS for the periods indicated are calculated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855"/>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4"/>
                <w:szCs w:val="14"/>
                <w:b w:val="1"/>
                <w:bCs w:val="1"/>
                <w:color w:val="auto"/>
                <w:w w:val="92"/>
              </w:rPr>
              <w:t>June 30,</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(loss)/income:</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(55,063)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(loss)/income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(20,532)</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(loss)/income per ADS - Weighted average</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100,348,946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96,262,253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99,845,054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95,321,164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(loss)/income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100,348,946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101,861,423</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99,845,054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100,920,334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(loss)/income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(loss)/income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(loss)/income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6"/>
      <w:numFmt w:val="bullet"/>
      <w:start w:val="1"/>
    </w:lvl>
  </w:abstractNum>
  <w:abstractNum w:abstractNumId="9">
    <w:nsid w:val="216231B"/>
    <w:multiLevelType w:val="hybridMultilevel"/>
    <w:lvl w:ilvl="0">
      <w:lvlJc w:val="left"/>
      <w:lvlText w:val="7"/>
      <w:numFmt w:val="bullet"/>
      <w:start w:val="1"/>
    </w:lvl>
  </w:abstractNum>
  <w:abstractNum w:abstractNumId="10">
    <w:nsid w:val="1F16E9E8"/>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2022-08-25T15:13:10Z</dcterms:created>
  <dcterms:modified xsi:type="dcterms:W3CDTF">2022-08-25T15:13:10Z</dcterms:modified>
</cp:coreProperties>
</file>