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 the month of December 2022</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0"/>
          </w:cols>
          <w:pgMar w:left="320" w:top="511" w:right="9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spacing w:after="0"/>
              <w:rPr>
                <w:sz w:val="24"/>
                <w:szCs w:val="24"/>
                <w:color w:val="auto"/>
              </w:rPr>
            </w:pPr>
          </w:p>
        </w:tc>
        <w:tc>
          <w:tcPr>
            <w:tcW w:w="840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17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3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40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7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Zhang</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Zhang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28,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156845</wp:posOffset>
            </wp:positionV>
            <wp:extent cx="111442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44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Announces US$5 Million Share Repurchase Program</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HONG KONG, Dec 28, 2022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its board of directors has approved a share repurchase program in which the Company may purchase its own ADSs with an aggregate value of up to US$5 million from January 1, 2023 to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iClick expects to fund the repurchase from its existing cash balance, including cash generated from its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repurchase program does not obligate the Company to acquire any particular number of ADSs and may be suspended, terminated or extended at any time at the Company's discretion without prior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https://ir.i-click.com.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60" w:type="dxa"/>
            <w:vAlign w:val="bottom"/>
          </w:tcPr>
          <w:p>
            <w:pPr>
              <w:spacing w:after="0"/>
              <w:rPr>
                <w:sz w:val="20"/>
                <w:szCs w:val="20"/>
                <w:color w:val="auto"/>
              </w:rPr>
            </w:pPr>
          </w:p>
        </w:tc>
      </w:tr>
      <w:tr>
        <w:trPr>
          <w:trHeight w:val="4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Lisa Li</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Phone: +86-21-3230-3931 #866</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Tel: +1-516-222-2560</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432"/>
        </w:trPr>
        <w:tc>
          <w:tcPr>
            <w:tcW w:w="46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2022-12-28T15:05:44Z</dcterms:created>
  <dcterms:modified xsi:type="dcterms:W3CDTF">2022-12-28T15:05:44Z</dcterms:modified>
</cp:coreProperties>
</file>