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160020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160020</wp:posOffset>
            </wp:positionV>
            <wp:extent cx="3514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5080" w:right="4800" w:hanging="10"/>
        <w:spacing w:after="0" w:line="356" w:lineRule="auto"/>
        <w:tabs>
          <w:tab w:leader="none" w:pos="5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13d-1(c)</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Rule 13d-1(d)</w:t>
      </w:r>
    </w:p>
    <w:p>
      <w:pPr>
        <w:spacing w:after="0" w:line="140" w:lineRule="exact"/>
        <w:rPr>
          <w:sz w:val="24"/>
          <w:szCs w:val="24"/>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3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7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27-4357327</w:t>
            </w:r>
          </w:p>
        </w:tc>
        <w:tc>
          <w:tcPr>
            <w:tcW w:w="1360" w:type="dxa"/>
            <w:vAlign w:val="bottom"/>
          </w:tcPr>
          <w:p>
            <w:pPr>
              <w:spacing w:after="0"/>
              <w:rPr>
                <w:sz w:val="20"/>
                <w:szCs w:val="20"/>
                <w:color w:val="auto"/>
              </w:rPr>
            </w:pP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64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64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550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820" w:right="2939" w:hanging="5812"/>
        <w:spacing w:after="0" w:line="500"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660" w:right="6279" w:hanging="652"/>
        <w:spacing w:after="0" w:line="5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TIAA-CREF Investment Management,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2,362,025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2,362,025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5.45%</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660" w:right="6799"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Teachers Advisors, LLC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1,346,805</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1,346,805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College Retirement Equities Fund- Stock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r>
      <w:tr>
        <w:trPr>
          <w:trHeight w:val="234"/>
        </w:trPr>
        <w:tc>
          <w:tcPr>
            <w:tcW w:w="4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1080" w:type="dxa"/>
            <w:vAlign w:val="bottom"/>
          </w:tcPr>
          <w:p>
            <w:pPr>
              <w:spacing w:after="0"/>
              <w:rPr>
                <w:sz w:val="20"/>
                <w:szCs w:val="20"/>
                <w:color w:val="auto"/>
              </w:rPr>
            </w:pPr>
          </w:p>
        </w:tc>
      </w:tr>
      <w:tr>
        <w:trPr>
          <w:trHeight w:val="4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BENEFICIALLY OWNED</w:t>
            </w:r>
          </w:p>
        </w:tc>
        <w:tc>
          <w:tcPr>
            <w:tcW w:w="1080" w:type="dxa"/>
            <w:vAlign w:val="bottom"/>
          </w:tcPr>
          <w:p>
            <w:pPr>
              <w:spacing w:after="0"/>
              <w:rPr>
                <w:sz w:val="24"/>
                <w:szCs w:val="24"/>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EACH REPORTING PERSON WITH:</w:t>
            </w:r>
          </w:p>
        </w:tc>
        <w:tc>
          <w:tcPr>
            <w:tcW w:w="1080" w:type="dxa"/>
            <w:vAlign w:val="bottom"/>
          </w:tcPr>
          <w:p>
            <w:pPr>
              <w:spacing w:after="0"/>
              <w:rPr>
                <w:sz w:val="20"/>
                <w:szCs w:val="20"/>
                <w:color w:val="auto"/>
              </w:rPr>
            </w:pP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2,236,370</w:t>
            </w:r>
          </w:p>
        </w:tc>
      </w:tr>
    </w:tbl>
    <w:p>
      <w:pPr>
        <w:spacing w:after="0" w:line="198" w:lineRule="exact"/>
        <w:rPr>
          <w:sz w:val="20"/>
          <w:szCs w:val="20"/>
          <w:color w:val="auto"/>
        </w:rPr>
      </w:pPr>
    </w:p>
    <w:p>
      <w:pPr>
        <w:ind w:left="5580" w:right="2939" w:hanging="5572"/>
        <w:spacing w:after="0" w:line="50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2,236,370</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5.16%</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QUARRAY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CUSIP No. 45113Y203</w:t>
      </w:r>
    </w:p>
    <w:p>
      <w:pPr>
        <w:sectPr>
          <w:pgSz w:w="11900" w:h="16838" w:orient="portrait"/>
          <w:cols w:equalWidth="0" w:num="1">
            <w:col w:w="11120"/>
          </w:cols>
          <w:pgMar w:left="320" w:top="111" w:right="459" w:bottom="1440" w:gutter="0" w:footer="0" w:header="0"/>
        </w:sect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13G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7 of 11</w:t>
      </w:r>
    </w:p>
    <w:p>
      <w:pPr>
        <w:spacing w:after="0" w:line="200" w:lineRule="exact"/>
        <w:rPr>
          <w:sz w:val="20"/>
          <w:szCs w:val="20"/>
          <w:color w:val="auto"/>
        </w:rPr>
      </w:pPr>
    </w:p>
    <w:p>
      <w:pPr>
        <w:sectPr>
          <w:pgSz w:w="11900" w:h="16838" w:orient="portrait"/>
          <w:cols w:equalWidth="0" w:num="2">
            <w:col w:w="6600" w:space="720"/>
            <w:col w:w="3800"/>
          </w:cols>
          <w:pgMar w:left="320" w:top="111" w:right="4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ectPr>
          <w:pgSz w:w="11900" w:h="16838" w:orient="portrait"/>
          <w:cols w:equalWidth="0" w:num="2">
            <w:col w:w="760" w:space="540"/>
            <w:col w:w="9820"/>
          </w:cols>
          <w:pgMar w:left="320" w:top="111" w:right="45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ectPr>
          <w:pgSz w:w="11900" w:h="16838" w:orient="portrait"/>
          <w:cols w:equalWidth="0" w:num="1">
            <w:col w:w="11120"/>
          </w:cols>
          <w:pgMar w:left="320" w:top="111" w:right="4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45113Y203</w:t>
      </w:r>
    </w:p>
    <w:p>
      <w:pPr>
        <w:spacing w:after="0" w:line="200" w:lineRule="exact"/>
        <w:rPr>
          <w:sz w:val="20"/>
          <w:szCs w:val="20"/>
          <w:color w:val="auto"/>
        </w:rPr>
      </w:pPr>
    </w:p>
    <w:p>
      <w:pPr>
        <w:sectPr>
          <w:pgSz w:w="11900" w:h="16838" w:orient="portrait"/>
          <w:cols w:equalWidth="0" w:num="3">
            <w:col w:w="740" w:space="560"/>
            <w:col w:w="1440" w:space="100"/>
            <w:col w:w="8280"/>
          </w:cols>
          <w:pgMar w:left="320" w:top="111"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ectPr>
          <w:pgSz w:w="11900" w:h="16838" w:orient="portrait"/>
          <w:cols w:equalWidth="0" w:num="2">
            <w:col w:w="580" w:space="720"/>
            <w:col w:w="9820"/>
          </w:cols>
          <w:pgMar w:left="320" w:top="111" w:right="459" w:bottom="1440"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4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96"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tabs>
          <w:tab w:leader="none" w:pos="4520" w:val="left"/>
        </w:tabs>
        <w:rPr>
          <w:sz w:val="20"/>
          <w:szCs w:val="20"/>
          <w:color w:val="auto"/>
        </w:rPr>
      </w:pPr>
      <w:r>
        <w:rPr>
          <w:rFonts w:ascii="Times New Roman" w:cs="Times New Roman" w:eastAsia="Times New Roman" w:hAnsi="Times New Roman"/>
          <w:sz w:val="18"/>
          <w:szCs w:val="18"/>
          <w:color w:val="auto"/>
        </w:rPr>
        <w:t>(a) Aggregate amount beneficially owned:</w:t>
        <w:tab/>
        <w:t>3,709,380</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98" w:lineRule="exact"/>
        <w:rPr>
          <w:sz w:val="20"/>
          <w:szCs w:val="20"/>
          <w:color w:val="auto"/>
        </w:rPr>
      </w:pPr>
    </w:p>
    <w:p>
      <w:pPr>
        <w:ind w:left="1300" w:right="7020" w:firstLine="4"/>
        <w:spacing w:after="0" w:line="282" w:lineRule="auto"/>
        <w:tabs>
          <w:tab w:leader="none" w:pos="1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person has: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TCIM</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2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r>
        <w:trPr>
          <w:trHeight w:val="131"/>
        </w:trPr>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8"/>
        </w:trPr>
        <w:tc>
          <w:tcPr>
            <w:tcW w:w="27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shd w:val="clear" w:color="auto" w:fill="E5FFFF"/>
          </w:tcPr>
          <w:p>
            <w:pPr>
              <w:spacing w:after="0"/>
              <w:rPr>
                <w:sz w:val="12"/>
                <w:szCs w:val="12"/>
                <w:color w:val="auto"/>
              </w:rPr>
            </w:pPr>
          </w:p>
        </w:tc>
        <w:tc>
          <w:tcPr>
            <w:tcW w:w="1360" w:type="dxa"/>
            <w:vAlign w:val="bottom"/>
            <w:gridSpan w:val="3"/>
            <w:shd w:val="clear" w:color="auto" w:fill="E5FFFF"/>
          </w:tcPr>
          <w:p>
            <w:pPr>
              <w:ind w:left="340"/>
              <w:spacing w:after="0" w:line="149" w:lineRule="exact"/>
              <w:rPr>
                <w:sz w:val="20"/>
                <w:szCs w:val="20"/>
                <w:color w:val="auto"/>
              </w:rPr>
            </w:pPr>
            <w:r>
              <w:rPr>
                <w:rFonts w:ascii="Times New Roman" w:cs="Times New Roman" w:eastAsia="Times New Roman" w:hAnsi="Times New Roman"/>
                <w:sz w:val="14"/>
                <w:szCs w:val="14"/>
                <w:color w:val="auto"/>
              </w:rPr>
              <w:t>2,362,025</w:t>
            </w:r>
          </w:p>
        </w:tc>
        <w:tc>
          <w:tcPr>
            <w:tcW w:w="7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1,346,805</w:t>
            </w:r>
          </w:p>
        </w:tc>
        <w:tc>
          <w:tcPr>
            <w:tcW w:w="800" w:type="dxa"/>
            <w:vAlign w:val="bottom"/>
            <w:gridSpan w:val="2"/>
            <w:shd w:val="clear" w:color="auto" w:fill="E5FFFF"/>
          </w:tcPr>
          <w:p>
            <w:pPr>
              <w:ind w:lef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20" w:type="dxa"/>
            <w:vAlign w:val="bottom"/>
            <w:shd w:val="clear" w:color="auto" w:fill="E5FFFF"/>
          </w:tcPr>
          <w:p>
            <w:pPr>
              <w:spacing w:after="0"/>
              <w:rPr>
                <w:sz w:val="12"/>
                <w:szCs w:val="12"/>
                <w:color w:val="auto"/>
              </w:rPr>
            </w:pPr>
          </w:p>
        </w:tc>
      </w:tr>
      <w:tr>
        <w:trPr>
          <w:trHeight w:val="31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2,236,370</w:t>
            </w:r>
          </w:p>
        </w:tc>
        <w:tc>
          <w:tcPr>
            <w:tcW w:w="420" w:type="dxa"/>
            <w:vAlign w:val="bottom"/>
          </w:tcPr>
          <w:p>
            <w:pPr>
              <w:spacing w:after="0"/>
              <w:rPr>
                <w:sz w:val="24"/>
                <w:szCs w:val="24"/>
                <w:color w:val="auto"/>
              </w:rPr>
            </w:pPr>
          </w:p>
        </w:tc>
      </w:tr>
    </w:tbl>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w:t>
      </w:r>
      <w:r>
        <w:rPr>
          <w:rFonts w:ascii="Arial" w:cs="Arial" w:eastAsia="Arial" w:hAnsi="Arial"/>
          <w:sz w:val="18"/>
          <w:szCs w:val="18"/>
          <w:color w:val="auto"/>
        </w:rPr>
        <w:t>§</w:t>
      </w:r>
      <w:r>
        <w:rPr>
          <w:rFonts w:ascii="Times New Roman" w:cs="Times New Roman" w:eastAsia="Times New Roman" w:hAnsi="Times New Roman"/>
          <w:sz w:val="18"/>
          <w:szCs w:val="18"/>
          <w:color w:val="auto"/>
        </w:rPr>
        <w:t>240.14a-11</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COLLEGE RETIREMENT EQUITIES FUND-STOCK</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34" w:lineRule="exact"/>
        <w:rPr>
          <w:sz w:val="20"/>
          <w:szCs w:val="20"/>
          <w:color w:val="auto"/>
        </w:rPr>
      </w:pPr>
    </w:p>
    <w:p>
      <w:pPr>
        <w:ind w:left="1800"/>
        <w:spacing w:after="0"/>
        <w:tabs>
          <w:tab w:leader="none" w:pos="730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550 shares of Issuer’s common stock. TIAA-CREF Investment Management, LLC (“TCIM”) is the investment adviser to the College Retirement Equities Fund (“CREF”), a registered investment company, and may be deemed to be a beneficial owner of 2,362,025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1,346,805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2023-02-14T07:42:38Z</dcterms:created>
  <dcterms:modified xsi:type="dcterms:W3CDTF">2023-02-14T07:42:38Z</dcterms:modified>
</cp:coreProperties>
</file>