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420" w:right="8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March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200"/>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85"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Tel: +852 3700 9000</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 (1):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 (7):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Jie Jiao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Jie Jiao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2018</w:t>
      </w:r>
    </w:p>
    <w:p>
      <w:pPr>
        <w:sectPr>
          <w:pgSz w:w="11900" w:h="16838" w:orient="portrait"/>
          <w:cols w:equalWidth="0" w:num="1">
            <w:col w:w="11420"/>
          </w:cols>
          <w:pgMar w:left="240" w:top="270" w:right="23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20"/>
        <w:spacing w:after="0"/>
        <w:tabs>
          <w:tab w:leader="none" w:pos="17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8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w:t>
      </w:r>
    </w:p>
    <w:p>
      <w:pPr>
        <w:sectPr>
          <w:pgSz w:w="11900" w:h="16838" w:orient="portrait"/>
          <w:cols w:equalWidth="0" w:num="1">
            <w:col w:w="10219"/>
          </w:cols>
          <w:pgMar w:left="2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Reports Fourth Quarter and Full Year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Results</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Hong Kong, Mar. 28, 2018 (GLOBE NEWSWIRE) — iClick Interactive Asia Group Limited (“iClick” or the “Company”) (NASDAQ: ICLK), a leading independent online marketing technology platform in China, today announced its unaudited financial results for the fourth quarter and full year ended December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2017 Financial and Operational Highlights: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840" w:type="dxa"/>
            <w:vAlign w:val="bottom"/>
            <w:gridSpan w:val="3"/>
          </w:tcPr>
          <w:p>
            <w:pPr>
              <w:jc w:val="center"/>
              <w:ind w:left="616"/>
              <w:spacing w:after="0"/>
              <w:rPr>
                <w:sz w:val="20"/>
                <w:szCs w:val="20"/>
                <w:color w:val="auto"/>
              </w:rPr>
            </w:pPr>
            <w:r>
              <w:rPr>
                <w:rFonts w:ascii="Arial" w:cs="Arial" w:eastAsia="Arial" w:hAnsi="Arial"/>
                <w:sz w:val="14"/>
                <w:szCs w:val="14"/>
                <w:color w:val="auto"/>
                <w:w w:val="92"/>
              </w:rPr>
              <w:t>Three Months Ended December 31,</w:t>
            </w:r>
          </w:p>
        </w:tc>
        <w:tc>
          <w:tcPr>
            <w:tcW w:w="2900" w:type="dxa"/>
            <w:vAlign w:val="bottom"/>
            <w:gridSpan w:val="3"/>
          </w:tcPr>
          <w:p>
            <w:pPr>
              <w:jc w:val="center"/>
              <w:ind w:right="54"/>
              <w:spacing w:after="0"/>
              <w:rPr>
                <w:sz w:val="20"/>
                <w:szCs w:val="20"/>
                <w:color w:val="auto"/>
              </w:rPr>
            </w:pPr>
            <w:r>
              <w:rPr>
                <w:rFonts w:ascii="Arial" w:cs="Arial" w:eastAsia="Arial" w:hAnsi="Arial"/>
                <w:sz w:val="14"/>
                <w:szCs w:val="14"/>
                <w:color w:val="auto"/>
                <w:w w:val="91"/>
              </w:rPr>
              <w:t>Year Ended December 31,</w:t>
            </w:r>
          </w:p>
        </w:tc>
      </w:tr>
      <w:tr>
        <w:trPr>
          <w:trHeight w:val="149"/>
        </w:trPr>
        <w:tc>
          <w:tcPr>
            <w:tcW w:w="4680" w:type="dxa"/>
            <w:vAlign w:val="bottom"/>
          </w:tcPr>
          <w:p>
            <w:pPr>
              <w:spacing w:after="0"/>
              <w:rPr>
                <w:sz w:val="12"/>
                <w:szCs w:val="12"/>
                <w:color w:val="auto"/>
              </w:rPr>
            </w:pPr>
          </w:p>
        </w:tc>
        <w:tc>
          <w:tcPr>
            <w:tcW w:w="1840" w:type="dxa"/>
            <w:vAlign w:val="bottom"/>
          </w:tcPr>
          <w:p>
            <w:pPr>
              <w:jc w:val="center"/>
              <w:ind w:left="756"/>
              <w:spacing w:after="0" w:line="149" w:lineRule="exact"/>
              <w:rPr>
                <w:sz w:val="20"/>
                <w:szCs w:val="20"/>
                <w:color w:val="auto"/>
              </w:rPr>
            </w:pPr>
            <w:r>
              <w:rPr>
                <w:rFonts w:ascii="Arial" w:cs="Arial" w:eastAsia="Arial" w:hAnsi="Arial"/>
                <w:sz w:val="14"/>
                <w:szCs w:val="14"/>
                <w:color w:val="auto"/>
                <w:w w:val="89"/>
              </w:rPr>
              <w:t>2016</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10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9"/>
              </w:rPr>
              <w:t>2016</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1000" w:type="dxa"/>
            <w:vAlign w:val="bottom"/>
          </w:tcPr>
          <w:p>
            <w:pPr>
              <w:spacing w:after="0"/>
              <w:rPr>
                <w:sz w:val="12"/>
                <w:szCs w:val="12"/>
                <w:color w:val="auto"/>
              </w:rPr>
            </w:pPr>
          </w:p>
        </w:tc>
      </w:tr>
      <w:tr>
        <w:trPr>
          <w:trHeight w:val="154"/>
        </w:trPr>
        <w:tc>
          <w:tcPr>
            <w:tcW w:w="4680" w:type="dxa"/>
            <w:vAlign w:val="bottom"/>
          </w:tcPr>
          <w:p>
            <w:pPr>
              <w:spacing w:after="0"/>
              <w:rPr>
                <w:sz w:val="13"/>
                <w:szCs w:val="13"/>
                <w:color w:val="auto"/>
              </w:rPr>
            </w:pPr>
          </w:p>
        </w:tc>
        <w:tc>
          <w:tcPr>
            <w:tcW w:w="1840" w:type="dxa"/>
            <w:vAlign w:val="bottom"/>
          </w:tcPr>
          <w:p>
            <w:pPr>
              <w:jc w:val="center"/>
              <w:ind w:left="776"/>
              <w:spacing w:after="0" w:line="154" w:lineRule="exact"/>
              <w:rPr>
                <w:sz w:val="20"/>
                <w:szCs w:val="20"/>
                <w:color w:val="auto"/>
              </w:rPr>
            </w:pPr>
            <w:r>
              <w:rPr>
                <w:rFonts w:ascii="Arial" w:cs="Arial" w:eastAsia="Arial" w:hAnsi="Arial"/>
                <w:sz w:val="14"/>
                <w:szCs w:val="14"/>
                <w:color w:val="auto"/>
                <w:w w:val="98"/>
              </w:rPr>
              <w:t>(US$ in</w:t>
            </w:r>
          </w:p>
        </w:tc>
        <w:tc>
          <w:tcPr>
            <w:tcW w:w="920" w:type="dxa"/>
            <w:vAlign w:val="bottom"/>
          </w:tcPr>
          <w:p>
            <w:pPr>
              <w:jc w:val="center"/>
              <w:spacing w:after="0" w:line="154" w:lineRule="exact"/>
              <w:rPr>
                <w:sz w:val="20"/>
                <w:szCs w:val="20"/>
                <w:color w:val="auto"/>
              </w:rPr>
            </w:pPr>
            <w:r>
              <w:rPr>
                <w:rFonts w:ascii="Arial" w:cs="Arial" w:eastAsia="Arial" w:hAnsi="Arial"/>
                <w:sz w:val="14"/>
                <w:szCs w:val="14"/>
                <w:color w:val="auto"/>
                <w:w w:val="94"/>
              </w:rPr>
              <w:t>(US$ in</w:t>
            </w:r>
          </w:p>
        </w:tc>
        <w:tc>
          <w:tcPr>
            <w:tcW w:w="1080" w:type="dxa"/>
            <w:vAlign w:val="bottom"/>
          </w:tcPr>
          <w:p>
            <w:pPr>
              <w:jc w:val="right"/>
              <w:ind w:right="234"/>
              <w:spacing w:after="0" w:line="154" w:lineRule="exact"/>
              <w:rPr>
                <w:sz w:val="20"/>
                <w:szCs w:val="20"/>
                <w:color w:val="auto"/>
              </w:rPr>
            </w:pPr>
            <w:r>
              <w:rPr>
                <w:rFonts w:ascii="Arial" w:cs="Arial" w:eastAsia="Arial" w:hAnsi="Arial"/>
                <w:sz w:val="14"/>
                <w:szCs w:val="14"/>
                <w:color w:val="auto"/>
              </w:rPr>
              <w:t>Percentage</w:t>
            </w:r>
          </w:p>
        </w:tc>
        <w:tc>
          <w:tcPr>
            <w:tcW w:w="960" w:type="dxa"/>
            <w:vAlign w:val="bottom"/>
          </w:tcPr>
          <w:p>
            <w:pPr>
              <w:jc w:val="center"/>
              <w:spacing w:after="0" w:line="154" w:lineRule="exact"/>
              <w:rPr>
                <w:sz w:val="20"/>
                <w:szCs w:val="20"/>
                <w:color w:val="auto"/>
              </w:rPr>
            </w:pPr>
            <w:r>
              <w:rPr>
                <w:rFonts w:ascii="Arial" w:cs="Arial" w:eastAsia="Arial" w:hAnsi="Arial"/>
                <w:sz w:val="14"/>
                <w:szCs w:val="14"/>
                <w:color w:val="auto"/>
                <w:w w:val="94"/>
              </w:rPr>
              <w:t>(US$ in</w:t>
            </w:r>
          </w:p>
        </w:tc>
        <w:tc>
          <w:tcPr>
            <w:tcW w:w="940" w:type="dxa"/>
            <w:vAlign w:val="bottom"/>
          </w:tcPr>
          <w:p>
            <w:pPr>
              <w:jc w:val="center"/>
              <w:spacing w:after="0" w:line="154" w:lineRule="exact"/>
              <w:rPr>
                <w:sz w:val="20"/>
                <w:szCs w:val="20"/>
                <w:color w:val="auto"/>
              </w:rPr>
            </w:pPr>
            <w:r>
              <w:rPr>
                <w:rFonts w:ascii="Arial" w:cs="Arial" w:eastAsia="Arial" w:hAnsi="Arial"/>
                <w:sz w:val="14"/>
                <w:szCs w:val="14"/>
                <w:color w:val="auto"/>
                <w:w w:val="98"/>
              </w:rPr>
              <w:t>(US$ in</w:t>
            </w:r>
          </w:p>
        </w:tc>
        <w:tc>
          <w:tcPr>
            <w:tcW w:w="1000" w:type="dxa"/>
            <w:vAlign w:val="bottom"/>
          </w:tcPr>
          <w:p>
            <w:pPr>
              <w:jc w:val="right"/>
              <w:ind w:right="174"/>
              <w:spacing w:after="0" w:line="154" w:lineRule="exact"/>
              <w:rPr>
                <w:sz w:val="20"/>
                <w:szCs w:val="20"/>
                <w:color w:val="auto"/>
              </w:rPr>
            </w:pPr>
            <w:r>
              <w:rPr>
                <w:rFonts w:ascii="Arial" w:cs="Arial" w:eastAsia="Arial" w:hAnsi="Arial"/>
                <w:sz w:val="14"/>
                <w:szCs w:val="14"/>
                <w:color w:val="auto"/>
              </w:rPr>
              <w:t>Percentage</w:t>
            </w:r>
          </w:p>
        </w:tc>
      </w:tr>
      <w:tr>
        <w:trPr>
          <w:trHeight w:val="176"/>
        </w:trPr>
        <w:tc>
          <w:tcPr>
            <w:tcW w:w="4680" w:type="dxa"/>
            <w:vAlign w:val="bottom"/>
          </w:tcPr>
          <w:p>
            <w:pPr>
              <w:spacing w:after="0"/>
              <w:rPr>
                <w:sz w:val="20"/>
                <w:szCs w:val="20"/>
                <w:color w:val="auto"/>
              </w:rPr>
            </w:pPr>
            <w:r>
              <w:rPr>
                <w:rFonts w:ascii="Arial" w:cs="Arial" w:eastAsia="Arial" w:hAnsi="Arial"/>
                <w:sz w:val="14"/>
                <w:szCs w:val="14"/>
                <w:i w:val="1"/>
                <w:iCs w:val="1"/>
                <w:color w:val="auto"/>
              </w:rPr>
              <w:t>(Unaudited)</w:t>
            </w:r>
          </w:p>
        </w:tc>
        <w:tc>
          <w:tcPr>
            <w:tcW w:w="1840" w:type="dxa"/>
            <w:vAlign w:val="bottom"/>
          </w:tcPr>
          <w:p>
            <w:pPr>
              <w:jc w:val="center"/>
              <w:ind w:left="776"/>
              <w:spacing w:after="0"/>
              <w:rPr>
                <w:sz w:val="20"/>
                <w:szCs w:val="20"/>
                <w:color w:val="auto"/>
              </w:rPr>
            </w:pPr>
            <w:r>
              <w:rPr>
                <w:rFonts w:ascii="Arial" w:cs="Arial" w:eastAsia="Arial" w:hAnsi="Arial"/>
                <w:sz w:val="14"/>
                <w:szCs w:val="14"/>
                <w:color w:val="auto"/>
                <w:w w:val="89"/>
              </w:rPr>
              <w:t>thousands)</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thousands)</w:t>
            </w:r>
          </w:p>
        </w:tc>
        <w:tc>
          <w:tcPr>
            <w:tcW w:w="1080" w:type="dxa"/>
            <w:vAlign w:val="bottom"/>
          </w:tcPr>
          <w:p>
            <w:pPr>
              <w:jc w:val="right"/>
              <w:ind w:right="354"/>
              <w:spacing w:after="0"/>
              <w:rPr>
                <w:sz w:val="20"/>
                <w:szCs w:val="20"/>
                <w:color w:val="auto"/>
              </w:rPr>
            </w:pPr>
            <w:r>
              <w:rPr>
                <w:rFonts w:ascii="Arial" w:cs="Arial" w:eastAsia="Arial" w:hAnsi="Arial"/>
                <w:sz w:val="14"/>
                <w:szCs w:val="14"/>
                <w:color w:val="auto"/>
              </w:rPr>
              <w:t>change</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thousands)</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thousands)</w:t>
            </w:r>
          </w:p>
        </w:tc>
        <w:tc>
          <w:tcPr>
            <w:tcW w:w="1000" w:type="dxa"/>
            <w:vAlign w:val="bottom"/>
          </w:tcPr>
          <w:p>
            <w:pPr>
              <w:jc w:val="right"/>
              <w:ind w:right="294"/>
              <w:spacing w:after="0"/>
              <w:rPr>
                <w:sz w:val="20"/>
                <w:szCs w:val="20"/>
                <w:color w:val="auto"/>
              </w:rPr>
            </w:pPr>
            <w:r>
              <w:rPr>
                <w:rFonts w:ascii="Arial" w:cs="Arial" w:eastAsia="Arial" w:hAnsi="Arial"/>
                <w:sz w:val="14"/>
                <w:szCs w:val="14"/>
                <w:color w:val="auto"/>
              </w:rPr>
              <w:t>change</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revenues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revenues from mobile audience solutions</w:t>
            </w:r>
          </w:p>
        </w:tc>
        <w:tc>
          <w:tcPr>
            <w:tcW w:w="1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15,743</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34,174</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117.1%</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57,761</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101,426</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75.6%</w:t>
            </w: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Net revenues from other solutions</w:t>
            </w:r>
          </w:p>
        </w:tc>
        <w:tc>
          <w:tcPr>
            <w:tcW w:w="1840" w:type="dxa"/>
            <w:vAlign w:val="bottom"/>
          </w:tcPr>
          <w:p>
            <w:pPr>
              <w:jc w:val="right"/>
              <w:ind w:right="96"/>
              <w:spacing w:after="0"/>
              <w:rPr>
                <w:sz w:val="20"/>
                <w:szCs w:val="20"/>
                <w:color w:val="auto"/>
              </w:rPr>
            </w:pPr>
            <w:r>
              <w:rPr>
                <w:rFonts w:ascii="Arial" w:cs="Arial" w:eastAsia="Arial" w:hAnsi="Arial"/>
                <w:sz w:val="18"/>
                <w:szCs w:val="18"/>
                <w:color w:val="auto"/>
              </w:rPr>
              <w:t>9,641</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5,587</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(42.0%)</w:t>
            </w:r>
          </w:p>
        </w:tc>
        <w:tc>
          <w:tcPr>
            <w:tcW w:w="960" w:type="dxa"/>
            <w:vAlign w:val="bottom"/>
          </w:tcPr>
          <w:p>
            <w:pPr>
              <w:jc w:val="right"/>
              <w:ind w:right="116"/>
              <w:spacing w:after="0"/>
              <w:rPr>
                <w:sz w:val="20"/>
                <w:szCs w:val="20"/>
                <w:color w:val="auto"/>
              </w:rPr>
            </w:pPr>
            <w:r>
              <w:rPr>
                <w:rFonts w:ascii="Arial" w:cs="Arial" w:eastAsia="Arial" w:hAnsi="Arial"/>
                <w:sz w:val="18"/>
                <w:szCs w:val="18"/>
                <w:color w:val="auto"/>
              </w:rPr>
              <w:t>37,596</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23,832</w:t>
            </w: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25,384</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39,761</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56.6%</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95,357</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125,258</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(82)</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(2,224)</w:t>
            </w:r>
          </w:p>
        </w:tc>
        <w:tc>
          <w:tcPr>
            <w:tcW w:w="10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(2,240)</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(4,515)</w:t>
            </w:r>
          </w:p>
        </w:tc>
        <w:tc>
          <w:tcPr>
            <w:tcW w:w="10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r>
              <w:rPr>
                <w:rFonts w:ascii="Arial" w:cs="Arial" w:eastAsia="Arial" w:hAnsi="Arial"/>
                <w:sz w:val="15"/>
                <w:szCs w:val="15"/>
                <w:color w:val="auto"/>
              </w:rPr>
              <w:t>1</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(2,284)</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(3,775)</w:t>
            </w: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(8,999)</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(11,198)</w:t>
            </w:r>
          </w:p>
        </w:tc>
        <w:tc>
          <w:tcPr>
            <w:tcW w:w="10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Diluted adjusted net loss per ADS</w:t>
            </w:r>
            <w:r>
              <w:rPr>
                <w:rFonts w:ascii="Arial" w:cs="Arial" w:eastAsia="Arial" w:hAnsi="Arial"/>
                <w:sz w:val="15"/>
                <w:szCs w:val="15"/>
                <w:color w:val="auto"/>
              </w:rPr>
              <w:t>1</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(0.11)</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(0.24)</w:t>
            </w:r>
          </w:p>
        </w:tc>
        <w:tc>
          <w:tcPr>
            <w:tcW w:w="10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(0.43)</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(0.59)</w:t>
            </w:r>
          </w:p>
        </w:tc>
        <w:tc>
          <w:tcPr>
            <w:tcW w:w="10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Gross billing</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billing from mobile audience solutions</w:t>
            </w:r>
          </w:p>
        </w:tc>
        <w:tc>
          <w:tcPr>
            <w:tcW w:w="1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28,447</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67,756</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138.2%</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112,403</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172,194</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53.2%</w:t>
            </w: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Gross billing from other solutions</w:t>
            </w:r>
          </w:p>
        </w:tc>
        <w:tc>
          <w:tcPr>
            <w:tcW w:w="1840" w:type="dxa"/>
            <w:vAlign w:val="bottom"/>
          </w:tcPr>
          <w:p>
            <w:pPr>
              <w:jc w:val="right"/>
              <w:ind w:right="96"/>
              <w:spacing w:after="0"/>
              <w:rPr>
                <w:sz w:val="20"/>
                <w:szCs w:val="20"/>
                <w:color w:val="auto"/>
              </w:rPr>
            </w:pPr>
            <w:r>
              <w:rPr>
                <w:rFonts w:ascii="Arial" w:cs="Arial" w:eastAsia="Arial" w:hAnsi="Arial"/>
                <w:sz w:val="18"/>
                <w:szCs w:val="18"/>
                <w:color w:val="auto"/>
              </w:rPr>
              <w:t>27,994</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18,669</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(33.3%)</w:t>
            </w:r>
          </w:p>
        </w:tc>
        <w:tc>
          <w:tcPr>
            <w:tcW w:w="960" w:type="dxa"/>
            <w:vAlign w:val="bottom"/>
          </w:tcPr>
          <w:p>
            <w:pPr>
              <w:jc w:val="right"/>
              <w:ind w:right="116"/>
              <w:spacing w:after="0"/>
              <w:rPr>
                <w:sz w:val="20"/>
                <w:szCs w:val="20"/>
                <w:color w:val="auto"/>
              </w:rPr>
            </w:pPr>
            <w:r>
              <w:rPr>
                <w:rFonts w:ascii="Arial" w:cs="Arial" w:eastAsia="Arial" w:hAnsi="Arial"/>
                <w:sz w:val="18"/>
                <w:szCs w:val="18"/>
                <w:color w:val="auto"/>
              </w:rPr>
              <w:t>123,850</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76,085</w:t>
            </w: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gross billing</w:t>
            </w:r>
          </w:p>
        </w:tc>
        <w:tc>
          <w:tcPr>
            <w:tcW w:w="1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56,441</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86,425</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53.1%</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236,253</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248,279</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pleased to conclude the fruitful year of 2017 with our successful IPO in December and report fourth quarter and full year results that include record high gross billing and net revenues. Net revenues from mobile audience solutions accounted for 85.9% and 81.0% of total net revenues of the fourth quarter and full year of 2017, respectively, demonstrating our strategic shift and full commitment to mobile marketing since 2015,” said Mr. Sammy Hsieh, Chief Executive Officer and Co-Founder of iClick. “Committed to leveraging technology and data to empower marketers, we have built the largest independent omni-channel online marketing platform in China</w:t>
      </w:r>
      <w:r>
        <w:rPr>
          <w:rFonts w:ascii="Arial" w:cs="Arial" w:eastAsia="Arial" w:hAnsi="Arial"/>
          <w:sz w:val="14"/>
          <w:szCs w:val="14"/>
          <w:color w:val="auto"/>
        </w:rPr>
        <w:t>2</w:t>
      </w:r>
      <w:r>
        <w:rPr>
          <w:rFonts w:ascii="Arial" w:cs="Arial" w:eastAsia="Arial" w:hAnsi="Arial"/>
          <w:sz w:val="17"/>
          <w:szCs w:val="17"/>
          <w:color w:val="auto"/>
        </w:rPr>
        <w:t xml:space="preserve"> along with the largest Chinese consumer datasets</w:t>
      </w:r>
      <w:r>
        <w:rPr>
          <w:rFonts w:ascii="Arial" w:cs="Arial" w:eastAsia="Arial" w:hAnsi="Arial"/>
          <w:sz w:val="14"/>
          <w:szCs w:val="14"/>
          <w:color w:val="auto"/>
        </w:rPr>
        <w:t>3</w:t>
      </w:r>
      <w:r>
        <w:rPr>
          <w:rFonts w:ascii="Arial" w:cs="Arial" w:eastAsia="Arial" w:hAnsi="Arial"/>
          <w:sz w:val="17"/>
          <w:szCs w:val="17"/>
          <w:color w:val="auto"/>
        </w:rPr>
        <w:t xml:space="preserve"> and multinational client coverage</w:t>
      </w:r>
      <w:r>
        <w:rPr>
          <w:rFonts w:ascii="Arial" w:cs="Arial" w:eastAsia="Arial" w:hAnsi="Arial"/>
          <w:sz w:val="14"/>
          <w:szCs w:val="14"/>
          <w:color w:val="auto"/>
        </w:rPr>
        <w:t>4</w:t>
      </w:r>
      <w:r>
        <w:rPr>
          <w:rFonts w:ascii="Arial" w:cs="Arial" w:eastAsia="Arial" w:hAnsi="Arial"/>
          <w:sz w:val="17"/>
          <w:szCs w:val="17"/>
          <w:color w:val="auto"/>
        </w:rPr>
        <w:t>. Looking forward in 2018, harnessing our advanced technology and data capabilities, we will further strive to develop new business models that benefit our clients and partners. We kick off 2018 on a high note by deepening relationships with our media partners. Coupled with our sophisticated technology and extensive database, we believe that our relentless focus on customer success and bringing in robust platform innovation will further strengthen our position as the leader in the independent digital marketing technology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460" w:right="620" w:hanging="452"/>
        <w:spacing w:after="0" w:line="258"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For more details on these non-GAAP financial measures, please see the tables captioned “Unaudited Reconciliations of GAAP and Non-GAAP Results” set forth at the end of this press release.</w:t>
      </w:r>
    </w:p>
    <w:p>
      <w:pPr>
        <w:ind w:left="460" w:hanging="452"/>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8"/>
          <w:szCs w:val="18"/>
          <w:color w:val="auto"/>
        </w:rPr>
        <w:t>In terms of gross billing in 2017 according to a report commissioned by us and prepared by Frost &amp; Sullivan.</w:t>
      </w:r>
    </w:p>
    <w:p>
      <w:pPr>
        <w:spacing w:after="0" w:line="9" w:lineRule="exact"/>
        <w:rPr>
          <w:sz w:val="20"/>
          <w:szCs w:val="20"/>
          <w:color w:val="auto"/>
        </w:rPr>
      </w:pPr>
    </w:p>
    <w:p>
      <w:pPr>
        <w:ind w:left="460" w:right="780" w:hanging="452"/>
        <w:spacing w:after="0" w:line="250"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 terms of number of active profiled users in 2017 among independent online marketing technology platforms in China according to a report commissioned by us and prepared by Frost &amp; Sullivan.</w:t>
      </w:r>
    </w:p>
    <w:p>
      <w:pPr>
        <w:spacing w:after="0" w:line="1" w:lineRule="exact"/>
        <w:rPr>
          <w:sz w:val="20"/>
          <w:szCs w:val="20"/>
          <w:color w:val="auto"/>
        </w:rPr>
      </w:pPr>
    </w:p>
    <w:p>
      <w:pPr>
        <w:ind w:left="460" w:right="540" w:hanging="452"/>
        <w:spacing w:after="0" w:line="262"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 terms of number of multinational clients among all independent online marketing technology platforms in China in 2017 according to a report commissioned by us and prepared by Frost &amp; Sullivan.</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Quarter 2017 Financial and Operational Updates:</w:t>
      </w:r>
    </w:p>
    <w:p>
      <w:pPr>
        <w:spacing w:after="0" w:line="117"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for the fourth quarter of 2017 increased by 56.6% to US$39.8 million from US$25.4 million in the fourth quarter of 2016, primarily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an increase in net revenues from the Company’s mobile audience solutions and partially offset by a decrease in net revenues from other solutions.</w:t>
      </w:r>
    </w:p>
    <w:p>
      <w:pPr>
        <w:spacing w:after="0" w:line="12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 xml:space="preserve">Net revenues from mobile audience solutions </w:t>
      </w:r>
      <w:r>
        <w:rPr>
          <w:rFonts w:ascii="Arial" w:cs="Arial" w:eastAsia="Arial" w:hAnsi="Arial"/>
          <w:sz w:val="17"/>
          <w:szCs w:val="17"/>
          <w:color w:val="auto"/>
        </w:rPr>
        <w:t>for the fourth quarter of 2017 increased by 117.1% to US$34.2 million from US$15.7 million in the fourth</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2016, primarily as a result of our strategic focus shifting to capture more market demand in mobile audience solutions.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Net revenues from other solutions </w:t>
      </w:r>
      <w:r>
        <w:rPr>
          <w:rFonts w:ascii="Arial" w:cs="Arial" w:eastAsia="Arial" w:hAnsi="Arial"/>
          <w:sz w:val="18"/>
          <w:szCs w:val="18"/>
          <w:color w:val="auto"/>
        </w:rPr>
        <w:t>for the fourth quarter of 2017 decreased by 42.0% to US$5.6 million from US$9.6 million in the fourth quarter of 2016,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the Company’s strategic shift away from other solutions.</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increased by 5.8% to US$9.7 million from US$9.2 million in the fourth quarter of 2016, primarily as a result of an increase in gross profit from</w:t>
      </w:r>
      <w:r>
        <w:rPr>
          <w:rFonts w:ascii="Arial" w:cs="Arial" w:eastAsia="Arial" w:hAnsi="Arial"/>
          <w:sz w:val="18"/>
          <w:szCs w:val="18"/>
          <w:b w:val="1"/>
          <w:bCs w:val="1"/>
          <w:color w:val="auto"/>
        </w:rPr>
        <w:t xml:space="preserve"> </w:t>
      </w:r>
      <w:r>
        <w:rPr>
          <w:rFonts w:ascii="Arial" w:cs="Arial" w:eastAsia="Arial" w:hAnsi="Arial"/>
          <w:sz w:val="18"/>
          <w:szCs w:val="18"/>
          <w:color w:val="auto"/>
        </w:rPr>
        <w:t>mobile audience solutions and partially offset by a decrease in gross profit from other solutions.</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decreased by 46.8% to US$15.5 million for the fourth quarter of 2017 from US$29.2 million for the fourth quarter of 2016. The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a decrease in staff costs as the Company continued to benefit from headcount optimization and increasing economies of scale. In addition, share-based compensation expenses decreased by 87.9% to US$2.2 million in the fourth quarter of 2017 from US$18.5 million in the fourth quarter of 2016.</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Operating loss </w:t>
      </w:r>
      <w:r>
        <w:rPr>
          <w:rFonts w:ascii="Arial" w:cs="Arial" w:eastAsia="Arial" w:hAnsi="Arial"/>
          <w:sz w:val="16"/>
          <w:szCs w:val="16"/>
          <w:color w:val="auto"/>
        </w:rPr>
        <w:t>for the fourth quarter of 2017 was US$5.8 million, compared with US$20.1 million during the fourth quarter of 2016 as a result of the above.</w:t>
      </w:r>
    </w:p>
    <w:p>
      <w:pPr>
        <w:spacing w:after="0" w:line="24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totaled US$8.7 million for the fourth quarter of 2017, decreased from US$18.9 million for the fourth quarter of 2016. Net loss attributable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shareholders per diluted ADS was US$0.41, compared with US$0.74 in the fourth quarter of 2016.</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Gross billing</w:t>
      </w:r>
      <w:r>
        <w:rPr>
          <w:rFonts w:ascii="Arial" w:cs="Arial" w:eastAsia="Arial" w:hAnsi="Arial"/>
          <w:sz w:val="14"/>
          <w:szCs w:val="14"/>
          <w:b w:val="1"/>
          <w:bCs w:val="1"/>
          <w:color w:val="auto"/>
        </w:rPr>
        <w:t>5</w:t>
      </w:r>
      <w:r>
        <w:rPr>
          <w:rFonts w:ascii="Arial" w:cs="Arial" w:eastAsia="Arial" w:hAnsi="Arial"/>
          <w:sz w:val="17"/>
          <w:szCs w:val="17"/>
          <w:b w:val="1"/>
          <w:bCs w:val="1"/>
          <w:color w:val="auto"/>
        </w:rPr>
        <w:t xml:space="preserve"> </w:t>
      </w:r>
      <w:r>
        <w:rPr>
          <w:rFonts w:ascii="Arial" w:cs="Arial" w:eastAsia="Arial" w:hAnsi="Arial"/>
          <w:sz w:val="17"/>
          <w:szCs w:val="17"/>
          <w:color w:val="auto"/>
        </w:rPr>
        <w:t>reached US$86.4 million during the fourth quarter of 2017, up 53.1% from the fourth quarter of 2016 primarily as a result of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growth in mobile audience solutions. Gross billing from mobile audience solutions was US$67.8 million during the fourth quarter of 2017, up 138.2% from the fourth quarter of 2016, as a result of clients generating larger mobile marketing spend. Gross billing from other solutions was US$18.7 million during the fourth quarter of 2017, down 33.3% from the fourth quarter of 2016 primarily as a result of the Company’s strategic focus shifting to mobile audience solutions. Historically, the fourth quarter of each calendar year generally contributes the largest portion of annual gross billing.</w:t>
      </w:r>
    </w:p>
    <w:p>
      <w:pPr>
        <w:spacing w:after="0" w:line="16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for the fourth quarter of 2017 was a loss of US$2.2 million, compared with a loss of US$0.1 million during the fourth quarter of 2016.</w:t>
      </w:r>
      <w:r>
        <w:rPr>
          <w:rFonts w:ascii="Arial" w:cs="Arial" w:eastAsia="Arial" w:hAnsi="Arial"/>
          <w:sz w:val="18"/>
          <w:szCs w:val="18"/>
          <w:b w:val="1"/>
          <w:bCs w:val="1"/>
          <w:color w:val="auto"/>
        </w:rPr>
        <w:t xml:space="preserve"> </w:t>
      </w:r>
      <w:r>
        <w:rPr>
          <w:rFonts w:ascii="Arial" w:cs="Arial" w:eastAsia="Arial" w:hAnsi="Arial"/>
          <w:sz w:val="18"/>
          <w:szCs w:val="18"/>
          <w:color w:val="auto"/>
        </w:rPr>
        <w:t>For a reconciliation of the Company’s adjusted EBITDA to net loss, its most comparable GAAP measure, please refer to “Unaudited Reconciliations of GAAP and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Gross billing is defined as the aggregate dollar amount that clients pay the Company after deducting rebates paid and discounts given to clients.</w:t>
      </w:r>
    </w:p>
    <w:p>
      <w:pPr>
        <w:sectPr>
          <w:pgSz w:w="11900" w:h="16838" w:orient="portrait"/>
          <w:cols w:equalWidth="0" w:num="1">
            <w:col w:w="11340"/>
          </w:cols>
          <w:pgMar w:left="240" w:top="270" w:right="319" w:bottom="1440" w:gutter="0" w:footer="0" w:header="0"/>
        </w:sectPr>
      </w:pPr>
    </w:p>
    <w:bookmarkStart w:id="5" w:name="page6"/>
    <w:bookmarkEnd w:id="5"/>
    <w:p>
      <w:pPr>
        <w:ind w:right="22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Adjusted net loss </w:t>
      </w:r>
      <w:r>
        <w:rPr>
          <w:rFonts w:ascii="Arial" w:cs="Arial" w:eastAsia="Arial" w:hAnsi="Arial"/>
          <w:sz w:val="16"/>
          <w:szCs w:val="16"/>
          <w:color w:val="auto"/>
        </w:rPr>
        <w:t>attributable to the Company’s shareholders, which excludes share-based compensation expenses, fair value (gain)/loss on derivative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other losses/(gains), increased to US$3.8 million from US$2.3 million in the fourth quarter of 2016. For a reconciliation of the Company’s adjusted net loss to net loss, its most comparable GAAP measure, please refer to “Unaudited Reconciliations of GAAP and Non-GAAP Results.”</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2017, the Company’s cash and cash equivalents and time deposit amounted to US$19.4 million and US$25.0 million, respectively, compared with US$27.3 million cash and cash equivalents as of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2017 Financial and Operational Updates:</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for the full year 2017 increased by 31.4% to US$125.3 million from US$95.4 million in 2016, primarily as a result of an increase in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from mobile audience solutions and partially offset by a decrease in net revenues from other solutions.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Net revenues from mobile audience solutions </w:t>
      </w:r>
      <w:r>
        <w:rPr>
          <w:rFonts w:ascii="Arial" w:cs="Arial" w:eastAsia="Arial" w:hAnsi="Arial"/>
          <w:sz w:val="18"/>
          <w:szCs w:val="18"/>
          <w:color w:val="auto"/>
        </w:rPr>
        <w:t>for the full year 2017 increased by 75.6% to US$101.4 million from US$57.8 million in 2016, primarily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Company’s strategic focus shifting to capture more market demand in mobile audience solutions.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Net revenues from other solutions </w:t>
      </w:r>
      <w:r>
        <w:rPr>
          <w:rFonts w:ascii="Arial" w:cs="Arial" w:eastAsia="Arial" w:hAnsi="Arial"/>
          <w:sz w:val="18"/>
          <w:szCs w:val="18"/>
          <w:color w:val="auto"/>
        </w:rPr>
        <w:t>for the full year 2017 decreased by 36.6% to US$23.8 million from US$37.6 million in 2016, primarily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strategic shift away from other solutions.</w:t>
      </w:r>
    </w:p>
    <w:p>
      <w:pPr>
        <w:spacing w:after="0" w:line="16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decreased by 13.9% to US$29.5 million in 2017 from US$34.3 million in 2016, primarily due to the expansion of the Company’s mobile</w:t>
      </w:r>
      <w:r>
        <w:rPr>
          <w:rFonts w:ascii="Arial" w:cs="Arial" w:eastAsia="Arial" w:hAnsi="Arial"/>
          <w:sz w:val="18"/>
          <w:szCs w:val="18"/>
          <w:b w:val="1"/>
          <w:bCs w:val="1"/>
          <w:color w:val="auto"/>
        </w:rPr>
        <w:t xml:space="preserve"> </w:t>
      </w:r>
      <w:r>
        <w:rPr>
          <w:rFonts w:ascii="Arial" w:cs="Arial" w:eastAsia="Arial" w:hAnsi="Arial"/>
          <w:sz w:val="18"/>
          <w:szCs w:val="18"/>
          <w:color w:val="auto"/>
        </w:rPr>
        <w:t>audience solutions, the gross profit margins of which are lower than those for other solutions.</w:t>
      </w:r>
    </w:p>
    <w:p>
      <w:pPr>
        <w:spacing w:after="0" w:line="16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Total operating expenses </w:t>
      </w:r>
      <w:r>
        <w:rPr>
          <w:rFonts w:ascii="Arial" w:cs="Arial" w:eastAsia="Arial" w:hAnsi="Arial"/>
          <w:sz w:val="16"/>
          <w:szCs w:val="16"/>
          <w:color w:val="auto"/>
        </w:rPr>
        <w:t>decreased by 29.7% to US$44.7 million for the full year 2017 from US$63.6 million for the full year 2016. The decrease was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a decrease in staff costs as the Company continued to benefit from headcount optimization and increasing economies of scale. In addition, share-based compensation expenses decreased by 76.1% to US$5.1 million in the full year 2017 from US$21.2 million in the full year 2016.</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for the full year 2017 was US$15.2 million, compared with US$29.3 million for the full year 2016.</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totaled US$24.6 million for the full year 2017, decreased from US$27.3 million for the full year 2016. Net loss attributable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per diluted ADS was US$1.07 in 2017, compared with US$1.13 in 2016.</w:t>
      </w:r>
    </w:p>
    <w:p>
      <w:pPr>
        <w:spacing w:after="0" w:line="162"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Gross billing </w:t>
      </w:r>
      <w:r>
        <w:rPr>
          <w:rFonts w:ascii="Arial" w:cs="Arial" w:eastAsia="Arial" w:hAnsi="Arial"/>
          <w:sz w:val="16"/>
          <w:szCs w:val="16"/>
          <w:color w:val="auto"/>
        </w:rPr>
        <w:t>reached US$248.3 million for the full year 2017, up 5.1% from 2016. Gross billing from mobile audience solutions was US$172.2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full year 2017, up 53.2% from 2016, as a result of clients generating larger mobile marketing spend. Gross billing from other solutions was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US$76.1 million for the full year 2017, down 38.6% from 2016 primarily as a result of the Company’s strategic focus shifting to mobile audience solutions during the year.</w:t>
      </w:r>
    </w:p>
    <w:p>
      <w:pPr>
        <w:spacing w:after="0" w:line="18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for the full year 2017 was a loss of US$4.5 million, while adjusted EBITDA was a loss of US$2.2 million during the full year of 2016.</w:t>
      </w:r>
      <w:r>
        <w:rPr>
          <w:rFonts w:ascii="Arial" w:cs="Arial" w:eastAsia="Arial" w:hAnsi="Arial"/>
          <w:sz w:val="18"/>
          <w:szCs w:val="18"/>
          <w:b w:val="1"/>
          <w:bCs w:val="1"/>
          <w:color w:val="auto"/>
        </w:rPr>
        <w:t xml:space="preserve"> </w:t>
      </w:r>
      <w:r>
        <w:rPr>
          <w:rFonts w:ascii="Arial" w:cs="Arial" w:eastAsia="Arial" w:hAnsi="Arial"/>
          <w:sz w:val="18"/>
          <w:szCs w:val="18"/>
          <w:color w:val="auto"/>
        </w:rPr>
        <w:t>For a reconciliation of the Company’s adjusted EBITDA to net loss, its most comparable GAAP measure, please refer to “Unaudited Reconciliations of GAAP and Non-GAAP Results.”</w:t>
      </w:r>
    </w:p>
    <w:p>
      <w:pPr>
        <w:sectPr>
          <w:pgSz w:w="11900" w:h="16838" w:orient="portrait"/>
          <w:cols w:equalWidth="0" w:num="1">
            <w:col w:w="11260"/>
          </w:cols>
          <w:pgMar w:left="240" w:top="270" w:right="399" w:bottom="1440" w:gutter="0" w:footer="0" w:header="0"/>
        </w:sectPr>
      </w:pPr>
    </w:p>
    <w:bookmarkStart w:id="6" w:name="page7"/>
    <w:bookmarkEnd w:id="6"/>
    <w:p>
      <w:pPr>
        <w:ind w:right="20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Adjusted net loss </w:t>
      </w:r>
      <w:r>
        <w:rPr>
          <w:rFonts w:ascii="Arial" w:cs="Arial" w:eastAsia="Arial" w:hAnsi="Arial"/>
          <w:sz w:val="16"/>
          <w:szCs w:val="16"/>
          <w:color w:val="auto"/>
        </w:rPr>
        <w:t>attributable to the Company’s shareholders, which excludes share-based compensation expenses, fair value (gain)/loss on derivative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other losses/(gains), increased to US$11.2 million in 2017 from US$9.0 million in 2016. For a reconciliation of the Company’s adjusted net loss to net loss, its most comparable GAAP measure, please refer to “Unaudited Reconciliations of GAAP and Non-GAAP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Based on the information available as of the date of this press release, the Company provides the following outlook:</w:t>
      </w:r>
    </w:p>
    <w:p>
      <w:pPr>
        <w:spacing w:after="0" w:line="131" w:lineRule="exact"/>
        <w:rPr>
          <w:sz w:val="20"/>
          <w:szCs w:val="20"/>
          <w:color w:val="auto"/>
        </w:rPr>
      </w:pPr>
    </w:p>
    <w:p>
      <w:pPr>
        <w:ind w:left="440" w:right="160" w:hanging="324"/>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are estimated to be between US$175 million and US$180 million for the full year 2018, representing a growth of 39.7% to 43.7% from the full year 2017.</w:t>
      </w:r>
    </w:p>
    <w:p>
      <w:pPr>
        <w:spacing w:after="0" w:line="75"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billing is estimated to be between US$380 million and US$420 million for the full year 2018, representing a growth of 53.1% to 69.2% from the full year 2017.</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above outlook is based on the current market conditions and reflects the Company’s preliminary estimates of market and operating conditions, and customer demand, which are all subject to change.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management will host an earnings conference call at 8:00 AM U.S. Eastern Time on March 28, 2018 (8:00 PM Beijing/Hong Kong time on March 28,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earnings conference call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00"/>
              <w:spacing w:after="0"/>
              <w:rPr>
                <w:sz w:val="20"/>
                <w:szCs w:val="20"/>
                <w:color w:val="auto"/>
              </w:rPr>
            </w:pPr>
            <w:r>
              <w:rPr>
                <w:rFonts w:ascii="Arial" w:cs="Arial" w:eastAsia="Arial" w:hAnsi="Arial"/>
                <w:sz w:val="18"/>
                <w:szCs w:val="18"/>
                <w:color w:val="auto"/>
                <w:w w:val="89"/>
              </w:rPr>
              <w:t>+1-845-675-0437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International:</w:t>
            </w:r>
          </w:p>
        </w:tc>
        <w:tc>
          <w:tcPr>
            <w:tcW w:w="1460" w:type="dxa"/>
            <w:vAlign w:val="bottom"/>
          </w:tcPr>
          <w:p>
            <w:pPr>
              <w:ind w:left="200"/>
              <w:spacing w:after="0"/>
              <w:rPr>
                <w:sz w:val="20"/>
                <w:szCs w:val="20"/>
                <w:color w:val="auto"/>
              </w:rPr>
            </w:pPr>
            <w:r>
              <w:rPr>
                <w:rFonts w:ascii="Arial" w:cs="Arial" w:eastAsia="Arial" w:hAnsi="Arial"/>
                <w:sz w:val="18"/>
                <w:szCs w:val="18"/>
                <w:color w:val="auto"/>
              </w:rPr>
              <w:t>+65-6713-5090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Hong Kong:</w:t>
            </w:r>
          </w:p>
        </w:tc>
        <w:tc>
          <w:tcPr>
            <w:tcW w:w="1460" w:type="dxa"/>
            <w:vAlign w:val="bottom"/>
          </w:tcPr>
          <w:p>
            <w:pPr>
              <w:ind w:left="200"/>
              <w:spacing w:after="0"/>
              <w:rPr>
                <w:sz w:val="20"/>
                <w:szCs w:val="20"/>
                <w:color w:val="auto"/>
              </w:rPr>
            </w:pPr>
            <w:r>
              <w:rPr>
                <w:rFonts w:ascii="Arial" w:cs="Arial" w:eastAsia="Arial" w:hAnsi="Arial"/>
                <w:sz w:val="18"/>
                <w:szCs w:val="18"/>
                <w:color w:val="auto"/>
                <w:w w:val="93"/>
              </w:rPr>
              <w:t>+852-3018-6771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China:</w:t>
            </w:r>
          </w:p>
        </w:tc>
        <w:tc>
          <w:tcPr>
            <w:tcW w:w="1460" w:type="dxa"/>
            <w:vAlign w:val="bottom"/>
          </w:tcPr>
          <w:p>
            <w:pPr>
              <w:ind w:left="200"/>
              <w:spacing w:after="0"/>
              <w:rPr>
                <w:sz w:val="20"/>
                <w:szCs w:val="20"/>
                <w:color w:val="auto"/>
              </w:rPr>
            </w:pPr>
            <w:r>
              <w:rPr>
                <w:rFonts w:ascii="Arial" w:cs="Arial" w:eastAsia="Arial" w:hAnsi="Arial"/>
                <w:sz w:val="18"/>
                <w:szCs w:val="18"/>
                <w:color w:val="auto"/>
              </w:rPr>
              <w:t>400-620-8038</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Conference ID:</w:t>
            </w:r>
          </w:p>
        </w:tc>
        <w:tc>
          <w:tcPr>
            <w:tcW w:w="1460" w:type="dxa"/>
            <w:vAlign w:val="bottom"/>
          </w:tcPr>
          <w:p>
            <w:pPr>
              <w:ind w:left="200"/>
              <w:spacing w:after="0"/>
              <w:rPr>
                <w:sz w:val="20"/>
                <w:szCs w:val="20"/>
                <w:color w:val="auto"/>
              </w:rPr>
            </w:pPr>
            <w:r>
              <w:rPr>
                <w:rFonts w:ascii="Arial" w:cs="Arial" w:eastAsia="Arial" w:hAnsi="Arial"/>
                <w:sz w:val="18"/>
                <w:szCs w:val="18"/>
                <w:color w:val="auto"/>
              </w:rPr>
              <w:t>7285169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dial-in at least 5 minutes before the scheduled start time and ask to be connected to the call for “iClick Interactive.”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http://ir.i-click.com</w:t>
      </w:r>
      <w:r>
        <w:rPr>
          <w:rFonts w:ascii="Arial" w:cs="Arial" w:eastAsia="Arial" w:hAnsi="Arial"/>
          <w:sz w:val="17"/>
          <w:szCs w:val="17"/>
          <w:color w:val="auto"/>
        </w:rPr>
        <w:t>.</w:t>
      </w: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replay of the conference call will be accessible approximately one hour after the conclusion of the live call until April 04, 2018, by dialling the following telephone numbers: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United States:</w:t>
            </w:r>
          </w:p>
        </w:tc>
        <w:tc>
          <w:tcPr>
            <w:tcW w:w="1540" w:type="dxa"/>
            <w:vAlign w:val="bottom"/>
          </w:tcPr>
          <w:p>
            <w:pPr>
              <w:ind w:left="280"/>
              <w:spacing w:after="0"/>
              <w:rPr>
                <w:sz w:val="20"/>
                <w:szCs w:val="20"/>
                <w:color w:val="auto"/>
              </w:rPr>
            </w:pPr>
            <w:r>
              <w:rPr>
                <w:rFonts w:ascii="Arial" w:cs="Arial" w:eastAsia="Arial" w:hAnsi="Arial"/>
                <w:sz w:val="18"/>
                <w:szCs w:val="18"/>
                <w:color w:val="auto"/>
                <w:w w:val="89"/>
              </w:rPr>
              <w:t>+1-855-452-5696</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International:</w:t>
            </w:r>
          </w:p>
        </w:tc>
        <w:tc>
          <w:tcPr>
            <w:tcW w:w="1540" w:type="dxa"/>
            <w:vAlign w:val="bottom"/>
          </w:tcPr>
          <w:p>
            <w:pPr>
              <w:ind w:left="280"/>
              <w:spacing w:after="0"/>
              <w:rPr>
                <w:sz w:val="20"/>
                <w:szCs w:val="20"/>
                <w:color w:val="auto"/>
              </w:rPr>
            </w:pPr>
            <w:r>
              <w:rPr>
                <w:rFonts w:ascii="Arial" w:cs="Arial" w:eastAsia="Arial" w:hAnsi="Arial"/>
                <w:sz w:val="18"/>
                <w:szCs w:val="18"/>
                <w:color w:val="auto"/>
                <w:w w:val="89"/>
              </w:rPr>
              <w:t>+61-2-8199-0299</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Hong Kong:</w:t>
            </w:r>
          </w:p>
        </w:tc>
        <w:tc>
          <w:tcPr>
            <w:tcW w:w="1540" w:type="dxa"/>
            <w:vAlign w:val="bottom"/>
          </w:tcPr>
          <w:p>
            <w:pPr>
              <w:ind w:left="280"/>
              <w:spacing w:after="0"/>
              <w:rPr>
                <w:sz w:val="20"/>
                <w:szCs w:val="20"/>
                <w:color w:val="auto"/>
              </w:rPr>
            </w:pPr>
            <w:r>
              <w:rPr>
                <w:rFonts w:ascii="Arial" w:cs="Arial" w:eastAsia="Arial" w:hAnsi="Arial"/>
                <w:sz w:val="18"/>
                <w:szCs w:val="18"/>
                <w:color w:val="auto"/>
              </w:rPr>
              <w:t>800-963-117</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China:</w:t>
            </w:r>
          </w:p>
        </w:tc>
        <w:tc>
          <w:tcPr>
            <w:tcW w:w="1540" w:type="dxa"/>
            <w:vAlign w:val="bottom"/>
          </w:tcPr>
          <w:p>
            <w:pPr>
              <w:ind w:left="280"/>
              <w:spacing w:after="0"/>
              <w:rPr>
                <w:sz w:val="20"/>
                <w:szCs w:val="20"/>
                <w:color w:val="auto"/>
              </w:rPr>
            </w:pPr>
            <w:r>
              <w:rPr>
                <w:rFonts w:ascii="Arial" w:cs="Arial" w:eastAsia="Arial" w:hAnsi="Arial"/>
                <w:sz w:val="18"/>
                <w:szCs w:val="18"/>
                <w:color w:val="auto"/>
              </w:rPr>
              <w:t>400-632-2162</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Replay Access Code:</w:t>
            </w:r>
          </w:p>
        </w:tc>
        <w:tc>
          <w:tcPr>
            <w:tcW w:w="1540" w:type="dxa"/>
            <w:vAlign w:val="bottom"/>
          </w:tcPr>
          <w:p>
            <w:pPr>
              <w:ind w:left="280"/>
              <w:spacing w:after="0"/>
              <w:rPr>
                <w:sz w:val="20"/>
                <w:szCs w:val="20"/>
                <w:color w:val="auto"/>
              </w:rPr>
            </w:pPr>
            <w:r>
              <w:rPr>
                <w:rFonts w:ascii="Arial" w:cs="Arial" w:eastAsia="Arial" w:hAnsi="Arial"/>
                <w:sz w:val="18"/>
                <w:szCs w:val="18"/>
                <w:color w:val="auto"/>
              </w:rPr>
              <w:t>7285169</w:t>
            </w:r>
          </w:p>
        </w:tc>
      </w:tr>
    </w:tbl>
    <w:p>
      <w:pPr>
        <w:sectPr>
          <w:pgSz w:w="11900" w:h="16838" w:orient="portrait"/>
          <w:cols w:equalWidth="0" w:num="1">
            <w:col w:w="11320"/>
          </w:cols>
          <w:pgMar w:left="240" w:top="27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iClick Interactive Asia Group Limited</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iClick Interactive Asia Group Limited (NASDAQ:ICLK) is an independent online marketing technology platform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Interactive was established in 2009, currently operating in eight locations worldwide including Asia and London.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http://ir.i-click.com.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use adjusted EBITDA, adjusted net loss, and diluted adjusted net loss per ADS, each a non-GAAP financial measure, in evaluating our operating results and for financial and operational decision making purposes.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that adjusted EBITDA, adjusted net loss, and diluted adjusted net loss per ADS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Adjusted EBITDA, adjusted net loss, and diluted adjusted net loss per ADS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adjusted net loss, and diluted adjusted net loss per ADS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more information on these non-GAAP financial measures, please see the table captioned “Unaudited Reconciliations of GAAP and Non-GAAP results” set forth at the end of this press release.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Preliminary Unaudited Financial Information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unaudited financial information set out in this press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ectPr>
          <w:pgSz w:w="11900" w:h="16838" w:orient="portrait"/>
          <w:cols w:equalWidth="0" w:num="1">
            <w:col w:w="11380"/>
          </w:cols>
          <w:pgMar w:left="240" w:top="27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strategies;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and general economic conditions in China.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Jie Jiao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+852-3700-9065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ir@i-click.com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Ross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(10) 5730-6201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iclick@tpg-ir.com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+1-212-481-2050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iclick@tpg-ir.com</w:t>
      </w:r>
    </w:p>
    <w:p>
      <w:pPr>
        <w:sectPr>
          <w:pgSz w:w="11900" w:h="16838" w:orient="portrait"/>
          <w:cols w:equalWidth="0" w:num="1">
            <w:col w:w="11380"/>
          </w:cols>
          <w:pgMar w:left="240" w:top="270"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4"/>
                <w:szCs w:val="14"/>
                <w:color w:val="auto"/>
              </w:rPr>
              <w:t>Three Months Ended</w:t>
            </w:r>
          </w:p>
        </w:tc>
        <w:tc>
          <w:tcPr>
            <w:tcW w:w="2060" w:type="dxa"/>
            <w:vAlign w:val="bottom"/>
            <w:gridSpan w:val="4"/>
          </w:tcPr>
          <w:p>
            <w:pPr>
              <w:jc w:val="right"/>
              <w:ind w:right="76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2160" w:type="dxa"/>
            <w:vAlign w:val="bottom"/>
            <w:gridSpan w:val="5"/>
          </w:tcPr>
          <w:p>
            <w:pPr>
              <w:jc w:val="right"/>
              <w:ind w:right="780"/>
              <w:spacing w:after="0" w:line="157" w:lineRule="exact"/>
              <w:rPr>
                <w:sz w:val="20"/>
                <w:szCs w:val="20"/>
                <w:color w:val="auto"/>
              </w:rPr>
            </w:pPr>
            <w:r>
              <w:rPr>
                <w:rFonts w:ascii="Arial" w:cs="Arial" w:eastAsia="Arial" w:hAnsi="Arial"/>
                <w:sz w:val="14"/>
                <w:szCs w:val="14"/>
                <w:color w:val="auto"/>
              </w:rPr>
              <w:t>December 31,</w:t>
            </w:r>
          </w:p>
        </w:tc>
        <w:tc>
          <w:tcPr>
            <w:tcW w:w="2060" w:type="dxa"/>
            <w:vAlign w:val="bottom"/>
            <w:gridSpan w:val="4"/>
          </w:tcPr>
          <w:p>
            <w:pPr>
              <w:jc w:val="right"/>
              <w:ind w:right="680"/>
              <w:spacing w:after="0" w:line="15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25,384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39,761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95,357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 of revenues</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(16,201)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(30,045)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(61,048)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(2,104)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(7,533)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(8,287)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(28,266)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(19,602)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(26,767)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(12,983)</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(15,543)</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(63,617)</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(20,056)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(29,308)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(224)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(713)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(losses)/gains, net</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gain/(loss) on derivative liabilities</w:t>
            </w:r>
          </w:p>
        </w:tc>
        <w:tc>
          <w:tcPr>
            <w:tcW w:w="880" w:type="dxa"/>
            <w:vAlign w:val="bottom"/>
          </w:tcPr>
          <w:p>
            <w:pPr>
              <w:jc w:val="right"/>
              <w:spacing w:after="0"/>
              <w:rPr>
                <w:sz w:val="20"/>
                <w:szCs w:val="20"/>
                <w:color w:val="auto"/>
              </w:rPr>
            </w:pPr>
            <w:r>
              <w:rPr>
                <w:rFonts w:ascii="Arial" w:cs="Arial" w:eastAsia="Arial" w:hAnsi="Arial"/>
                <w:sz w:val="18"/>
                <w:szCs w:val="18"/>
                <w:color w:val="auto"/>
              </w:rPr>
              <w:t>2,498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(3,134)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3,995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(18,487)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(27,108)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(462)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(18,949)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(27,330)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w w:val="99"/>
              </w:rPr>
              <w:t>Net loss attributable to iClick Interactive Asia Group Limited’s ordinary shareholders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(12,163)</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(18,949)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(27,330)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comprehensive gain/(loss):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ADS attributable to iClick Interactive Asia Group Limited</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Basic</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(0.74)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(0.41)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 share calculation: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26,363,181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29,699,102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26,302,126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27,863,006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Diluted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26,363,181</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29,699,102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26,302,126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27,863,006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520" w:type="dxa"/>
            <w:vAlign w:val="bottom"/>
            <w:gridSpan w:val="4"/>
          </w:tcPr>
          <w:p>
            <w:pPr>
              <w:jc w:val="right"/>
              <w:ind w:right="2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27,280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Restricted cash</w:t>
            </w:r>
          </w:p>
        </w:tc>
        <w:tc>
          <w:tcPr>
            <w:tcW w:w="660" w:type="dxa"/>
            <w:vAlign w:val="bottom"/>
          </w:tcPr>
          <w:p>
            <w:pPr>
              <w:jc w:val="right"/>
              <w:spacing w:after="0"/>
              <w:rPr>
                <w:sz w:val="20"/>
                <w:szCs w:val="20"/>
                <w:color w:val="auto"/>
              </w:rPr>
            </w:pPr>
            <w:r>
              <w:rPr>
                <w:rFonts w:ascii="Arial" w:cs="Arial" w:eastAsia="Arial" w:hAnsi="Arial"/>
                <w:sz w:val="18"/>
                <w:szCs w:val="18"/>
                <w:color w:val="auto"/>
              </w:rPr>
              <w:t>5,234</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Time deposit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80" w:type="dxa"/>
            <w:vAlign w:val="bottom"/>
          </w:tcPr>
          <w:p>
            <w:pPr>
              <w:spacing w:after="0" w:line="201" w:lineRule="exact"/>
              <w:rPr>
                <w:sz w:val="20"/>
                <w:szCs w:val="20"/>
                <w:color w:val="auto"/>
              </w:rPr>
            </w:pPr>
            <w:r>
              <w:rPr>
                <w:rFonts w:ascii="Arial" w:cs="Arial" w:eastAsia="Arial" w:hAnsi="Arial"/>
                <w:sz w:val="18"/>
                <w:szCs w:val="18"/>
                <w:color w:val="auto"/>
                <w:w w:val="97"/>
              </w:rPr>
              <w:t>Accounts receivable, net of allowance for doubtful receivables of US$1,693 and US$1,478 as of December 31, 2016 and 2017,</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30,694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Prepaid media costs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34,409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Income tax receivable</w:t>
            </w: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102,969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127,427</w:t>
            </w: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tcPr>
          <w:p>
            <w:pPr>
              <w:jc w:val="right"/>
              <w:spacing w:after="0"/>
              <w:rPr>
                <w:sz w:val="20"/>
                <w:szCs w:val="20"/>
                <w:color w:val="auto"/>
              </w:rPr>
            </w:pPr>
            <w:r>
              <w:rPr>
                <w:rFonts w:ascii="Arial" w:cs="Arial" w:eastAsia="Arial" w:hAnsi="Arial"/>
                <w:sz w:val="18"/>
                <w:szCs w:val="18"/>
                <w:color w:val="auto"/>
              </w:rPr>
              <w:t>2,318</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14,804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Goodwill</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48,496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66,671</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169,640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188,822</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80" w:type="dxa"/>
            <w:vAlign w:val="bottom"/>
          </w:tcPr>
          <w:p>
            <w:pPr>
              <w:spacing w:after="0" w:line="201" w:lineRule="exact"/>
              <w:rPr>
                <w:sz w:val="20"/>
                <w:szCs w:val="20"/>
                <w:color w:val="auto"/>
              </w:rPr>
            </w:pPr>
            <w:r>
              <w:rPr>
                <w:rFonts w:ascii="Arial" w:cs="Arial" w:eastAsia="Arial" w:hAnsi="Arial"/>
                <w:sz w:val="18"/>
                <w:szCs w:val="18"/>
                <w:color w:val="auto"/>
                <w:w w:val="92"/>
              </w:rPr>
              <w:t>Accounts payable (including accounts payable of the consolidated variable interest entity (“VIE”) and its subsidiary without recourse to</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the Company of US$28 and US$29 as of December 31, 2016 and 2017, respectively)</w:t>
            </w:r>
          </w:p>
        </w:tc>
        <w:tc>
          <w:tcPr>
            <w:tcW w:w="660" w:type="dxa"/>
            <w:vAlign w:val="bottom"/>
          </w:tcPr>
          <w:p>
            <w:pPr>
              <w:jc w:val="right"/>
              <w:spacing w:after="0"/>
              <w:rPr>
                <w:sz w:val="20"/>
                <w:szCs w:val="20"/>
                <w:color w:val="auto"/>
              </w:rPr>
            </w:pPr>
            <w:r>
              <w:rPr>
                <w:rFonts w:ascii="Arial" w:cs="Arial" w:eastAsia="Arial" w:hAnsi="Arial"/>
                <w:sz w:val="18"/>
                <w:szCs w:val="18"/>
                <w:color w:val="auto"/>
              </w:rPr>
              <w:t>9,189</w:t>
            </w: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Deferred revenue (including deferred revenue of the consolidated VIE and its subsidiary without recourse to the Company of</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US$11,878 and US$5,986 as of December 31, 2016 and 2017, respectively)</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25,697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80" w:type="dxa"/>
            <w:vAlign w:val="bottom"/>
          </w:tcPr>
          <w:p>
            <w:pPr>
              <w:spacing w:after="0" w:line="201" w:lineRule="exact"/>
              <w:rPr>
                <w:sz w:val="20"/>
                <w:szCs w:val="20"/>
                <w:color w:val="auto"/>
              </w:rPr>
            </w:pPr>
            <w:r>
              <w:rPr>
                <w:rFonts w:ascii="Arial" w:cs="Arial" w:eastAsia="Arial" w:hAnsi="Arial"/>
                <w:sz w:val="18"/>
                <w:szCs w:val="18"/>
                <w:color w:val="auto"/>
                <w:w w:val="94"/>
              </w:rPr>
              <w:t>Accrued liabilities and other current liabilities (including accrued liabilities and other current liabilities of the consolidated VIE and its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subsidiary without recourse to the Company of US$404 and US$804 as of December 31, 2016 and 2017, respectively)</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15,091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60,525</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Bank borrowings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12,982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30"/>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125,505</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3,705</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129,569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0"/>
              </w:rPr>
              <w:t>Series A convertible redeemable preferred shares (US$0.001 par value; 2,500,000 and nil shares authorized as of December 31,</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2016 and 2017, respectively; 2,476,190 and nil shares issued and outstanding as of December 31, 2016 and 2017,</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respectively; redemption amount of US$6,737 and US$nil as of December 31, 2016 and 2017, respectively)</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5,597</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Series B convertible redeemable preferred shares (US$0.001 par value; 3,000,000 and nil shares authorized as of December 31,</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2016 and 2017, respectively; 1,889,249 and nil shares issued and outstanding as of December 31, 2016 and 2017,</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 redemption amount of US$14,625 and US$nil as of December 31, 2016 and 2017, respectively)</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9,807</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0"/>
              </w:rPr>
              <w:t>Series C convertible redeemable preferred shares (US$0.001 par value; 1,650,000 and nil shares authorized as of December 31,</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2016 and 2017, respectively; 1,599,186 and nil shares issued and outstanding as of December 31, 2016 and 2017,</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respectively; redemption amount of US$22,288 and US$nil as of December 31, 2016 and 2017, respectively)</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10,733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Series D convertible redeemable preferred shares (US$0.001 par value; 4,500,000 and nil shares authorized as of December 31,</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2016 and 2017, respectively; 2,493,018 and nil shares issued and outstanding as of December 31, 2016 and 2017,</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 redemption amount of US$58,874 and US$nil as of December 31, 2016 and 2017, respectively)</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43,956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0"/>
              </w:rPr>
              <w:t>Series E convertible redeemable preferred shares (US$0.001 par value; 1,200,000 and nil shares authorized as of December 31,</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2016 and 2017, respectively; 1,068,114 and nil shares issued and outstanding as of December 31, 2016 and 2017,</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respectively; redemption amount of US$20,000 and US$nil as of December 31, 2016 and 2017, respectively)</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18,845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Redeemable ordinary shares (US$0.001 par value; 742,320 and nil shares issued and outstanding as of December 31, 2016 and</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 respectively)</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15,445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3"/>
              </w:rPr>
              <w:t>Ordinary shares – Class A (US$0.001 par value; 37,150,000 and 80,000,000 shares authorized as of December 31, 2016 and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2017, respectively; 13,609,208 and 21,238,825 shares issued and outstanding as of December 31, 2016 and 2017,</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Ordinary shares – Class B (US$0.001 par value; nil and 20,000,000 shares authorized as of December 31, 2016 and 2017,</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 nil and 4,820,608 shares issued and outstanding as of December 31, 2016 and 2017, respectively)</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Treasury shares (2,149,280 and 2,123,382 shares as of December 31, 2016 and 2017, respectively)</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(2,468)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65,687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Statutory reserves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losses</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(3,241)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(124,385)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(149,004)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(64,312)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119,984</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2"/>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57" w:right="239" w:bottom="1440" w:gutter="0" w:footer="0" w:header="0"/>
        </w:sectPr>
      </w:pPr>
    </w:p>
    <w:bookmarkStart w:id="12" w:name="page13"/>
    <w:bookmarkEnd w:id="1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ICLICK INTERACTIVE ASIA GROUP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expense, (iv) share-based compensation, (v) fair value (gain)/loss on derivative liabilities, and (vi) other losses/(gains),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EBITDA to net loss for the periods indicated:</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780" w:type="dxa"/>
            <w:vAlign w:val="bottom"/>
            <w:gridSpan w:val="4"/>
          </w:tcPr>
          <w:p>
            <w:pPr>
              <w:jc w:val="right"/>
              <w:ind w:right="440"/>
              <w:spacing w:after="0"/>
              <w:rPr>
                <w:sz w:val="20"/>
                <w:szCs w:val="20"/>
                <w:color w:val="auto"/>
              </w:rPr>
            </w:pPr>
            <w:r>
              <w:rPr>
                <w:rFonts w:ascii="Arial" w:cs="Arial" w:eastAsia="Arial" w:hAnsi="Arial"/>
                <w:sz w:val="14"/>
                <w:szCs w:val="14"/>
                <w:color w:val="auto"/>
              </w:rPr>
              <w:t>Three Months Ended</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780" w:type="dxa"/>
            <w:vAlign w:val="bottom"/>
            <w:gridSpan w:val="4"/>
          </w:tcPr>
          <w:p>
            <w:pPr>
              <w:jc w:val="right"/>
              <w:ind w:right="640"/>
              <w:spacing w:after="0" w:line="149" w:lineRule="exact"/>
              <w:rPr>
                <w:sz w:val="20"/>
                <w:szCs w:val="20"/>
                <w:color w:val="auto"/>
              </w:rPr>
            </w:pPr>
            <w:r>
              <w:rPr>
                <w:rFonts w:ascii="Arial" w:cs="Arial" w:eastAsia="Arial" w:hAnsi="Arial"/>
                <w:sz w:val="14"/>
                <w:szCs w:val="14"/>
                <w:color w:val="auto"/>
              </w:rPr>
              <w:t>December 31,</w:t>
            </w:r>
          </w:p>
        </w:tc>
        <w:tc>
          <w:tcPr>
            <w:tcW w:w="172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w w:val="92"/>
              </w:rPr>
              <w:t>Year Ended December 31,</w:t>
            </w:r>
          </w:p>
        </w:tc>
        <w:tc>
          <w:tcPr>
            <w:tcW w:w="0" w:type="dxa"/>
            <w:vAlign w:val="bottom"/>
          </w:tcPr>
          <w:p>
            <w:pPr>
              <w:spacing w:after="0"/>
              <w:rPr>
                <w:sz w:val="1"/>
                <w:szCs w:val="1"/>
                <w:color w:val="auto"/>
              </w:rPr>
            </w:pPr>
          </w:p>
        </w:tc>
      </w:tr>
      <w:tr>
        <w:trPr>
          <w:trHeight w:val="182"/>
        </w:trPr>
        <w:tc>
          <w:tcPr>
            <w:tcW w:w="7000" w:type="dxa"/>
            <w:vAlign w:val="bottom"/>
            <w:vMerge w:val="restart"/>
          </w:tcPr>
          <w:p>
            <w:pPr>
              <w:spacing w:after="0"/>
              <w:rPr>
                <w:sz w:val="20"/>
                <w:szCs w:val="20"/>
                <w:color w:val="auto"/>
              </w:rPr>
            </w:pPr>
            <w:r>
              <w:rPr>
                <w:rFonts w:ascii="Arial" w:cs="Arial" w:eastAsia="Arial" w:hAnsi="Arial"/>
                <w:sz w:val="14"/>
                <w:szCs w:val="14"/>
                <w:i w:val="1"/>
                <w:iCs w:val="1"/>
                <w:color w:val="auto"/>
              </w:rPr>
              <w:t>(Unaudited)</w:t>
            </w:r>
          </w:p>
        </w:tc>
        <w:tc>
          <w:tcPr>
            <w:tcW w:w="620" w:type="dxa"/>
            <w:vAlign w:val="bottom"/>
          </w:tcPr>
          <w:p>
            <w:pPr>
              <w:jc w:val="right"/>
              <w:ind w:right="74"/>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5"/>
                <w:szCs w:val="15"/>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0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(18,949)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(8,735)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(27,330)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Add / (less):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1,516</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5,584</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130</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713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7000" w:type="dxa"/>
            <w:vAlign w:val="bottom"/>
          </w:tcPr>
          <w:p>
            <w:pPr>
              <w:ind w:left="360"/>
              <w:spacing w:after="0"/>
              <w:rPr>
                <w:sz w:val="20"/>
                <w:szCs w:val="20"/>
                <w:color w:val="auto"/>
              </w:rPr>
            </w:pPr>
            <w:r>
              <w:rPr>
                <w:rFonts w:ascii="Arial" w:cs="Arial" w:eastAsia="Arial" w:hAnsi="Arial"/>
                <w:sz w:val="18"/>
                <w:szCs w:val="18"/>
                <w:color w:val="auto"/>
              </w:rPr>
              <w:t>EBITDA</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(16,747)</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(7,184)</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(20,571)</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18,458</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2,231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21,244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(gain)/loss on derivative liabilities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(2,498)</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Other losses/(gains), net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705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(405)</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1,082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(2,224)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Adjusted net loss represents net loss before (i) share-based compensation, (ii) fair value (gain)/loss on derivative liabilities, and (iii) other losses/(gains),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net loss to net loss for the periods indicated:</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780" w:type="dxa"/>
            <w:vAlign w:val="bottom"/>
            <w:gridSpan w:val="4"/>
          </w:tcPr>
          <w:p>
            <w:pPr>
              <w:jc w:val="right"/>
              <w:ind w:right="360"/>
              <w:spacing w:after="0"/>
              <w:rPr>
                <w:sz w:val="20"/>
                <w:szCs w:val="20"/>
                <w:color w:val="auto"/>
              </w:rPr>
            </w:pPr>
            <w:r>
              <w:rPr>
                <w:rFonts w:ascii="Arial" w:cs="Arial" w:eastAsia="Arial" w:hAnsi="Arial"/>
                <w:sz w:val="14"/>
                <w:szCs w:val="14"/>
                <w:color w:val="auto"/>
              </w:rPr>
              <w:t>Three Months Ended</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780" w:type="dxa"/>
            <w:vAlign w:val="bottom"/>
            <w:gridSpan w:val="4"/>
          </w:tcPr>
          <w:p>
            <w:pPr>
              <w:jc w:val="right"/>
              <w:ind w:right="560"/>
              <w:spacing w:after="0" w:line="149" w:lineRule="exact"/>
              <w:rPr>
                <w:sz w:val="20"/>
                <w:szCs w:val="20"/>
                <w:color w:val="auto"/>
              </w:rPr>
            </w:pPr>
            <w:r>
              <w:rPr>
                <w:rFonts w:ascii="Arial" w:cs="Arial" w:eastAsia="Arial" w:hAnsi="Arial"/>
                <w:sz w:val="14"/>
                <w:szCs w:val="14"/>
                <w:color w:val="auto"/>
              </w:rPr>
              <w:t>December 31,</w:t>
            </w:r>
          </w:p>
        </w:tc>
        <w:tc>
          <w:tcPr>
            <w:tcW w:w="172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w w:val="92"/>
              </w:rPr>
              <w:t>Year Ended December 31,</w:t>
            </w:r>
          </w:p>
        </w:tc>
        <w:tc>
          <w:tcPr>
            <w:tcW w:w="0" w:type="dxa"/>
            <w:vAlign w:val="bottom"/>
          </w:tcPr>
          <w:p>
            <w:pPr>
              <w:spacing w:after="0"/>
              <w:rPr>
                <w:sz w:val="1"/>
                <w:szCs w:val="1"/>
                <w:color w:val="auto"/>
              </w:rPr>
            </w:pPr>
          </w:p>
        </w:tc>
      </w:tr>
      <w:tr>
        <w:trPr>
          <w:trHeight w:val="182"/>
        </w:trPr>
        <w:tc>
          <w:tcPr>
            <w:tcW w:w="7000" w:type="dxa"/>
            <w:vAlign w:val="bottom"/>
            <w:vMerge w:val="restart"/>
          </w:tcPr>
          <w:p>
            <w:pPr>
              <w:spacing w:after="0"/>
              <w:rPr>
                <w:sz w:val="20"/>
                <w:szCs w:val="20"/>
                <w:color w:val="auto"/>
              </w:rPr>
            </w:pPr>
            <w:r>
              <w:rPr>
                <w:rFonts w:ascii="Arial" w:cs="Arial" w:eastAsia="Arial" w:hAnsi="Arial"/>
                <w:sz w:val="14"/>
                <w:szCs w:val="14"/>
                <w:i w:val="1"/>
                <w:iCs w:val="1"/>
                <w:color w:val="auto"/>
              </w:rPr>
              <w:t>(Unaudited)</w:t>
            </w:r>
          </w:p>
        </w:tc>
        <w:tc>
          <w:tcPr>
            <w:tcW w:w="620" w:type="dxa"/>
            <w:vAlign w:val="bottom"/>
          </w:tcPr>
          <w:p>
            <w:pPr>
              <w:jc w:val="right"/>
              <w:ind w:right="77"/>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5"/>
                <w:szCs w:val="15"/>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5"/>
                <w:szCs w:val="15"/>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5"/>
                <w:szCs w:val="15"/>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0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(18,949)</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(8,735)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(27,330)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Add / (less):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18,458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21,244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Fair value (gain)/loss on derivative liabilities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(2,498)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3,134</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(3,995)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losses/(gains), net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23"/>
        </w:trPr>
        <w:tc>
          <w:tcPr>
            <w:tcW w:w="700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(3,775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240" w:top="27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basic and diluted adjusted net loss per ADS for the periods indicated are calculated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360" w:type="dxa"/>
            <w:vAlign w:val="bottom"/>
            <w:gridSpan w:val="4"/>
          </w:tcPr>
          <w:p>
            <w:pPr>
              <w:jc w:val="right"/>
              <w:ind w:right="720"/>
              <w:spacing w:after="0"/>
              <w:rPr>
                <w:sz w:val="20"/>
                <w:szCs w:val="20"/>
                <w:color w:val="auto"/>
              </w:rPr>
            </w:pPr>
            <w:r>
              <w:rPr>
                <w:rFonts w:ascii="Arial" w:cs="Arial" w:eastAsia="Arial" w:hAnsi="Arial"/>
                <w:sz w:val="14"/>
                <w:szCs w:val="14"/>
                <w:color w:val="auto"/>
              </w:rPr>
              <w:t>Three Months Ended</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360" w:type="dxa"/>
            <w:vAlign w:val="bottom"/>
            <w:gridSpan w:val="4"/>
          </w:tcPr>
          <w:p>
            <w:pPr>
              <w:jc w:val="right"/>
              <w:ind w:right="940"/>
              <w:spacing w:after="0" w:line="149" w:lineRule="exact"/>
              <w:rPr>
                <w:sz w:val="20"/>
                <w:szCs w:val="20"/>
                <w:color w:val="auto"/>
              </w:rPr>
            </w:pPr>
            <w:r>
              <w:rPr>
                <w:rFonts w:ascii="Arial" w:cs="Arial" w:eastAsia="Arial" w:hAnsi="Arial"/>
                <w:sz w:val="14"/>
                <w:szCs w:val="14"/>
                <w:color w:val="auto"/>
              </w:rPr>
              <w:t>December 31,</w:t>
            </w:r>
          </w:p>
        </w:tc>
        <w:tc>
          <w:tcPr>
            <w:tcW w:w="2140" w:type="dxa"/>
            <w:vAlign w:val="bottom"/>
            <w:gridSpan w:val="4"/>
          </w:tcPr>
          <w:p>
            <w:pPr>
              <w:jc w:val="right"/>
              <w:ind w:right="380"/>
              <w:spacing w:after="0" w:line="149" w:lineRule="exact"/>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82"/>
        </w:trPr>
        <w:tc>
          <w:tcPr>
            <w:tcW w:w="60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(Unaudited)</w:t>
            </w:r>
          </w:p>
        </w:tc>
        <w:tc>
          <w:tcPr>
            <w:tcW w:w="860" w:type="dxa"/>
            <w:vAlign w:val="bottom"/>
          </w:tcPr>
          <w:p>
            <w:pPr>
              <w:jc w:val="right"/>
              <w:ind w:right="195"/>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5"/>
                <w:szCs w:val="15"/>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5"/>
                <w:szCs w:val="15"/>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15"/>
                <w:szCs w:val="15"/>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00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Adjusted net loss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(2,284)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(3,775)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(8,999)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(11,198)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(405)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(2,371)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(1,556)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(11,328)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ADS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 weighted average ADS outstanding</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26,363,181</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29,699,102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26,302,126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27,863,006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loss per ADS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Diluted adjusted net loss per ADS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3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4"/>
      <w:numFmt w:val="bullet"/>
      <w:start w:val="1"/>
    </w:lvl>
  </w:abstractNum>
  <w:abstractNum w:abstractNumId="4">
    <w:nsid w:val="3D1B58BA"/>
    <w:multiLevelType w:val="hybridMultilevel"/>
    <w:lvl w:ilvl="0">
      <w:lvlJc w:val="left"/>
      <w:lvlText w:val="5"/>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2019-12-08T15:56:35Z</dcterms:created>
  <dcterms:modified xsi:type="dcterms:W3CDTF">2019-12-08T15:56:35Z</dcterms:modified>
</cp:coreProperties>
</file>