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For the month of December 2022</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40"/>
          </w:cols>
          <w:pgMar w:left="320" w:top="760" w:right="9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0" w:type="dxa"/>
            <w:vAlign w:val="bottom"/>
          </w:tcPr>
          <w:p>
            <w:pPr>
              <w:jc w:val="center"/>
              <w:ind w:right="275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920" w:type="dxa"/>
            <w:vAlign w:val="bottom"/>
          </w:tcPr>
          <w:p>
            <w:pPr>
              <w:spacing w:after="0"/>
              <w:rPr>
                <w:sz w:val="24"/>
                <w:szCs w:val="24"/>
                <w:color w:val="auto"/>
              </w:rPr>
            </w:pPr>
          </w:p>
        </w:tc>
        <w:tc>
          <w:tcPr>
            <w:tcW w:w="8400" w:type="dxa"/>
            <w:vAlign w:val="bottom"/>
          </w:tcPr>
          <w:p>
            <w:pPr>
              <w:ind w:left="2780"/>
              <w:spacing w:after="0"/>
              <w:rPr>
                <w:sz w:val="20"/>
                <w:szCs w:val="20"/>
                <w:color w:val="auto"/>
              </w:rPr>
            </w:pPr>
            <w:r>
              <w:rPr>
                <w:rFonts w:ascii="Arial" w:cs="Arial" w:eastAsia="Arial" w:hAnsi="Arial"/>
                <w:sz w:val="18"/>
                <w:szCs w:val="18"/>
                <w:b w:val="1"/>
                <w:bCs w:val="1"/>
                <w:color w:val="auto"/>
              </w:rPr>
              <w:t>Description of Document</w:t>
            </w:r>
          </w:p>
        </w:tc>
      </w:tr>
      <w:tr>
        <w:trPr>
          <w:trHeight w:val="385"/>
        </w:trPr>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220" w:type="dxa"/>
            <w:vAlign w:val="bottom"/>
          </w:tcPr>
          <w:p>
            <w:pPr>
              <w:spacing w:after="0"/>
              <w:rPr>
                <w:sz w:val="24"/>
                <w:szCs w:val="24"/>
                <w:color w:val="auto"/>
              </w:rPr>
            </w:pPr>
          </w:p>
        </w:tc>
        <w:tc>
          <w:tcPr>
            <w:tcW w:w="9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0000EE"/>
              </w:rPr>
              <w:t>Press release</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840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4" w:right="3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Zhang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20, 2022</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154305</wp:posOffset>
            </wp:positionV>
            <wp:extent cx="133731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373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Announces Receipt of a Preliminary Non-Binding Proposal to Acquire the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HONG KONG </w:t>
      </w:r>
      <w:r>
        <w:rPr>
          <w:rFonts w:ascii="Arial" w:cs="Arial" w:eastAsia="Arial" w:hAnsi="Arial"/>
          <w:sz w:val="17"/>
          <w:szCs w:val="17"/>
          <w:color w:val="auto"/>
        </w:rPr>
        <w:t>— Dec 20, 2022 — iClick Interactive Asia Group Limited (“iClick” or the “Company”) (NASDAQ: ICLK), a leading enterprise and</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cloud platform in China that empowers worldwide brands with full-stack consumer lifecycle solutions, announced today that its board of directors (the “Board”) received a preliminary non-binding proposal dated December 20, 2022 (the “Proposal Letter”) from Igomax Inc., a British Virgin Islands company wholly owned by Mr. Jian Tang (Chairman of the Board, Chief Executive Officer and Co-Founder of the Company), Bubinga Holdings Limited, a British Virgin Islands company wholly owned by Mr. Wing Hong Sammy Hsieh (Director and Co-Founder of the Company), and Rise Chain Investment Limited, a British Virgin Islands company wholly owned by Mr. Huang Jianjun (collectively, the “Consortium”) to acquire all of the outstanding ordinary shares (the “Ordinary Shares”) and American depositary shares (“ADSs”, with one ADS representing five Class A Ordinary Shares) (other than those Ordinary Shares or ADSs owned by the Consortium) for US$4.0672 per ADS in cash, or US$0.81344 per Ordinary Share, subject to certain terms and conditions set forth in the Proposal Letter (the “Proposed Transaction”). The Consortium beneficially owns ordinary shares of the Company that represent approximately 63% of the aggregate voting power of the Company.</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 to the Proposal Letter, the Consortium intends to fund the consideration payable in the Proposed Transaction with a combination of equity and debt financing. Equity financing is expected to be provided by the Consortium in the form of cash contributions and rollover equity in the Company. Debt financing is expected to be provided by loans from third party financial institutions.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special committee of the Board (the “Special Committee”), consisting of four independent directors, Mr. Dylan Huang, Mr. Lub Bun Chong, Mr. Matthew Chu Pong Fong and Mr. Philip Kan, will evaluate the Proposed Transaction. The Board cautions the Company’s shareholders and others considering trading the Company’s securities that the Board has just received the Proposal Letter, and the Special Committee has not had an opportunity to carefully review or evaluate the proposal or make any decision with respect to the Company’s response to the proposal. There can be no assurance that any definitive offer will be made, that any definitive agreement will be executed relating to the Proposed Transaction or that the Proposed Transaction or any other transaction will be approved or consummated. The Company does not undertake any obligation to provide any updates with respect to the Proposed Transaction or any other transaction, except as required under applicable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https://ir.i-click.com.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its strategic shift away from Marketing Solutions to focus on Enterprise Solutions; its success in implementing its SaaS + X business model;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1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414"/>
        </w:trPr>
        <w:tc>
          <w:tcPr>
            <w:tcW w:w="4680" w:type="dxa"/>
            <w:vAlign w:val="bottom"/>
          </w:tcPr>
          <w:p>
            <w:pPr>
              <w:spacing w:after="0"/>
              <w:rPr>
                <w:sz w:val="20"/>
                <w:szCs w:val="20"/>
                <w:color w:val="auto"/>
              </w:rPr>
            </w:pPr>
            <w:r>
              <w:rPr>
                <w:rFonts w:ascii="Arial" w:cs="Arial" w:eastAsia="Arial" w:hAnsi="Arial"/>
                <w:sz w:val="18"/>
                <w:szCs w:val="18"/>
                <w:b w:val="1"/>
                <w:bCs w:val="1"/>
                <w:color w:val="auto"/>
              </w:rPr>
              <w:t>In China:</w:t>
            </w:r>
          </w:p>
        </w:tc>
        <w:tc>
          <w:tcPr>
            <w:tcW w:w="6560" w:type="dxa"/>
            <w:vAlign w:val="bottom"/>
            <w:gridSpan w:val="3"/>
          </w:tcPr>
          <w:p>
            <w:pPr>
              <w:ind w:left="94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68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6560" w:type="dxa"/>
            <w:vAlign w:val="bottom"/>
            <w:gridSpan w:val="3"/>
          </w:tcPr>
          <w:p>
            <w:pPr>
              <w:ind w:left="94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Lisa Li</w:t>
            </w:r>
          </w:p>
        </w:tc>
        <w:tc>
          <w:tcPr>
            <w:tcW w:w="6560" w:type="dxa"/>
            <w:vAlign w:val="bottom"/>
            <w:gridSpan w:val="3"/>
          </w:tcPr>
          <w:p>
            <w:pPr>
              <w:ind w:left="940"/>
              <w:spacing w:after="0"/>
              <w:rPr>
                <w:sz w:val="20"/>
                <w:szCs w:val="20"/>
                <w:color w:val="auto"/>
              </w:rPr>
            </w:pPr>
            <w:r>
              <w:rPr>
                <w:rFonts w:ascii="Arial" w:cs="Arial" w:eastAsia="Arial" w:hAnsi="Arial"/>
                <w:sz w:val="18"/>
                <w:szCs w:val="18"/>
                <w:color w:val="auto"/>
              </w:rPr>
              <w:t>Tom Caden</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Phone: +86-21-3230-3931 #866</w:t>
            </w:r>
          </w:p>
        </w:tc>
        <w:tc>
          <w:tcPr>
            <w:tcW w:w="6560" w:type="dxa"/>
            <w:vAlign w:val="bottom"/>
            <w:gridSpan w:val="3"/>
          </w:tcPr>
          <w:p>
            <w:pPr>
              <w:ind w:left="940"/>
              <w:spacing w:after="0"/>
              <w:rPr>
                <w:sz w:val="20"/>
                <w:szCs w:val="20"/>
                <w:color w:val="auto"/>
              </w:rPr>
            </w:pPr>
            <w:r>
              <w:rPr>
                <w:rFonts w:ascii="Arial" w:cs="Arial" w:eastAsia="Arial" w:hAnsi="Arial"/>
                <w:sz w:val="18"/>
                <w:szCs w:val="18"/>
                <w:color w:val="auto"/>
              </w:rPr>
              <w:t>Tel: +1-516-222-2560</w:t>
            </w:r>
          </w:p>
        </w:tc>
      </w:tr>
      <w:tr>
        <w:trPr>
          <w:trHeight w:val="190"/>
        </w:trPr>
        <w:tc>
          <w:tcPr>
            <w:tcW w:w="4680" w:type="dxa"/>
            <w:vAlign w:val="bottom"/>
          </w:tcPr>
          <w:p>
            <w:pPr>
              <w:spacing w:after="0" w:line="190" w:lineRule="exact"/>
              <w:rPr>
                <w:sz w:val="20"/>
                <w:szCs w:val="20"/>
                <w:color w:val="auto"/>
              </w:rPr>
            </w:pPr>
            <w:r>
              <w:rPr>
                <w:rFonts w:ascii="Arial" w:cs="Arial" w:eastAsia="Arial" w:hAnsi="Arial"/>
                <w:sz w:val="18"/>
                <w:szCs w:val="18"/>
                <w:color w:val="auto"/>
              </w:rPr>
              <w:t>E-mail: ir@i-click.com</w:t>
            </w:r>
          </w:p>
        </w:tc>
        <w:tc>
          <w:tcPr>
            <w:tcW w:w="6560" w:type="dxa"/>
            <w:vAlign w:val="bottom"/>
            <w:gridSpan w:val="3"/>
          </w:tcPr>
          <w:p>
            <w:pPr>
              <w:ind w:left="940"/>
              <w:spacing w:after="0" w:line="190" w:lineRule="exact"/>
              <w:rPr>
                <w:sz w:val="20"/>
                <w:szCs w:val="20"/>
                <w:color w:val="auto"/>
              </w:rPr>
            </w:pPr>
            <w:r>
              <w:rPr>
                <w:rFonts w:ascii="Arial" w:cs="Arial" w:eastAsia="Arial" w:hAnsi="Arial"/>
                <w:sz w:val="18"/>
                <w:szCs w:val="18"/>
                <w:color w:val="auto"/>
              </w:rPr>
              <w:t>E-mail: tomc@coreir.com</w:t>
            </w:r>
          </w:p>
        </w:tc>
      </w:tr>
      <w:tr>
        <w:trPr>
          <w:trHeight w:val="668"/>
        </w:trPr>
        <w:tc>
          <w:tcPr>
            <w:tcW w:w="4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2022-12-20T15:23:17Z</dcterms:created>
  <dcterms:modified xsi:type="dcterms:W3CDTF">2022-12-20T15:23:17Z</dcterms:modified>
</cp:coreProperties>
</file>