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59055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9" w:lineRule="exact"/>
        <w:rPr>
          <w:sz w:val="24"/>
          <w:szCs w:val="24"/>
          <w:color w:val="auto"/>
        </w:rPr>
      </w:pPr>
    </w:p>
    <w:p>
      <w:pPr>
        <w:ind w:left="4860" w:right="1540" w:hanging="4852"/>
        <w:spacing w:after="0" w:line="326" w:lineRule="auto"/>
        <w:tabs>
          <w:tab w:leader="none" w:pos="41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REGISTRATION STATEMENT PURSUANT TO SECTION 12(b) OR 12(g) OF THE SECURITIES EXCHANGE ACT OF 1934 OR</w:t>
      </w:r>
    </w:p>
    <w:p>
      <w:pPr>
        <w:spacing w:after="0" w:line="17" w:lineRule="exact"/>
        <w:rPr>
          <w:sz w:val="24"/>
          <w:szCs w:val="24"/>
          <w:color w:val="auto"/>
        </w:rPr>
      </w:pPr>
    </w:p>
    <w:p>
      <w:pPr>
        <w:ind w:left="3580" w:right="2480" w:hanging="3572"/>
        <w:spacing w:after="0" w:line="330" w:lineRule="auto"/>
        <w:tabs>
          <w:tab w:leader="none" w:pos="404"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spacing w:after="0" w:line="16" w:lineRule="exact"/>
        <w:rPr>
          <w:rFonts w:ascii="MS PGothic" w:cs="MS PGothic" w:eastAsia="MS PGothic" w:hAnsi="MS PGothic"/>
          <w:sz w:val="14"/>
          <w:szCs w:val="14"/>
          <w:color w:val="auto"/>
        </w:rPr>
      </w:pPr>
    </w:p>
    <w:p>
      <w:pPr>
        <w:ind w:left="420" w:hanging="411"/>
        <w:spacing w:after="0"/>
        <w:tabs>
          <w:tab w:leader="none" w:pos="420" w:val="left"/>
        </w:tabs>
        <w:numPr>
          <w:ilvl w:val="1"/>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9" w:lineRule="exact"/>
        <w:rPr>
          <w:sz w:val="24"/>
          <w:szCs w:val="24"/>
          <w:color w:val="auto"/>
        </w:rPr>
      </w:pPr>
    </w:p>
    <w:p>
      <w:pPr>
        <w:jc w:val="center"/>
        <w:spacing w:after="0"/>
        <w:tabs>
          <w:tab w:leader="none" w:pos="8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2" w:lineRule="exact"/>
        <w:rPr>
          <w:sz w:val="24"/>
          <w:szCs w:val="24"/>
          <w:color w:val="auto"/>
        </w:rPr>
      </w:pPr>
    </w:p>
    <w:p>
      <w:pPr>
        <w:ind w:left="3460" w:right="1800" w:hanging="3451"/>
        <w:spacing w:after="0" w:line="434" w:lineRule="auto"/>
        <w:tabs>
          <w:tab w:leader="none" w:pos="461"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SHELL COMPANY REPORT PURSUANT TO SECTION 13 OR 15(d) OF THE SECURITIES EXCHANGE ACT OF 1934 Date of event requiring this shell company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-36195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Commission file number: 001-38313</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iClick Interactive Asia Group Limited</w:t>
      </w:r>
    </w:p>
    <w:p>
      <w:pPr>
        <w:spacing w:after="0" w:line="71"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color w:val="auto"/>
        </w:rPr>
        <w:t>N/A</w:t>
      </w:r>
    </w:p>
    <w:p>
      <w:pPr>
        <w:spacing w:after="0" w:line="55"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96"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4"/>
          <w:szCs w:val="14"/>
          <w:color w:val="auto"/>
        </w:rPr>
        <w:t>Cayman Islands</w:t>
      </w:r>
    </w:p>
    <w:p>
      <w:pPr>
        <w:spacing w:after="0" w:line="5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9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4"/>
          <w:szCs w:val="14"/>
          <w:color w:val="auto"/>
        </w:rPr>
        <w:t>15/F</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Prosperity Millennia Plaza 663 King’s Road, Quarry Bay</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Hong Kong S.A.R., People’s Republic of China Tel: +852 3700 9000</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Josephine Ngai, Chief Financial Officer</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15/F</w:t>
      </w:r>
    </w:p>
    <w:p>
      <w:pPr>
        <w:spacing w:after="0" w:line="5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Prosperity Millennia Plaza</w:t>
      </w:r>
    </w:p>
    <w:p>
      <w:pPr>
        <w:spacing w:after="0" w:line="6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663 King’s Road, Quarry Bay</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Hong Kong S.A.R., People’s Republic of China Tel: +852 3700 9000</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E-mail: josephine.ngai@i-click.com</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Title of each class</w:t>
            </w: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Trading Symbol</w:t>
            </w: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19"/>
        </w:trPr>
        <w:tc>
          <w:tcPr>
            <w:tcW w:w="38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American Depositary Shares, one representing five Class A</w:t>
            </w:r>
          </w:p>
        </w:tc>
        <w:tc>
          <w:tcPr>
            <w:tcW w:w="180" w:type="dxa"/>
            <w:vAlign w:val="bottom"/>
          </w:tcPr>
          <w:p>
            <w:pPr>
              <w:spacing w:after="0"/>
              <w:rPr>
                <w:sz w:val="10"/>
                <w:szCs w:val="10"/>
                <w:color w:val="auto"/>
              </w:rPr>
            </w:pPr>
          </w:p>
        </w:tc>
        <w:tc>
          <w:tcPr>
            <w:tcW w:w="174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ICLK</w:t>
            </w:r>
          </w:p>
        </w:tc>
        <w:tc>
          <w:tcPr>
            <w:tcW w:w="200" w:type="dxa"/>
            <w:vAlign w:val="bottom"/>
          </w:tcPr>
          <w:p>
            <w:pPr>
              <w:spacing w:after="0"/>
              <w:rPr>
                <w:sz w:val="10"/>
                <w:szCs w:val="10"/>
                <w:color w:val="auto"/>
              </w:rPr>
            </w:pPr>
          </w:p>
        </w:tc>
        <w:tc>
          <w:tcPr>
            <w:tcW w:w="39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NASDAQ Global Market</w:t>
            </w:r>
          </w:p>
        </w:tc>
      </w:tr>
      <w:tr>
        <w:trPr>
          <w:trHeight w:val="148"/>
        </w:trPr>
        <w:tc>
          <w:tcPr>
            <w:tcW w:w="4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ordinary shares, par value US$0.001 per share*</w:t>
            </w: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80" w:type="dxa"/>
            <w:vAlign w:val="bottom"/>
          </w:tcPr>
          <w:p>
            <w:pPr>
              <w:spacing w:after="0"/>
              <w:rPr>
                <w:sz w:val="12"/>
                <w:szCs w:val="12"/>
                <w:color w:val="auto"/>
              </w:rPr>
            </w:pPr>
          </w:p>
        </w:tc>
      </w:tr>
      <w:tr>
        <w:trPr>
          <w:trHeight w:val="148"/>
        </w:trPr>
        <w:tc>
          <w:tcPr>
            <w:tcW w:w="4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*Not for trading, but only in connection with the listing on the</w:t>
            </w: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80" w:type="dxa"/>
            <w:vAlign w:val="bottom"/>
          </w:tcPr>
          <w:p>
            <w:pPr>
              <w:spacing w:after="0"/>
              <w:rPr>
                <w:sz w:val="12"/>
                <w:szCs w:val="12"/>
                <w:color w:val="auto"/>
              </w:rPr>
            </w:pPr>
          </w:p>
        </w:tc>
      </w:tr>
      <w:tr>
        <w:trPr>
          <w:trHeight w:val="188"/>
        </w:trPr>
        <w:tc>
          <w:tcPr>
            <w:tcW w:w="4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Nasdaq Global Market of American depositary shares.</w:t>
            </w:r>
          </w:p>
        </w:tc>
        <w:tc>
          <w:tcPr>
            <w:tcW w:w="1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80" w:type="dxa"/>
            <w:vAlign w:val="bottom"/>
          </w:tcPr>
          <w:p>
            <w:pPr>
              <w:spacing w:after="0"/>
              <w:rPr>
                <w:sz w:val="16"/>
                <w:szCs w:val="16"/>
                <w:color w:val="auto"/>
              </w:rPr>
            </w:pPr>
          </w:p>
        </w:tc>
      </w:tr>
    </w:tbl>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12(g) of the Act:</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None</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Class)</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for which there is a reporting obligation pursuant to Section 15(d) of the Act:</w:t>
      </w:r>
    </w:p>
    <w:p>
      <w:pPr>
        <w:spacing w:after="0" w:line="69"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4"/>
          <w:szCs w:val="14"/>
          <w:color w:val="auto"/>
        </w:rPr>
        <w:t>None</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109220</wp:posOffset>
            </wp:positionV>
            <wp:extent cx="1577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the number of outstanding shares of each of the Issuer’s classes of capital or common stock as of the close of the period covered by the annual report.</w:t>
      </w:r>
    </w:p>
    <w:p>
      <w:pPr>
        <w:spacing w:after="0" w:line="69" w:lineRule="exact"/>
        <w:rPr>
          <w:sz w:val="24"/>
          <w:szCs w:val="24"/>
          <w:color w:val="auto"/>
        </w:rPr>
      </w:pPr>
    </w:p>
    <w:p>
      <w:pPr>
        <w:ind w:right="740"/>
        <w:spacing w:after="0" w:line="261" w:lineRule="auto"/>
        <w:rPr>
          <w:sz w:val="20"/>
          <w:szCs w:val="20"/>
          <w:color w:val="auto"/>
        </w:rPr>
      </w:pPr>
      <w:r>
        <w:rPr>
          <w:rFonts w:ascii="Times New Roman" w:cs="Times New Roman" w:eastAsia="Times New Roman" w:hAnsi="Times New Roman"/>
          <w:sz w:val="14"/>
          <w:szCs w:val="14"/>
          <w:color w:val="auto"/>
        </w:rPr>
        <w:t>As of December 31, 2023, there were 50,707,077 ordinary shares outstanding, par value $0.001 per share, being the sum of 45,672,650 Class A ordinary shares and 5,034,427 Class B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37" w:lineRule="exact"/>
        <w:rPr>
          <w:sz w:val="20"/>
          <w:szCs w:val="20"/>
          <w:color w:val="auto"/>
        </w:rPr>
      </w:pPr>
    </w:p>
    <w:p>
      <w:pPr>
        <w:ind w:left="4740" w:hanging="179"/>
        <w:spacing w:after="0" w:line="161" w:lineRule="exact"/>
        <w:tabs>
          <w:tab w:leader="none" w:pos="474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13"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14"/>
          <w:szCs w:val="14"/>
          <w:color w:val="auto"/>
        </w:rPr>
        <w:t>If this report is an annual or transition report, indicate by check mark if the registrant is not required to file reports pursuant to Section 13 or 15(d) of the Securities Exchange Act of 1934.</w:t>
      </w:r>
    </w:p>
    <w:p>
      <w:pPr>
        <w:spacing w:after="0" w:line="1" w:lineRule="exact"/>
        <w:rPr>
          <w:sz w:val="20"/>
          <w:szCs w:val="20"/>
          <w:color w:val="auto"/>
        </w:rPr>
      </w:pPr>
    </w:p>
    <w:p>
      <w:pPr>
        <w:ind w:left="4740" w:hanging="179"/>
        <w:spacing w:after="0" w:line="161" w:lineRule="exact"/>
        <w:tabs>
          <w:tab w:leader="none" w:pos="474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00" w:lineRule="exact"/>
        <w:rPr>
          <w:sz w:val="20"/>
          <w:szCs w:val="20"/>
          <w:color w:val="auto"/>
        </w:rPr>
      </w:pPr>
    </w:p>
    <w:p>
      <w:pPr>
        <w:jc w:val="both"/>
        <w:ind w:right="42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4" w:lineRule="exact"/>
        <w:rPr>
          <w:sz w:val="20"/>
          <w:szCs w:val="20"/>
          <w:color w:val="auto"/>
        </w:rPr>
      </w:pPr>
    </w:p>
    <w:p>
      <w:pPr>
        <w:ind w:left="4740" w:hanging="179"/>
        <w:spacing w:after="0" w:line="161" w:lineRule="exact"/>
        <w:tabs>
          <w:tab w:leader="none" w:pos="474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0"/>
          <w:szCs w:val="20"/>
          <w:color w:val="auto"/>
        </w:rPr>
      </w:pPr>
    </w:p>
    <w:p>
      <w:pPr>
        <w:ind w:left="4740" w:hanging="179"/>
        <w:spacing w:after="0" w:line="161" w:lineRule="exact"/>
        <w:tabs>
          <w:tab w:leader="none" w:pos="4740" w:val="left"/>
        </w:tabs>
        <w:numPr>
          <w:ilvl w:val="0"/>
          <w:numId w:val="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13"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0"/>
          <w:szCs w:val="20"/>
          <w:color w:val="auto"/>
        </w:rPr>
      </w:pPr>
    </w:p>
    <w:p>
      <w:pPr>
        <w:ind w:left="480"/>
        <w:spacing w:after="0" w:line="161" w:lineRule="exact"/>
        <w:tabs>
          <w:tab w:leader="none" w:pos="3100" w:val="left"/>
          <w:tab w:leader="none" w:pos="5320" w:val="left"/>
          <w:tab w:leader="none" w:pos="77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94" w:lineRule="exact"/>
        <w:rPr>
          <w:sz w:val="20"/>
          <w:szCs w:val="20"/>
          <w:color w:val="auto"/>
        </w:rPr>
      </w:pPr>
    </w:p>
    <w:p>
      <w:pPr>
        <w:ind w:right="32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that prepare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p>
    <w:p>
      <w:pPr>
        <w:ind w:right="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3" w:lineRule="exact"/>
        <w:rPr>
          <w:sz w:val="20"/>
          <w:szCs w:val="20"/>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0"/>
          <w:szCs w:val="20"/>
          <w:color w:val="auto"/>
        </w:rPr>
      </w:pPr>
    </w:p>
    <w:p>
      <w:pPr>
        <w:ind w:right="18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which basis of accounting the registrant has used to prepare the financial statements included in this filing:</w:t>
      </w:r>
    </w:p>
    <w:p>
      <w:pPr>
        <w:spacing w:after="0" w:line="51" w:lineRule="exact"/>
        <w:rPr>
          <w:sz w:val="20"/>
          <w:szCs w:val="20"/>
          <w:color w:val="auto"/>
        </w:rPr>
      </w:pPr>
    </w:p>
    <w:p>
      <w:pPr>
        <w:jc w:val="center"/>
        <w:ind w:right="140"/>
        <w:spacing w:after="0" w:line="161" w:lineRule="exact"/>
        <w:tabs>
          <w:tab w:leader="none" w:pos="1660" w:val="left"/>
          <w:tab w:leader="none" w:pos="1780" w:val="left"/>
        </w:tabs>
        <w:rPr>
          <w:sz w:val="20"/>
          <w:szCs w:val="20"/>
          <w:color w:val="auto"/>
        </w:rPr>
      </w:pPr>
      <w:r>
        <w:rPr>
          <w:rFonts w:ascii="Times New Roman" w:cs="Times New Roman" w:eastAsia="Times New Roman" w:hAnsi="Times New Roman"/>
          <w:sz w:val="14"/>
          <w:szCs w:val="14"/>
          <w:color w:val="auto"/>
        </w:rPr>
        <w:t xml:space="preserve">U.S. GAAP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International Financial Reporting Standards as issued</w:t>
      </w:r>
      <w:r>
        <w:rPr>
          <w:sz w:val="20"/>
          <w:szCs w:val="20"/>
          <w:color w:val="auto"/>
        </w:rPr>
        <w:tab/>
      </w: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p>
      <w:pPr>
        <w:spacing w:after="0" w:line="35" w:lineRule="exact"/>
        <w:rPr>
          <w:sz w:val="20"/>
          <w:szCs w:val="20"/>
          <w:color w:val="auto"/>
        </w:rPr>
      </w:pPr>
    </w:p>
    <w:p>
      <w:pPr>
        <w:jc w:val="center"/>
        <w:ind w:right="-59"/>
        <w:spacing w:after="0" w:line="161" w:lineRule="exact"/>
        <w:rPr>
          <w:sz w:val="20"/>
          <w:szCs w:val="20"/>
          <w:color w:val="auto"/>
        </w:rPr>
      </w:pPr>
      <w:r>
        <w:rPr>
          <w:rFonts w:ascii="Times New Roman" w:cs="Times New Roman" w:eastAsia="Times New Roman" w:hAnsi="Times New Roman"/>
          <w:sz w:val="14"/>
          <w:szCs w:val="14"/>
          <w:color w:val="auto"/>
        </w:rPr>
        <w:t xml:space="preserve">by the International Accounting Standards Board </w:t>
      </w:r>
      <w:r>
        <w:rPr>
          <w:rFonts w:ascii="MS PGothic" w:cs="MS PGothic" w:eastAsia="MS PGothic" w:hAnsi="MS PGothic"/>
          <w:sz w:val="14"/>
          <w:szCs w:val="14"/>
          <w:color w:val="auto"/>
        </w:rPr>
        <w: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“Other” has been checked in response to the previous question, indicate by check mark which financial statement item the registrant has elected to follow.</w:t>
      </w:r>
    </w:p>
    <w:p>
      <w:pPr>
        <w:spacing w:after="0" w:line="37" w:lineRule="exact"/>
        <w:rPr>
          <w:sz w:val="20"/>
          <w:szCs w:val="20"/>
          <w:color w:val="auto"/>
        </w:rPr>
      </w:pPr>
    </w:p>
    <w:p>
      <w:pPr>
        <w:ind w:left="4480" w:hanging="170"/>
        <w:spacing w:after="0" w:line="161" w:lineRule="exact"/>
        <w:tabs>
          <w:tab w:leader="none" w:pos="4480" w:val="left"/>
        </w:tabs>
        <w:numPr>
          <w:ilvl w:val="0"/>
          <w:numId w:val="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Item 17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Item 18</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this is an annual report, indicate by check mark whether the registrant is a shell company (as defined in Rule 12b-2 of the Exchange Act).</w:t>
      </w:r>
    </w:p>
    <w:p>
      <w:pPr>
        <w:spacing w:after="0" w:line="51" w:lineRule="exact"/>
        <w:rPr>
          <w:sz w:val="20"/>
          <w:szCs w:val="20"/>
          <w:color w:val="auto"/>
        </w:rPr>
      </w:pPr>
    </w:p>
    <w:p>
      <w:pPr>
        <w:ind w:left="4740" w:hanging="179"/>
        <w:spacing w:after="0" w:line="161" w:lineRule="exact"/>
        <w:tabs>
          <w:tab w:leader="none" w:pos="4740" w:val="left"/>
        </w:tabs>
        <w:numPr>
          <w:ilvl w:val="0"/>
          <w:numId w:val="9"/>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(APPLICABLE ONLY TO ISSUERS INVOLVED IN BANKRUPTCY PROCEEDINGS DURING THE PAST FIVE YEARS)</w:t>
      </w:r>
    </w:p>
    <w:p>
      <w:pPr>
        <w:spacing w:after="0" w:line="5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0" w:lineRule="exact"/>
        <w:rPr>
          <w:sz w:val="20"/>
          <w:szCs w:val="20"/>
          <w:color w:val="auto"/>
        </w:rPr>
      </w:pPr>
    </w:p>
    <w:p>
      <w:pPr>
        <w:ind w:left="4740" w:hanging="179"/>
        <w:spacing w:after="0" w:line="161" w:lineRule="exact"/>
        <w:tabs>
          <w:tab w:leader="none" w:pos="4740" w:val="left"/>
        </w:tabs>
        <w:numPr>
          <w:ilvl w:val="0"/>
          <w:numId w:val="1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129540</wp:posOffset>
            </wp:positionV>
            <wp:extent cx="15773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23"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4"/>
          <w:szCs w:val="14"/>
          <w:color w:val="auto"/>
        </w:rPr>
        <w:t>Of the 45,672,650 Class A ordinary shares as of December 31, 2023, (i) 1,093,585.50 were held by Arda Holdings Limited underlying the options granted but not yet exercised (whether or not they are vested) and the options reserved for issuance under our 2018 Share Incentive Plan, and (ii) 101,708.50 were held by JPMorgan Chase Bank N.A., our depositary, underlying the unvested restricted share units under our Post-IPO Plan.</w:t>
      </w:r>
    </w:p>
    <w:p>
      <w:pPr>
        <w:spacing w:after="0" w:line="2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743585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83820</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360" w:type="dxa"/>
            <w:vAlign w:val="bottom"/>
            <w:gridSpan w:val="41"/>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40" w:type="dxa"/>
            <w:vAlign w:val="bottom"/>
            <w:gridSpan w:val="18"/>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8320" w:type="dxa"/>
            <w:vAlign w:val="bottom"/>
            <w:gridSpan w:val="30"/>
          </w:tcPr>
          <w:p>
            <w:pPr>
              <w:ind w:left="180"/>
              <w:spacing w:after="0" w:line="17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8320" w:type="dxa"/>
            <w:vAlign w:val="bottom"/>
            <w:gridSpan w:val="3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8320" w:type="dxa"/>
            <w:vAlign w:val="bottom"/>
            <w:gridSpan w:val="30"/>
          </w:tcPr>
          <w:p>
            <w:pPr>
              <w:ind w:left="180"/>
              <w:spacing w:after="0" w:line="176" w:lineRule="exact"/>
              <w:rPr>
                <w:sz w:val="20"/>
                <w:szCs w:val="20"/>
                <w:color w:val="auto"/>
              </w:rPr>
            </w:pPr>
            <w:r>
              <w:rPr>
                <w:rFonts w:ascii="Times New Roman" w:cs="Times New Roman" w:eastAsia="Times New Roman" w:hAnsi="Times New Roman"/>
                <w:sz w:val="18"/>
                <w:szCs w:val="18"/>
                <w:color w:val="0000EE"/>
              </w:rPr>
              <w:t>KEY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8320" w:type="dxa"/>
            <w:vAlign w:val="bottom"/>
            <w:gridSpan w:val="3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4A</w:t>
            </w:r>
          </w:p>
        </w:tc>
        <w:tc>
          <w:tcPr>
            <w:tcW w:w="8320" w:type="dxa"/>
            <w:vAlign w:val="bottom"/>
            <w:gridSpan w:val="30"/>
          </w:tcPr>
          <w:p>
            <w:pPr>
              <w:ind w:left="180"/>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8320" w:type="dxa"/>
            <w:vAlign w:val="bottom"/>
            <w:gridSpan w:val="3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8320" w:type="dxa"/>
            <w:vAlign w:val="bottom"/>
            <w:gridSpan w:val="30"/>
          </w:tcPr>
          <w:p>
            <w:pPr>
              <w:ind w:left="180"/>
              <w:spacing w:after="0" w:line="17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w:t>
            </w:r>
          </w:p>
        </w:tc>
        <w:tc>
          <w:tcPr>
            <w:tcW w:w="8320" w:type="dxa"/>
            <w:vAlign w:val="bottom"/>
            <w:gridSpan w:val="3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8.</w:t>
            </w:r>
          </w:p>
        </w:tc>
        <w:tc>
          <w:tcPr>
            <w:tcW w:w="8320" w:type="dxa"/>
            <w:vAlign w:val="bottom"/>
            <w:gridSpan w:val="30"/>
          </w:tcPr>
          <w:p>
            <w:pPr>
              <w:ind w:left="180"/>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w:t>
            </w:r>
          </w:p>
        </w:tc>
        <w:tc>
          <w:tcPr>
            <w:tcW w:w="8320" w:type="dxa"/>
            <w:vAlign w:val="bottom"/>
            <w:gridSpan w:val="3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THE OFFER AND LISTING</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10.</w:t>
            </w:r>
          </w:p>
        </w:tc>
        <w:tc>
          <w:tcPr>
            <w:tcW w:w="8320" w:type="dxa"/>
            <w:vAlign w:val="bottom"/>
            <w:gridSpan w:val="30"/>
          </w:tcPr>
          <w:p>
            <w:pPr>
              <w:ind w:left="180"/>
              <w:spacing w:after="0" w:line="176" w:lineRule="exact"/>
              <w:rPr>
                <w:sz w:val="20"/>
                <w:szCs w:val="20"/>
                <w:color w:val="auto"/>
              </w:rPr>
            </w:pPr>
            <w:r>
              <w:rPr>
                <w:rFonts w:ascii="Times New Roman" w:cs="Times New Roman" w:eastAsia="Times New Roman" w:hAnsi="Times New Roman"/>
                <w:sz w:val="18"/>
                <w:szCs w:val="18"/>
                <w:color w:val="0000EE"/>
              </w:rPr>
              <w:t>ADDITIONAL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11.</w:t>
            </w:r>
          </w:p>
        </w:tc>
        <w:tc>
          <w:tcPr>
            <w:tcW w:w="320" w:type="dxa"/>
            <w:vAlign w:val="bottom"/>
            <w:gridSpan w:val="6"/>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1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12.</w:t>
            </w:r>
          </w:p>
        </w:tc>
        <w:tc>
          <w:tcPr>
            <w:tcW w:w="320" w:type="dxa"/>
            <w:vAlign w:val="bottom"/>
            <w:tcBorders>
              <w:top w:val="single" w:sz="8" w:color="CCEEFF"/>
            </w:tcBorders>
            <w:gridSpan w:val="6"/>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140" w:type="dxa"/>
            <w:vAlign w:val="bottom"/>
            <w:tcBorders>
              <w:top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2000" w:type="dxa"/>
            <w:vAlign w:val="bottom"/>
            <w:tcBorders>
              <w:top w:val="single" w:sz="8" w:color="CCEEFF"/>
            </w:tcBorders>
            <w:gridSpan w:val="5"/>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13.</w:t>
            </w:r>
          </w:p>
        </w:tc>
        <w:tc>
          <w:tcPr>
            <w:tcW w:w="8320" w:type="dxa"/>
            <w:vAlign w:val="bottom"/>
            <w:gridSpan w:val="30"/>
          </w:tcPr>
          <w:p>
            <w:pPr>
              <w:ind w:left="180"/>
              <w:spacing w:after="0" w:line="176" w:lineRule="exact"/>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14.</w:t>
            </w:r>
          </w:p>
        </w:tc>
        <w:tc>
          <w:tcPr>
            <w:tcW w:w="320" w:type="dxa"/>
            <w:vAlign w:val="bottom"/>
            <w:gridSpan w:val="6"/>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1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70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15.</w:t>
            </w:r>
          </w:p>
        </w:tc>
        <w:tc>
          <w:tcPr>
            <w:tcW w:w="320" w:type="dxa"/>
            <w:vAlign w:val="bottom"/>
            <w:tcBorders>
              <w:top w:val="single" w:sz="8" w:color="CCEEFF"/>
            </w:tcBorders>
            <w:gridSpan w:val="6"/>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860" w:type="dxa"/>
            <w:vAlign w:val="bottom"/>
            <w:tcBorders>
              <w:top w:val="single" w:sz="8" w:color="0000EE"/>
            </w:tcBorders>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28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16A.</w:t>
            </w:r>
          </w:p>
        </w:tc>
        <w:tc>
          <w:tcPr>
            <w:tcW w:w="8320" w:type="dxa"/>
            <w:vAlign w:val="bottom"/>
            <w:gridSpan w:val="3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16B.</w:t>
            </w: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40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CODE OF ETHICS</w:t>
            </w:r>
          </w:p>
        </w:tc>
        <w:tc>
          <w:tcPr>
            <w:tcW w:w="4740" w:type="dxa"/>
            <w:vAlign w:val="bottom"/>
            <w:tcBorders>
              <w:top w:val="single" w:sz="8" w:color="CCEEFF"/>
            </w:tcBorders>
            <w:gridSpan w:val="15"/>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16C.</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1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16D.</w:t>
            </w:r>
          </w:p>
        </w:tc>
        <w:tc>
          <w:tcPr>
            <w:tcW w:w="8320" w:type="dxa"/>
            <w:vAlign w:val="bottom"/>
            <w:gridSpan w:val="30"/>
          </w:tcPr>
          <w:p>
            <w:pPr>
              <w:ind w:left="180"/>
              <w:spacing w:after="0" w:line="17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16E.</w:t>
            </w:r>
          </w:p>
        </w:tc>
        <w:tc>
          <w:tcPr>
            <w:tcW w:w="8320" w:type="dxa"/>
            <w:vAlign w:val="bottom"/>
            <w:gridSpan w:val="3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16F.</w:t>
            </w:r>
          </w:p>
        </w:tc>
        <w:tc>
          <w:tcPr>
            <w:tcW w:w="220" w:type="dxa"/>
            <w:vAlign w:val="bottom"/>
            <w:tcBorders>
              <w:top w:val="single" w:sz="8" w:color="CCEEFF"/>
            </w:tcBorders>
            <w:gridSpan w:val="2"/>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16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980" w:type="dxa"/>
            <w:vAlign w:val="bottom"/>
            <w:tcBorders>
              <w:top w:val="single" w:sz="8" w:color="CCEEFF"/>
            </w:tcBorders>
            <w:gridSpan w:val="2"/>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16G.</w:t>
            </w:r>
          </w:p>
        </w:tc>
        <w:tc>
          <w:tcPr>
            <w:tcW w:w="8320" w:type="dxa"/>
            <w:vAlign w:val="bottom"/>
            <w:gridSpan w:val="3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CORPORATE GOVERNANCE</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16H.</w:t>
            </w:r>
          </w:p>
        </w:tc>
        <w:tc>
          <w:tcPr>
            <w:tcW w:w="8320" w:type="dxa"/>
            <w:vAlign w:val="bottom"/>
            <w:gridSpan w:val="30"/>
          </w:tcPr>
          <w:p>
            <w:pPr>
              <w:ind w:left="180"/>
              <w:spacing w:after="0" w:line="176" w:lineRule="exact"/>
              <w:rPr>
                <w:sz w:val="20"/>
                <w:szCs w:val="20"/>
                <w:color w:val="auto"/>
              </w:rPr>
            </w:pPr>
            <w:r>
              <w:rPr>
                <w:rFonts w:ascii="Times New Roman" w:cs="Times New Roman" w:eastAsia="Times New Roman" w:hAnsi="Times New Roman"/>
                <w:sz w:val="18"/>
                <w:szCs w:val="18"/>
                <w:color w:val="0000EE"/>
              </w:rPr>
              <w:t>MINE SAFETY DISCLOSURE</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ITEM 16I.</w:t>
            </w:r>
          </w:p>
        </w:tc>
        <w:tc>
          <w:tcPr>
            <w:tcW w:w="260" w:type="dxa"/>
            <w:vAlign w:val="bottom"/>
            <w:gridSpan w:val="4"/>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1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16J.</w:t>
            </w:r>
          </w:p>
        </w:tc>
        <w:tc>
          <w:tcPr>
            <w:tcW w:w="8320" w:type="dxa"/>
            <w:vAlign w:val="bottom"/>
            <w:gridSpan w:val="30"/>
          </w:tcPr>
          <w:p>
            <w:pPr>
              <w:ind w:left="180"/>
              <w:spacing w:after="0" w:line="176" w:lineRule="exact"/>
              <w:rPr>
                <w:sz w:val="20"/>
                <w:szCs w:val="20"/>
                <w:color w:val="auto"/>
              </w:rPr>
            </w:pPr>
            <w:r>
              <w:rPr>
                <w:rFonts w:ascii="Times New Roman" w:cs="Times New Roman" w:eastAsia="Times New Roman" w:hAnsi="Times New Roman"/>
                <w:sz w:val="18"/>
                <w:szCs w:val="18"/>
                <w:color w:val="0000EE"/>
              </w:rPr>
              <w:t>INSIDER TRADING POLICIES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16K.</w:t>
            </w:r>
          </w:p>
        </w:tc>
        <w:tc>
          <w:tcPr>
            <w:tcW w:w="8320" w:type="dxa"/>
            <w:vAlign w:val="bottom"/>
            <w:gridSpan w:val="3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2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7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5"/>
              </w:rPr>
              <w:t>ITEM 17.</w:t>
            </w:r>
          </w:p>
        </w:tc>
        <w:tc>
          <w:tcPr>
            <w:tcW w:w="320" w:type="dxa"/>
            <w:vAlign w:val="bottom"/>
            <w:tcBorders>
              <w:bottom w:val="single" w:sz="8" w:color="CCEEFF"/>
            </w:tcBorders>
            <w:gridSpan w:val="6"/>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5980" w:type="dxa"/>
            <w:vAlign w:val="bottom"/>
            <w:tcBorders>
              <w:bottom w:val="single" w:sz="8" w:color="CCEEFF"/>
            </w:tcBorders>
            <w:gridSpan w:val="22"/>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2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ITEM 18.</w:t>
            </w:r>
          </w:p>
        </w:tc>
        <w:tc>
          <w:tcPr>
            <w:tcW w:w="8320" w:type="dxa"/>
            <w:vAlign w:val="bottom"/>
            <w:gridSpan w:val="30"/>
          </w:tcPr>
          <w:p>
            <w:pPr>
              <w:ind w:left="18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0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19.</w:t>
            </w:r>
          </w:p>
        </w:tc>
        <w:tc>
          <w:tcPr>
            <w:tcW w:w="8320" w:type="dxa"/>
            <w:vAlign w:val="bottom"/>
            <w:gridSpan w:val="30"/>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CONVENTIONS THAT APPLY TO THIS ANNUAL REPORT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and except where the context otherwise requires, references in this annual report to:</w:t>
      </w:r>
    </w:p>
    <w:p>
      <w:pPr>
        <w:spacing w:after="0" w:line="185" w:lineRule="exact"/>
        <w:rPr>
          <w:sz w:val="20"/>
          <w:szCs w:val="20"/>
          <w:color w:val="auto"/>
        </w:rPr>
      </w:pPr>
    </w:p>
    <w:p>
      <w:pPr>
        <w:jc w:val="both"/>
        <w:ind w:left="100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Two ADSs represent one Class A ordinary share before November 14, 2022, and one ADS represent five Class A ordinary shares effective from November 14, 2022;</w:t>
      </w:r>
    </w:p>
    <w:p>
      <w:pPr>
        <w:spacing w:after="0" w:line="13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WFOE” refers to our wholly foreign owned enterprise, iClick Data Technology (Beijing) Limited, which is the primary beneficiary of the VIE;</w:t>
      </w:r>
    </w:p>
    <w:p>
      <w:pPr>
        <w:spacing w:after="0" w:line="121"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including mainland China, Hong Kong and Macau and, only for the purpose of this annual report, excluding Taiwan; the only instances in which “China” or “the PRC” do not include Hong Kong or Macau are when used in the case of laws and regulations, including, among others, tax matters, adopted by the People’s Republic of China; the legal and operational risks associated with operating in China also apply to our operations in Hong Kong;</w:t>
      </w:r>
    </w:p>
    <w:p>
      <w:pPr>
        <w:spacing w:after="0" w:line="14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refers to iClick Interactive Asia Group Limited;</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marketer clients” refers to marketers that have direct contractual relationship with us;</w:t>
      </w:r>
    </w:p>
    <w:p>
      <w:pPr>
        <w:spacing w:after="0" w:line="184"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marketers,” or “marketers” refers to marketers that we serve, either directly or through marketing agencies, regardless if they have direct contractual relationship with us;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“Hong Kong dollars” refers to the legal currency of Hong Kong;</w:t>
      </w:r>
    </w:p>
    <w:p>
      <w:pPr>
        <w:spacing w:after="0" w:line="198"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online marketing technology platforms” refers to online marketing technology platforms (i) which are not owned by any group which owns online publishing resources, or (ii) which do not own any online publishing resources;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solutions” refers to mobile marketing solutions and other marketing solutions;</w:t>
      </w:r>
    </w:p>
    <w:p>
      <w:pPr>
        <w:spacing w:after="0" w:line="18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apps or websites “covered” refers to the mobile apps or websites from which we are able to receive data to build user profiles;</w:t>
      </w:r>
    </w:p>
    <w:p>
      <w:pPr>
        <w:spacing w:after="0" w:line="13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“multinational companies” refer to companies that own or control production of goods or provision of services in one or more countries other than their home countries;</w:t>
      </w:r>
    </w:p>
    <w:p>
      <w:pPr>
        <w:spacing w:after="0" w:line="12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 to our Class A and Class B ordinary shares, par value US$0.001 per share;</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refers to entities which enter into sales contracts with us and incur spending during the relevant period;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China;</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“software-as-a-service” refers to SaaS;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or “our” refer to iClick Interactive Asia Group Limited and its subsidiaries;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“dollars” or “U.S. dollars” refers to the legal currency of the United States;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 refers to Beijing OptAim Network Technology Co., Ltd.;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 entities” refers to Beijing OptAim Network Technology Co., Ltd. and its subsidiaries; and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 refers to wholly foreign owned enterprise under the laws of the People’s Republic of China.</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financial statements are expressed in the U.S. dollar, which is our reporting currency. Certain of our financial data in this annual report on Form 20-F are translated into U.S. dollars solely for the reader’s convenience. Unless otherwise noted, all convenience translations from Renminbi to U.S. dollars, and from Hong Kong dollars to U.S. dollars, in this annual report on Form 20-F were made at a rate of RMB7.0999 to US$1.00, and HKD7.8109 to US$1.00, respectively, which were the exchange rates set forth in the H.10 statistical release of the Board of Governors of the Federal Reserve System on December 29, 2023. We make no representation that any Renminbi/ Hong Kong dollar or U.S. dollar amounts could have been, or could be, converted into U.S. dollars or Renminbi/ Hong Kong dollar, as the case may be, at any particular rate, at the respective rate stated above, or at all. Any discrepancies in any table between the amounts identified as total amounts and the sum of the amounts listed therein are due to rounding.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3" w:lineRule="exact"/>
        <w:rPr>
          <w:sz w:val="20"/>
          <w:szCs w:val="20"/>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adequate working capital and maintain sufficient liquidity;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fluctuations in growth;</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implementing our mobile and new retail strategies, including extending our solutions beyond our core online marketing business;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implementing “SaaS+X” model;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structuring a customer relationship management and marketing cloud platform;</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percentage of our gross billing recognized as revenue under the gross and net models;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online marketing industry, including online marketing technology industry in China;</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 including marketing solutions and enterprise solutions;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existing clients or attract new ones;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restructure our existing business;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and realize synergies from acquisitions, investments or strategic partnerships;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invest in our platform, solutions, data analytics capabilities, technology and technology infrastructure;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and use data from various sources and the effectiveness of our algorithms and data engines;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content distribution channels and negotiate favorable contractual terms;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competition, including from independent online marketing technology platforms as well as large and well-established internet companies;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landscape in China and other jurisdictions where we operate;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after-effects of COVID-19 on our business and financial performance;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U.S.-China relations, including the imposition of economic sanctions.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 to in this annual report and have filed as exhibits to this annual report completely and with the understanding that our actual future results may be materially different from what we expect. Other sections of this annual report discuss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Foreign Private Issuer and a China-based Company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Securities and Exchange Commission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Nasdaq Global Market (“NASDAQ”) listing standards. These practices may afford less protection to shareholders than they would enjoy if we complied fully with the NASDAQ listing standards.</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exposed to legal and operational risks associated with our operations in China. We are subject to risks arising from China’s legal system, including uncertainties in the interpretation and the enforcement of the PRC laws and regulations. In addition, rules and regulations in China can change quickly with little advance notice. In the past few years, Chinese regulators announced regulatory actions targeting certain sectors of China’s economy. We cannot guarantee that the Chinese government will not in the future take further regulatory actions that materially adversely affect the business environment and financial markets in China as they relate to us, our ability to operate our business, our liquidity and our access to capital.</w:t>
      </w:r>
    </w:p>
    <w:p>
      <w:pPr>
        <w:spacing w:after="0" w:line="1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PRC government may also intervene or influence our operations at any time, which could result in a material change in our operations or the value of our ADSs. Any actions by the PRC government to exert more oversight and control over offerings that are conducted overseas or foreign investment in China-based issuers, including us, could significantly limit or completely hinder our ability to offer or continue to offer securities to investors and cause the value of such securities to significantly decline or be worthless. In the past few years, the PRC government initiated a series of regulatory actions and statements to regulate business operations in China, such as filing requirements for China-based companies’ overseas securities offerings and listing, new measures to extend the scope of cybersecurity reviews, new laws and regulations related to data privacy and security, and expanded efforts in anti-monopoly enforcement. While we do not believe that these regulatory changes currently have any material impact on us, we will be required to comply with the filing requirements for our future securities offerings, which we cannot assure you that we will be able to complete in a timely manner, or at all.</w:t>
      </w:r>
    </w:p>
    <w:p>
      <w:pPr>
        <w:spacing w:after="0" w:line="14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jointly issued Opinions on Strictly Cracking Down Illegal Securities Activities in Accordance with the Law. These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These opinions and any related implementation rules to be enacted may subject us to additional compliance requirement. On February 17, 2023, the CSRC released a set of regulations consisting of six documents, including the Trial Administrative Measures of Overseas Securities Offering and Listing by Domestic Companies and five supporting guidelines, collectively, the Overseas Listing Filing Rules, which came into effective on March 31, 2023. According to the Overseas Listing Filing Rules, China-based companies that have already offered shares or been listed overseas prior to the implementation of such new regulations qualify as “Stock Enterprises”, and Stock Enterprises are not required to apply for the filing immediately until a subsequent overseas offering or listing occurs. However, the Overseas Listing Filing Rules, among others, require the issuer or its main operational entity in the PRC to file with the CSRC for its follow-on securities offerings in the same offshore market within three business days after the completion of such offerings, and file with the CSRC for its offerings or listing in offshore stock market other than the stock market of its initial public offering or listing within three business days after the submission of offering application outside mainland China.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had been listed on the NASDAQ prior to the implementation of the Overseas Listing Filing Rules. Therefore, we are qualified as a “Stock Enterprise” and are not required to apply for the filing immediately until a subsequent overseas offering or listing occurs according to the Overseas Listing Filing Rules. However, we are required to file with the CSRC for its follow-on securities offerings in the same offshore market within three business days after the completion of such offerings, and file with the CSRC for our offerings or listing in offshore stock market other than the stock market of our initial public offering or listing within three business days after the submission of offering application outside mainland China. Failure to comply with the filing requirements for any offering, listing or any other capital raising activities, may result in administrative penalties, such as order to rectify, warnings, fines and other penalties, on us, our controlling shareholders, actual controllers, any person directly in charge and other directly liable persons. Given the uncertainties surrounding the CSRC filing requirements at this stage, we cannot assure you that we will be able to complete the filings and fully comply with the relevant new rules on a timely basis, or at all, if we conduct listing in other offshore stock markets or follow-on offerings, issuance of convertible corporate bonds, exchangeable bonds, or other kinds of equity security in the future.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Cybersecurity and data privacy and security issues are subject to increasing legislative and regulatory focus in mainland China. For example, the State Council of the PRC promulgated the Regulations on the Protection of the Security of Critical Information Infrastructure on July 30, 2021, which took effect on September 1, 2021. This regulation requires, among others, certain competent authorities to identify critical information infrastructures. In November 2021, the Cybersecurity Administration of China (the “CAC”) promulgated the Draft Administrative Regulations on Cyber Data Security, or the Draft Cyber Data Security Regulations, for public comment. These draft regulations set forth different scenarios under which data processors would be required to apply for cybersecurity review. However, there is no definite timetable as to when these draft regulations will be enacted. In addition, the CAC and a number of other departments under the State Council promulgated the Measures for Cybersecurity Review on December 28, 2021, which became effective on February 15, 2022. According to this regulation, critical information infrastructure operators purchasing network products or network platform operators carrying out data processing activities, which affect or may affect national security, are required to conduct cybersecurity review. Pursuant to the Measures for Cybersecurity Review, enterprises shall apply for the cybersecurity review under the following circumstances: (i) critical information infrastructure operators that intend to purchase network products and services; or (ii) a network platform operator that processes the personal information of more than one million people intends to be listed overseas.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for the definition of ”critical information infrastructure operators”, on July 30, 2021, the State Council of the PRC published the Security Protection Regulations on the Critical Information Infrastructure (the ”CII Regulations”), which took effect on September 1, 2021. Pursuant to Article 2 of the CII Regulations, critical information infrastructure refers to the important network facilities and information systems in important industries and fields such as public telecommunications, information services, energy, transportation, water conservancy, finance, public services, e-government and national defense science, technology and industry, as well as other important network facilities and information systems which, in case of destruction, loss of function or leak of data, may result in serious damage to national security, the national economy and the people’s livelihood and public interests. Pursuant to Article 10 of the CII Regulations, the identity of the critical information infrastructure operator shall be determined by the PRC government authorities responsible for critical information infrastructure protection, and the identified critical information infrastructure operator shall be notified by the competent PRC government authority. As of the date of this annual report, we have not received any notice or determination from competent PRC government authorities identifying us as a critical information infrastructure operator.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for the definition of “network platform operator”, on November 14, 2021, the CAC published the Regulations on the Administration of Network Data Security (Draft for Comments) (the “Draft Data Security Regulations”). According to the Draft Data Security Regulations, “internet platform operators” refer to data processors who provide users with internet platform services such as information release, social networking, transactions, payment, and audiovisual. With reference to this definition, “platform operators” have the attributes of “platforms” and “provide specific services”. According to the Guidelines for the Classification and Grade of Network Platforms (Draft for Comment) promulgated by the State Administration for Market Regulation “internet platforms” provide the connection of people, goods, services, information, entertainment, capital, and computing power through network technology. This connection enables the platform to have various functions such as trading, social interaction, entertainment, information, financing, and calculation. With reference to the Draft Data Security Regulations and the Guidelines for the Classification and Grade of Network Platforms (Draft for Comment), given that the aforementioned regulations are still at the draft stage, we cannot conclude whether we will be identified as a network platform operator.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for the definition of “affects or may affect national security”, the Measures for Cybersecurity Review provides no further explanation or interpretation for “affects or may affect national security”, and the PRC government authorities may have wide discretion in the interpretation of “affects or may affect national security”. According to National Security Law of the PRC issued on July 1, 2015 and became effective on the same date, national security refers to a status in which the regime, sovereignty, unity, territorial integrity, welfare of the people, sustainable economic and social development, and other major interests of the state are relatively not faced with any danger and not threatened internally or externally and the capability to maintain a sustained security status. Given the uncertainty on the interpretation of the Measures for Cybersecurity Review, our PRC legal counsel, Jingtian &amp; Gongcheng, cannot assure that we will not be deemed as “affect or may affect national security” in the future.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PRC legal counsel is of the opinion that we do not need to apply for cybersecurity reviews under the current regulatory regime because we have not received any notice or determination from competent PRC government authorities identifying us as a critical information infrastructure operator as of the date of this annual report. However, we cannot rule out the possibility that the competent PRC government authorities will not initiate cybersecurity reviews on us in the future.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1, 2021, the PRC Data Security Law became effective, which imposes data security and privacy obligations on entities and individuals conducting data-related activities, and introduces a data classification and hierarchical protection system. In addition, the Standing Committee of PRC National People’s Congress promulgated the Personal Information Protection Law (the “PIPL”) on August 20, 2021, which took effect on November 1, 2021. The PIPL further emphasizes processors’ obligations and responsibilities for personal information protection and sets out the basic rules for processing personal information and the rules for cross-border transfer of personal information.</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7, 2022, the CAC promulgated the Measures on Security Assessment of Outbound Data Transfer, or the Measures on Security Assessment of Outbound Data Transfer, effective September 1, 2022. These measures shall apply to the security assessment of the provision of important data and personal information collected and generated by data processors in the course of their operations within the territory of the PRC by such data processors to overseas recipients, or the outbound data transfer. Where there are other provisions in laws and administrative regulations, such other provisions shall prevail. These Measures specify that an outbound data transfer by a data processor that falls under any of the following circumstances, the data processor shall apply to the CAC for the security assessment via the local provincial-level cyberspace administration authority: (i) outbound transfer of important data by a data processor;</w:t>
      </w:r>
    </w:p>
    <w:p>
      <w:pPr>
        <w:spacing w:after="0" w:line="3" w:lineRule="exact"/>
        <w:rPr>
          <w:sz w:val="20"/>
          <w:szCs w:val="20"/>
          <w:color w:val="auto"/>
        </w:rPr>
      </w:pPr>
    </w:p>
    <w:p>
      <w:pPr>
        <w:jc w:val="both"/>
        <w:ind w:firstLine="8"/>
        <w:spacing w:after="0" w:line="252" w:lineRule="auto"/>
        <w:tabs>
          <w:tab w:leader="none" w:pos="2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outbound transfer of personal information by a critical information infrastructure operator or a personal information processor who has processed the personal information of more than 1,000,000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or (iv) other circumstances where an application for the security assessment of an outbound data transfer is required as prescribed by the CAC. The data we process does not involve the above circumstances. However, we cannot guarantee that the regulators will agree with us or will not in the future adopt new regulations that restrict our business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13, 2022, the Ministry of Industry and Information Technology of the PRC (the “MIIT”) released the Administrative Measures for Data Security in Industry and Information Technology Sectors (Trial), or the Data Security Measures, which came into effect on January 1, 2023. The measures apply to data management in certain industries, including telecommunication sectors, where certain data we process is generated from. The Data Security Measures set out three categories of data: ordinary data, important data and core data. The processing of important data and core data is subject to certain filing and reporting obligations. Since the categories of important data and core data have not been released, it is uncertain how the measures will be interpreted and implemented. We have sorted and cataloged data we process and will take further measures as required.</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been closely monitoring regulatory developments in China regarding any necessary approvals from the CSRC, the CAC, or other PRC regulatory authorities required for overseas listings or offerings. As of the date of this annual report, we have not received any inquiry, notice, warning, sanctions or regulatory objection from the CSRC or the CAC. Because these regulatory actions are relatively new and evolving, it is uncertain how soon legislative or regulatory bodies will respond and what existing or new laws or regulations or detailed implementations and interpretations will be modified or promulgated, if any, or the potential impact such modified or new laws and regulations will have on our daily business operation, our ability to accept foreign investments and listing on foreign exchanges.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and consolidated VIE and VIE’s subsidiaries in China. Our operations in China are governed by PRC laws and regulations. As of the date of this annual report, our PRC subsidiaries, consolidated VIE and VIE’s subsidiaries have obtained the requisite licenses and permits from the PRC government authorities that are material for the business operations of our holding company, our consolidated VIE and VIE’s subsidiaries in China, including, among others, ICP license, value-added telecommunication license, network culture business license, etc.. Given the uncertainties of interpretation and implementation of relevant laws and regulations and the enforcement practice by relevant government authorities, we may be required to obtain additional licenses, permits, filings or approvals for the functions and services of our platform in the future, and may not be able to maintain or renew our current licenses, permits, filings or approvals.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under current PRC laws, regulations and regulatory rules, we, our PRC subsidiaries and our consolidated VIE and VIE’s subsidiaries may be required to undergo the filing procedures with the CSRC and may be required to go through cybersecurity review by the CAC in connection with any future offering and listing in an overseas market. As of the date of this annual report, we have not been subject to any cybersecurity review made by the CAC. If we fail to obtain the relevant approval or complete other review or filing procedures for any future offshore offering or listing, we may face sanctions by the CSRC or other PRC regulatory authorities, which may include fines and penalties on our operations in China, limitations on our operating privileges in China, restrictions on or prohibition of the payments or remittance of dividends by our subsidiaries in China, restrictions on or delays to our future financing transactions offshore, or other actions that could have a material and adverse effect on our business, financial condition, results of operations, reputation and prospects, as well as the trading price of our ADSs. For more detailed information, see “—D. Risk Factors— Risks Relating to Doing Business in China—Recent regulatory developments in China may subject us to additional regulatory review and disclosure requirements, expose us to government interference, or otherwise restrict or completely hinder our ability to offer securities and raise capital outside mainland China, which could adversely affect our business operations and cause the value of our securities to significantly decline or become worthless.”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the Holding Foreign Companies Accountable Act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financial statements contained in this annual report have been audited by PricewaterhouseCoopers, an independent registered public accounting firm. It is a firm registered with the U.S. Public Company Accounting Oversight Board (the “PCAOB”), and is required by the laws of the U.S. to undergo regular inspections by the PCAOB to assess its compliance with the laws of the U.S. and professional standards. Pursuant to the Holding Foreign Companies Accountable Act, or the HFCA Act, if the SEC determines that we have filed audit reports issued by a registered public accounting firm that has not been subject to inspections by the PCAOB for two consecutive years, the SEC will prohibit our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or Hong Kong, including our auditor. Subsequently, we were conclusively identified by the SEC as a “Commission-Identified Issuer” under the HFCA Act on June 1, 2022 in respect of our annual report for the year ended December 31, 2021 filed on May 2, 2022. Pursuant to amendment made to the HFCA Act in 2022, the PCAOB may determine that it is unable to inspect or investigate completely registered public accounting firms in any foreign jurisdictions because of positions taken by any foreign authority, rather than an authority in the location in which the firms are headquartered or in which they have a branch or office, as was the case under the original version of the HFCA Act.</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December 15, 2022, the PCAOB announced its determination that it was able to inspect and investigate audit firms in mainland China and Hong Kong completely for purposes of the HFCA Act, and the PCAOB vacated its December 16, 2021 determinations. As a result, the SEC will not provisionally or conclusively identify an issuer as a Commission-Identified Issuer if it files an annual report with an audit report issued by a registered public accounting firm headquartered in mainland China or Hong Kong on or after December 15, 2022, until such time as the PCAOB issues a new determination. However, the PCAOB stated that should PRC authorities obstruct the PCAOB’s ability to inspect or investigate completely in any way and at any point in the future, the PCAOB Board will act immediately to consider the need to issue new determinations consistent with the HFCA Act. While we currently do not expect the HFCA Act to prevent us from maintaining the trading of our ADSs in the U.S., uncertainties exist with respect to future determinations of the PCAOB in this respect and any further legislative or regulatory actions to be taken by the U.S. or Chinese governments that could affect our listing status in the U.S. The delisting of our ADSs, or the threat of their being delisted, may materially and adversely affect the value of your investment.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Corporate Structure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investors hold securities of iClick Interactive Asia Group Limited, which is not an operating company but a Cayman Islands holding company with operations primarily conducted by its subsidiaries and through contractual arrangements with its variable interest entities, or VIEs, and their respective subsidiaries based in mainland China. PRC laws and regulations restrict and impose conditions on foreign investment in internet-based businesses, including holding of value-added telecommunication license by Shanghai Myhayo Technology Co., Ltd., or Myhayo, a content distribution channel and a mobile content aggregator of articles and short videos in mainland China. For more information of Myhayo’s value-added telecommunication license, see “—D. Risk Factors—Risks Related to Our Business and Industry—If we fail to maintain or renew the value-added telecommunication license, or fail to obtain other requisite license, or approvals or filings in China, the business carried out by certain consolidated entity may be materially and adversely affected”. Accordingly, we operate these businesses in China through Beijing OptAim Network Technology Co., Ltd., or OptAim Network, which we refer to as the VIE in this annual report, and its subsidiaries, and rely on contractual arrangements among our PRC subsidiary, the VIE and its nominee shareholder to control the business operations of the VIE entities. We are the primary beneficiary of these VIE entities for accounting purposes because of these contractual arrangements. Accordingly, under U.S. GAAP, the financial statements of the VIE are consolidated as part of our financial statements. Although these VIE agreements have been widely adopted by PRC companies seeking to list overseas, such agreements have not been tested in a court of law.</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corporate structure is subject to risks associated with our contractual arrangements with the VIE. The Company that investors will own may never have a direct equity ownership interest in the businesses that are conducted by the VIE. If the PRC government disallow the VIE structure or deems that our contractual arrangements with the VIE do not comply with PRC regulatory restrictions on foreign investment in the relevant industries, or if these regulations or the interpretation of existing regulations change or are interpreted differently in the future, we and the VIE could be subject to severe penalties or be forced to relinquish our interests in those operations. This would result in the VIE being deconsolidated. Part of our assets, including the value-added telecommunication license, are held by the VIE. In 2021, OptAim Network contributed 3.0% to our gross billing and 7.8% of our net revenues. In 2022, OptAim Network contributed 5.3% to our gross billing and 12.7% of our net revenues. In 2023, OptAim Network contributed 5.8% to our gross billing and 9.7% of our net revenues. Our holding company, our PRC subsidiaries and the VIE entities, and investors of our company face uncertainty about potential future actions by the PRC government that could affect the enforceability of the contractual arrangements with the VIE and, consequently, significantly affect the financial performance of the VIE entities and our Company as a whole. Our ADSs may decline in value or become worthless, if we are unable to assert our contractual control rights over the assets of the VIE that conduct some or all of our operations. For a detailed description of the risks associated with our corporate structure, please refer to risks disclosed under “Item 3.D. Key Information—Risk Factors—Risks Related to Our Corporate Structure”.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Transfer between the Company, the Company’s Subsidiaries and the VIE entities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transfers between the Company, the Company’s subsidiaries and the VIE entities are made in accordance with the applicable PRC laws and regulations and the VIE agreements.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the extent the cash is in mainland China or an entity incorporated in mainland China, the funds may not be available for use outside mainland China, due to interventions in or the imposition of restrictions and limitations on the ability of the Company, the Company’s subsidiaries, or the VIE entities by the PRC government to transfer cash.</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Renminbi into foreign currencies and, in certain cases, the remittance of currency out of mainland China. The Company carries out its business primarily through its subsidiaries and the VIE entities in mainland China, the income of which is primarily in Renminbi and shortages in foreign currencies may restrict their ability to pay dividends or other payments to the Company, or otherwise satisfy the Company’s foreign currency denominated obligations, if any. Under existing PRC foreign exchange regulations, payments of current account items, including profit distributions, interest payments and expenditures from trade-related transactions, can be made in foreign currencies without prior approval from SAFE as long as certain procedural requirements are met. The PRC government may, at its discretion, impose restrictions on access to foreign currencies for current account transactions. Approval from relevant government authorities is required if Renminbi is converted into foreign currency and remitted out of mainland China to pay capital expenses such as the repayment of loans denominated in foreign currencies.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relevant PRC laws and regulations permit the companies incorporated in mainland China to pay dividends only out of their retained earnings, if any, as determined in accordance with the accounting standards and regulations in mainland China. Additionally, the Company’s subsidiaries incorporated in mainland China and the VIE entities can only distribute dividends upon approval of the shareholders after they have met the PRC requirements for appropriation to the statutory reserves. As a result of these and other restrictions under the laws and regulations in mainland China, the Company’s subsidiaries incorporated in mainland China and the VIE entities are restricted to transfer a portion of their net assets to the Company either in the form of dividends, loans or advances. Even though the Company currently does not require any such dividends, loans or advances from the subsidiaries incorporated in mainland China and the VIE entities for working capital and other funding purposes, the Company may in the future require additional cash resources from its subsidiaries incorporated in mainland China and the VIE entities due to changes in business conditions, to fund future acquisitions and developments, or merely declare and pay dividends to or distributions to the Company’s shareholders.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Beijing WFOE enjoys the economic interest in the operations of the VIE entities in the form of service fees under the contractual arrangements among the Beijing WFOE, the VIE, and shareholders of the VIE pursuant to the VIE agreements. Under the VIE agreements, the VIE agrees to pay service fee in an amount equal to 100% of its net income for the relevant period on a monthly basis, and Beijing WFOE has the right to adjust at its own discretion.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not made any dividend or distribution to its shareholders. The Company’s subsidiaries and the VIE entities have not made any dividend or distribution to the Company. The VIE has not paid any service fee.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See “—D. Risk Factors—Risks Related to Doing Business in China—We rely on dividends and other distributions on equity paid by the Company’s subsidiaries incorporated in mainland China to fund any cash and financing requirements we may have, and any limitation on the ability of the Company’s subsidiaries incorporated in mainland China to make payments to us could have a material adverse effect on our ability to conduct our business.”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utilizing any proceeds from the Company, including any proceeds from any offering by the Company, the Company is permitted under PRC laws and regulations to provide funding to its subsidiaries incorporated in mainland China through inter-company loans or capital contributions, subject to satisfaction of applicable government registration and approval requirements. The Company cannot assure you that these government registrations or approvals can be obtained on a timely basis, if at all. See “—D. Risk Factors— Risks Related to Doing Business in China—PRC regulation of loans to and direct investment in entities incorporated in mainland China by holding companies incorporated outside mainland China and governmental control of currency conversion may delay or prevent us from using the proceeds of the fundraisings outside mainland China to make loans to or make additional capital contributions to the Company’s subsidiaries incorporated in mainland China, which could materially and adversely affect our liquidity and our ability to fund and expand our business.” In addition, the Company’s subsidiaries incorporated in mainland China may transfer cash to the VIE entities by loans.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diagram illustrates the typical fund flow among the Company, its PRC subsidiaries and the VIE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751840</wp:posOffset>
            </wp:positionH>
            <wp:positionV relativeFrom="paragraph">
              <wp:posOffset>161925</wp:posOffset>
            </wp:positionV>
            <wp:extent cx="5212080" cy="5074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5074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the cash transfers among the Company, the Company’s subsidiaries and the VIE entities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2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020" w:type="dxa"/>
            <w:vAlign w:val="bottom"/>
            <w:gridSpan w:val="2"/>
          </w:tcPr>
          <w:p>
            <w:pPr>
              <w:jc w:val="center"/>
              <w:ind w:lef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r>
      <w:tr>
        <w:trPr>
          <w:trHeight w:val="117"/>
        </w:trPr>
        <w:tc>
          <w:tcPr>
            <w:tcW w:w="24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200" w:type="dxa"/>
            <w:vAlign w:val="bottom"/>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20" w:type="dxa"/>
            <w:vAlign w:val="bottom"/>
          </w:tcPr>
          <w:p>
            <w:pPr>
              <w:spacing w:after="0"/>
              <w:rPr>
                <w:sz w:val="10"/>
                <w:szCs w:val="10"/>
                <w:color w:val="auto"/>
              </w:rPr>
            </w:pPr>
          </w:p>
        </w:tc>
      </w:tr>
      <w:tr>
        <w:trPr>
          <w:trHeight w:val="173"/>
        </w:trPr>
        <w:tc>
          <w:tcPr>
            <w:tcW w:w="248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210"/>
        </w:trPr>
        <w:tc>
          <w:tcPr>
            <w:tcW w:w="698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operating cash received by VIE entities from the Company’s subsidiaries</w:t>
            </w:r>
            <w:r>
              <w:rPr>
                <w:rFonts w:ascii="Times New Roman" w:cs="Times New Roman" w:eastAsia="Times New Roman" w:hAnsi="Times New Roman"/>
                <w:sz w:val="24"/>
                <w:szCs w:val="24"/>
                <w:color w:val="auto"/>
                <w:vertAlign w:val="superscript"/>
              </w:rPr>
              <w:t>(1)</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Capital contribution to subsidiaries by the Company</w:t>
            </w:r>
            <w:r>
              <w:rPr>
                <w:rFonts w:ascii="Times New Roman" w:cs="Times New Roman" w:eastAsia="Times New Roman" w:hAnsi="Times New Roman"/>
                <w:sz w:val="25"/>
                <w:szCs w:val="25"/>
                <w:color w:val="auto"/>
                <w:vertAlign w:val="superscript"/>
              </w:rPr>
              <w:t>(2)</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Refund of capital contribution to the Company by subsidiaries</w:t>
            </w:r>
            <w:r>
              <w:rPr>
                <w:rFonts w:ascii="Times New Roman" w:cs="Times New Roman" w:eastAsia="Times New Roman" w:hAnsi="Times New Roman"/>
                <w:sz w:val="25"/>
                <w:szCs w:val="25"/>
                <w:color w:val="auto"/>
                <w:vertAlign w:val="superscript"/>
              </w:rPr>
              <w:t>(3)</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20" w:type="dxa"/>
            <w:vAlign w:val="bottom"/>
          </w:tcPr>
          <w:p>
            <w:pPr>
              <w:spacing w:after="0"/>
              <w:rPr>
                <w:sz w:val="18"/>
                <w:szCs w:val="18"/>
                <w:color w:val="auto"/>
              </w:rPr>
            </w:pPr>
          </w:p>
        </w:tc>
      </w:tr>
      <w:tr>
        <w:trPr>
          <w:trHeight w:val="216"/>
        </w:trPr>
        <w:tc>
          <w:tcPr>
            <w:tcW w:w="6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Advances from other subsidiaries to WFOE as primary beneficiary</w:t>
            </w:r>
            <w:r>
              <w:rPr>
                <w:rFonts w:ascii="Times New Roman" w:cs="Times New Roman" w:eastAsia="Times New Roman" w:hAnsi="Times New Roman"/>
                <w:sz w:val="25"/>
                <w:szCs w:val="25"/>
                <w:color w:val="auto"/>
                <w:vertAlign w:val="superscript"/>
              </w:rPr>
              <w:t>(4)</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(36,310)</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(8,098)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2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Advances from other subsidiaries to VIE entities</w:t>
            </w:r>
            <w:r>
              <w:rPr>
                <w:rFonts w:ascii="Times New Roman" w:cs="Times New Roman" w:eastAsia="Times New Roman" w:hAnsi="Times New Roman"/>
                <w:sz w:val="25"/>
                <w:szCs w:val="25"/>
                <w:color w:val="auto"/>
                <w:vertAlign w:val="superscript"/>
              </w:rPr>
              <w:t>(4)</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(1,588)</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18"/>
                <w:szCs w:val="18"/>
                <w:color w:val="auto"/>
              </w:rPr>
            </w:pPr>
          </w:p>
        </w:tc>
      </w:tr>
      <w:tr>
        <w:trPr>
          <w:trHeight w:val="216"/>
        </w:trPr>
        <w:tc>
          <w:tcPr>
            <w:tcW w:w="6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Advances by VIE entities to other subsidiaries</w:t>
            </w:r>
            <w:r>
              <w:rPr>
                <w:rFonts w:ascii="Times New Roman" w:cs="Times New Roman" w:eastAsia="Times New Roman" w:hAnsi="Times New Roman"/>
                <w:sz w:val="25"/>
                <w:szCs w:val="25"/>
                <w:color w:val="auto"/>
                <w:vertAlign w:val="superscript"/>
              </w:rPr>
              <w:t>(5)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Advances by WFOE as primary beneficiary to other subsidiaries</w:t>
            </w:r>
            <w:r>
              <w:rPr>
                <w:rFonts w:ascii="Times New Roman" w:cs="Times New Roman" w:eastAsia="Times New Roman" w:hAnsi="Times New Roman"/>
                <w:sz w:val="25"/>
                <w:szCs w:val="25"/>
                <w:color w:val="auto"/>
                <w:vertAlign w:val="superscript"/>
              </w:rPr>
              <w:t>(5)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20" w:type="dxa"/>
            <w:vAlign w:val="bottom"/>
          </w:tcPr>
          <w:p>
            <w:pPr>
              <w:spacing w:after="0"/>
              <w:rPr>
                <w:sz w:val="18"/>
                <w:szCs w:val="18"/>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(US$’000):</w:t>
      </w:r>
    </w:p>
    <w:p>
      <w:pPr>
        <w:spacing w:after="0" w:line="227" w:lineRule="exact"/>
        <w:rPr>
          <w:sz w:val="20"/>
          <w:szCs w:val="20"/>
          <w:color w:val="auto"/>
        </w:rPr>
      </w:pPr>
    </w:p>
    <w:p>
      <w:pPr>
        <w:ind w:left="660" w:right="2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“Net operating cash received from Group companies” of the VIE entities in the Selected Condensed Consolidated Cash Flows Data, which includes the following:</w:t>
      </w:r>
    </w:p>
    <w:p>
      <w:pPr>
        <w:spacing w:after="0" w:line="161" w:lineRule="exact"/>
        <w:rPr>
          <w:rFonts w:ascii="Times New Roman" w:cs="Times New Roman" w:eastAsia="Times New Roman" w:hAnsi="Times New Roman"/>
          <w:sz w:val="18"/>
          <w:szCs w:val="18"/>
          <w:color w:val="auto"/>
        </w:rPr>
      </w:pPr>
    </w:p>
    <w:p>
      <w:pPr>
        <w:ind w:left="1340" w:hanging="333"/>
        <w:spacing w:after="0" w:line="282"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2021, 2022 and 2023, cash received by the VIE entities from other entities of the Group for online advertising service and other marketing service were US$1,315, US$153 and nil, respectively.</w:t>
      </w:r>
    </w:p>
    <w:p>
      <w:pPr>
        <w:spacing w:after="0" w:line="161" w:lineRule="exact"/>
        <w:rPr>
          <w:rFonts w:ascii="Times New Roman" w:cs="Times New Roman" w:eastAsia="Times New Roman" w:hAnsi="Times New Roman"/>
          <w:sz w:val="18"/>
          <w:szCs w:val="18"/>
          <w:color w:val="auto"/>
        </w:rPr>
      </w:pPr>
    </w:p>
    <w:p>
      <w:pPr>
        <w:ind w:left="1340" w:hanging="333"/>
        <w:spacing w:after="0" w:line="282" w:lineRule="auto"/>
        <w:tabs>
          <w:tab w:leader="none" w:pos="1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2021, 2022 and 2023, cash paid by the VIE entities to other entities of the Group for online advertising service and SaaS services were US$543, nil and nil, respectively.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“Capital contribution to subsidiaries” of the Parent in the Selected Condensed Consolidated Cash Flows Data.</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“Refund from subsidiaries of capital contribution” of the Parent in the Selected Condensed Consolidated Cash Flows Data.</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“Payments for advances to Group companies” of Other Subsidiaries and WFOE as Primary Beneficiary in the Selected Condensed Consolidated Cash Flows Data.</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“Receipts of repayments of advances from Group companies” of Other Subsidiaries, WFOE as Primary Beneficiary and VIE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Consolidating Schedules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financial information for the Company, its wholly owned subsidiary that is WFOE as primary beneficiary, other subsidiaries and VIE entities as of and for the years ended the dates presented.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Selected Condensed Consolidated Balance Sheets Data (US$’000)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WFOE as</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0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Primary</w:t>
            </w:r>
          </w:p>
        </w:tc>
        <w:tc>
          <w:tcPr>
            <w:tcW w:w="7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Beneficiary</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45,453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an equity investee</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Amounts due from Group companies </w:t>
            </w:r>
            <w:r>
              <w:rPr>
                <w:rFonts w:ascii="Times New Roman" w:cs="Times New Roman" w:eastAsia="Times New Roman" w:hAnsi="Times New Roman"/>
                <w:sz w:val="25"/>
                <w:szCs w:val="25"/>
                <w:color w:val="auto"/>
                <w:vertAlign w:val="superscript"/>
              </w:rPr>
              <w:t>(3)</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receivable</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Prepaid media costs</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an equity investee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Investments in subsidiaries and VIE entities </w:t>
            </w:r>
            <w:r>
              <w:rPr>
                <w:rFonts w:ascii="Times New Roman" w:cs="Times New Roman" w:eastAsia="Times New Roman" w:hAnsi="Times New Roman"/>
                <w:sz w:val="25"/>
                <w:szCs w:val="25"/>
                <w:color w:val="auto"/>
                <w:vertAlign w:val="superscript"/>
              </w:rPr>
              <w:t>(2)</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(53,047)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Amounts due to Group companies </w:t>
            </w:r>
            <w:r>
              <w:rPr>
                <w:rFonts w:ascii="Times New Roman" w:cs="Times New Roman" w:eastAsia="Times New Roman" w:hAnsi="Times New Roman"/>
                <w:sz w:val="25"/>
                <w:szCs w:val="25"/>
                <w:color w:val="auto"/>
                <w:vertAlign w:val="superscript"/>
              </w:rPr>
              <w:t>(3)</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(42,816)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Shareholders’ equity </w:t>
            </w:r>
            <w:r>
              <w:rPr>
                <w:rFonts w:ascii="Times New Roman" w:cs="Times New Roman" w:eastAsia="Times New Roman" w:hAnsi="Times New Roman"/>
                <w:sz w:val="25"/>
                <w:szCs w:val="25"/>
                <w:color w:val="auto"/>
                <w:vertAlign w:val="superscript"/>
              </w:rPr>
              <w:t>(2)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(53,047)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r>
        <w:trPr>
          <w:trHeight w:val="250"/>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6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14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38,503</w:t>
            </w:r>
          </w:p>
        </w:tc>
        <w:tc>
          <w:tcPr>
            <w:tcW w:w="14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16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6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(53,047)</w:t>
            </w:r>
          </w:p>
        </w:tc>
        <w:tc>
          <w:tcPr>
            <w:tcW w:w="16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175,211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(95,863)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36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Selected Condensed Consolidated Balance Sheets Data (US$’000)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WFOE as</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VIE</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0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Primary</w:t>
            </w:r>
          </w:p>
        </w:tc>
        <w:tc>
          <w:tcPr>
            <w:tcW w:w="7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Beneficiary</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78,724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an equity investee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Amounts due from Group companies </w:t>
            </w:r>
            <w:r>
              <w:rPr>
                <w:rFonts w:ascii="Times New Roman" w:cs="Times New Roman" w:eastAsia="Times New Roman" w:hAnsi="Times New Roman"/>
                <w:sz w:val="25"/>
                <w:szCs w:val="25"/>
                <w:color w:val="auto"/>
                <w:vertAlign w:val="superscript"/>
              </w:rPr>
              <w:t>(3)</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(43,992)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receivable</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Prepaid media costs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an equity investee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Investments in subsidiaries and VIE entities </w:t>
            </w:r>
            <w:r>
              <w:rPr>
                <w:rFonts w:ascii="Times New Roman" w:cs="Times New Roman" w:eastAsia="Times New Roman" w:hAnsi="Times New Roman"/>
                <w:sz w:val="25"/>
                <w:szCs w:val="25"/>
                <w:color w:val="auto"/>
                <w:vertAlign w:val="superscript"/>
              </w:rPr>
              <w:t>(2)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(112,080)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Amounts due to Group companies </w:t>
            </w:r>
            <w:r>
              <w:rPr>
                <w:rFonts w:ascii="Times New Roman" w:cs="Times New Roman" w:eastAsia="Times New Roman" w:hAnsi="Times New Roman"/>
                <w:sz w:val="25"/>
                <w:szCs w:val="25"/>
                <w:color w:val="auto"/>
                <w:vertAlign w:val="superscript"/>
              </w:rPr>
              <w:t>(3)</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(43,992)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Shareholders’ equity </w:t>
            </w:r>
            <w:r>
              <w:rPr>
                <w:rFonts w:ascii="Times New Roman" w:cs="Times New Roman" w:eastAsia="Times New Roman" w:hAnsi="Times New Roman"/>
                <w:sz w:val="25"/>
                <w:szCs w:val="25"/>
                <w:color w:val="auto"/>
                <w:vertAlign w:val="superscript"/>
              </w:rPr>
              <w:t>(2)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80,015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(112,080)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0" w:type="dxa"/>
            <w:vAlign w:val="bottom"/>
          </w:tcPr>
          <w:p>
            <w:pPr>
              <w:spacing w:after="0"/>
              <w:rPr>
                <w:sz w:val="1"/>
                <w:szCs w:val="1"/>
                <w:color w:val="auto"/>
              </w:rPr>
            </w:pPr>
          </w:p>
        </w:tc>
      </w:tr>
      <w:tr>
        <w:trPr>
          <w:trHeight w:val="25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74,930</w:t>
            </w:r>
          </w:p>
        </w:tc>
        <w:tc>
          <w:tcPr>
            <w:tcW w:w="14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82,827</w:t>
            </w:r>
          </w:p>
        </w:tc>
        <w:tc>
          <w:tcPr>
            <w:tcW w:w="14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24,376</w:t>
            </w:r>
          </w:p>
        </w:tc>
        <w:tc>
          <w:tcPr>
            <w:tcW w:w="16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6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(112,080)</w:t>
            </w:r>
          </w:p>
        </w:tc>
        <w:tc>
          <w:tcPr>
            <w:tcW w:w="16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82,576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238,479</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41,315</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(156,072)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Selected Condensed Consolidated Balance Sheets Data (US$’000)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WFOE as</w:t>
            </w: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VIE</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00" w:type="dxa"/>
            <w:vAlign w:val="bottom"/>
            <w:gridSpan w:val="2"/>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Primary</w:t>
            </w:r>
          </w:p>
        </w:tc>
        <w:tc>
          <w:tcPr>
            <w:tcW w:w="7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Beneficiary</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32,489</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an equity investee</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Amounts due from Group companies </w:t>
            </w:r>
            <w:r>
              <w:rPr>
                <w:rFonts w:ascii="Times New Roman" w:cs="Times New Roman" w:eastAsia="Times New Roman" w:hAnsi="Times New Roman"/>
                <w:sz w:val="25"/>
                <w:szCs w:val="25"/>
                <w:color w:val="auto"/>
                <w:vertAlign w:val="superscript"/>
              </w:rPr>
              <w:t>(3)</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181,107</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receivable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Prepaid media costs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an equity investee</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Investments in subsidiaries, VIE and VIE’s subsidiaries </w:t>
            </w:r>
            <w:r>
              <w:rPr>
                <w:rFonts w:ascii="Times New Roman" w:cs="Times New Roman" w:eastAsia="Times New Roman" w:hAnsi="Times New Roman"/>
                <w:sz w:val="25"/>
                <w:szCs w:val="25"/>
                <w:color w:val="auto"/>
                <w:vertAlign w:val="superscript"/>
              </w:rPr>
              <w:t>(2)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285,824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(324,206)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53,350</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291,937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519,961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44,891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(365,440)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Amounts due to Group companies </w:t>
            </w:r>
            <w:r>
              <w:rPr>
                <w:rFonts w:ascii="Times New Roman" w:cs="Times New Roman" w:eastAsia="Times New Roman" w:hAnsi="Times New Roman"/>
                <w:sz w:val="25"/>
                <w:szCs w:val="25"/>
                <w:color w:val="auto"/>
                <w:vertAlign w:val="superscript"/>
              </w:rPr>
              <w:t>(3)</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228,627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(41,234)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Shareholders’ equity </w:t>
            </w:r>
            <w:r>
              <w:rPr>
                <w:rFonts w:ascii="Times New Roman" w:cs="Times New Roman" w:eastAsia="Times New Roman" w:hAnsi="Times New Roman"/>
                <w:sz w:val="25"/>
                <w:szCs w:val="25"/>
                <w:color w:val="auto"/>
                <w:vertAlign w:val="superscript"/>
              </w:rPr>
              <w:t>(2)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284,352</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285,824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0" w:type="dxa"/>
            <w:vAlign w:val="bottom"/>
          </w:tcPr>
          <w:p>
            <w:pPr>
              <w:spacing w:after="0"/>
              <w:rPr>
                <w:sz w:val="1"/>
                <w:szCs w:val="1"/>
                <w:color w:val="auto"/>
              </w:rPr>
            </w:pPr>
          </w:p>
        </w:tc>
      </w:tr>
      <w:tr>
        <w:trPr>
          <w:trHeight w:val="250"/>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284,352</w:t>
            </w:r>
          </w:p>
        </w:tc>
        <w:tc>
          <w:tcPr>
            <w:tcW w:w="14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291,334</w:t>
            </w:r>
          </w:p>
        </w:tc>
        <w:tc>
          <w:tcPr>
            <w:tcW w:w="14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32,585</w:t>
            </w:r>
          </w:p>
        </w:tc>
        <w:tc>
          <w:tcPr>
            <w:tcW w:w="14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7,524</w:t>
            </w:r>
          </w:p>
        </w:tc>
        <w:tc>
          <w:tcPr>
            <w:tcW w:w="14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(324,206)</w:t>
            </w:r>
          </w:p>
        </w:tc>
        <w:tc>
          <w:tcPr>
            <w:tcW w:w="16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291,589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291,937</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519,961</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44,891</w:t>
            </w: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16,385</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(365,440)</w:t>
            </w: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Selected Condensed Consolidated Statements of Operations Data (US$’000)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540" w:type="dxa"/>
            <w:vAlign w:val="bottom"/>
            <w:tcBorders>
              <w:bottom w:val="single" w:sz="8" w:color="auto"/>
            </w:tcBorders>
            <w:gridSpan w:val="8"/>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WFOE as</w:t>
            </w:r>
          </w:p>
        </w:tc>
        <w:tc>
          <w:tcPr>
            <w:tcW w:w="8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VIE</w:t>
            </w: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900" w:type="dxa"/>
            <w:vAlign w:val="bottom"/>
            <w:gridSpan w:val="2"/>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Primary</w:t>
            </w:r>
          </w:p>
        </w:tc>
        <w:tc>
          <w:tcPr>
            <w:tcW w:w="8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Beneficiary</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Third-party net revenues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102,074</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133,217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Inter-company net revenues </w:t>
            </w:r>
            <w:r>
              <w:rPr>
                <w:rFonts w:ascii="Times New Roman" w:cs="Times New Roman" w:eastAsia="Times New Roman" w:hAnsi="Times New Roman"/>
                <w:sz w:val="25"/>
                <w:szCs w:val="25"/>
                <w:color w:val="auto"/>
                <w:vertAlign w:val="superscript"/>
              </w:rPr>
              <w:t>(1)</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13,979</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(14,784)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costs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(85,644)</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(2,337)</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(10,394)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(98,375)</w:t>
            </w: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Inter-company costs </w:t>
            </w:r>
            <w:r>
              <w:rPr>
                <w:rFonts w:ascii="Times New Roman" w:cs="Times New Roman" w:eastAsia="Times New Roman" w:hAnsi="Times New Roman"/>
                <w:sz w:val="25"/>
                <w:szCs w:val="25"/>
                <w:color w:val="auto"/>
                <w:vertAlign w:val="superscript"/>
              </w:rPr>
              <w:t>(1)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(13,979)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29,609</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(4,143)</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(2,683)</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(722)</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Sales and marketing expenses </w:t>
            </w:r>
            <w:r>
              <w:rPr>
                <w:rFonts w:ascii="Times New Roman" w:cs="Times New Roman" w:eastAsia="Times New Roman" w:hAnsi="Times New Roman"/>
                <w:sz w:val="25"/>
                <w:szCs w:val="25"/>
                <w:color w:val="auto"/>
                <w:vertAlign w:val="superscript"/>
              </w:rPr>
              <w:t>(1)</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(32,273)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(1,324)</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(5,445)</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(18,898)</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(2,803)</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(909)</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(2,837)</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(58,151)</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(75,653)</w:t>
            </w:r>
          </w:p>
        </w:tc>
        <w:tc>
          <w:tcPr>
            <w:tcW w:w="0" w:type="dxa"/>
            <w:vAlign w:val="bottom"/>
          </w:tcPr>
          <w:p>
            <w:pPr>
              <w:spacing w:after="0"/>
              <w:rPr>
                <w:sz w:val="1"/>
                <w:szCs w:val="1"/>
                <w:color w:val="auto"/>
              </w:rPr>
            </w:pPr>
          </w:p>
        </w:tc>
      </w:tr>
      <w:tr>
        <w:trPr>
          <w:trHeight w:val="216"/>
        </w:trPr>
        <w:tc>
          <w:tcPr>
            <w:tcW w:w="47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Share of losses of subsidiaries, VIE and VIE’s subsidiaries </w:t>
            </w:r>
            <w:r>
              <w:rPr>
                <w:rFonts w:ascii="Times New Roman" w:cs="Times New Roman" w:eastAsia="Times New Roman" w:hAnsi="Times New Roman"/>
                <w:sz w:val="25"/>
                <w:szCs w:val="25"/>
                <w:color w:val="auto"/>
                <w:vertAlign w:val="superscript"/>
              </w:rPr>
              <w:t>(2)</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(33,491)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35,849</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costs, net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174"/>
        </w:trPr>
        <w:tc>
          <w:tcPr>
            <w:tcW w:w="47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before share of loss from an equity investee and</w:t>
            </w: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(38,629)</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(32,839)</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(2,299)</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35,849</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(38,690)</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(33,568)</w:t>
            </w:r>
          </w:p>
        </w:tc>
        <w:tc>
          <w:tcPr>
            <w:tcW w:w="14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35,849</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74"/>
        </w:trPr>
        <w:tc>
          <w:tcPr>
            <w:tcW w:w="47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attributable to iClick Interactive Asia Group</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(38,690)</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(33,491)</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(2,245)</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35,849</w:t>
            </w: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(38,690)</w:t>
            </w:r>
          </w:p>
        </w:tc>
        <w:tc>
          <w:tcPr>
            <w:tcW w:w="0" w:type="dxa"/>
            <w:vAlign w:val="bottom"/>
          </w:tcPr>
          <w:p>
            <w:pPr>
              <w:spacing w:after="0"/>
              <w:rPr>
                <w:sz w:val="1"/>
                <w:szCs w:val="1"/>
                <w:color w:val="auto"/>
              </w:rPr>
            </w:pPr>
          </w:p>
        </w:tc>
      </w:tr>
      <w:tr>
        <w:trPr>
          <w:trHeight w:val="225"/>
        </w:trPr>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Limited’s ordinary shareholders</w:t>
            </w:r>
          </w:p>
        </w:tc>
        <w:tc>
          <w:tcPr>
            <w:tcW w:w="82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74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7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Selected Condensed Consolidated Statements of Operations Data (US$’000)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gridSpan w:val="8"/>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WFOE as</w:t>
            </w:r>
          </w:p>
        </w:tc>
        <w:tc>
          <w:tcPr>
            <w:tcW w:w="8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VIE</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040" w:type="dxa"/>
            <w:vAlign w:val="bottom"/>
            <w:gridSpan w:val="2"/>
            <w:vMerge w:val="continue"/>
          </w:tcPr>
          <w:p>
            <w:pPr>
              <w:spacing w:after="0"/>
              <w:rPr>
                <w:sz w:val="12"/>
                <w:szCs w:val="12"/>
                <w:color w:val="auto"/>
              </w:rPr>
            </w:pPr>
          </w:p>
        </w:tc>
        <w:tc>
          <w:tcPr>
            <w:tcW w:w="8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Primary</w:t>
            </w:r>
          </w:p>
        </w:tc>
        <w:tc>
          <w:tcPr>
            <w:tcW w:w="8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4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4"/>
                <w:szCs w:val="14"/>
                <w:b w:val="1"/>
                <w:bCs w:val="1"/>
                <w:color w:val="auto"/>
                <w:w w:val="96"/>
              </w:rPr>
              <w:t>Subsidiaries</w:t>
            </w:r>
            <w:r>
              <w:rPr>
                <w:rFonts w:ascii="Times New Roman" w:cs="Times New Roman" w:eastAsia="Times New Roman" w:hAnsi="Times New Roman"/>
                <w:sz w:val="20"/>
                <w:szCs w:val="20"/>
                <w:b w:val="1"/>
                <w:bCs w:val="1"/>
                <w:color w:val="auto"/>
                <w:w w:val="96"/>
                <w:vertAlign w:val="superscript"/>
              </w:rPr>
              <w:t>(7)</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Beneficiary</w:t>
            </w:r>
          </w:p>
        </w:tc>
        <w:tc>
          <w:tcPr>
            <w:tcW w:w="800" w:type="dxa"/>
            <w:vAlign w:val="bottom"/>
            <w:gridSpan w:val="2"/>
          </w:tcPr>
          <w:p>
            <w:pPr>
              <w:jc w:val="right"/>
              <w:ind w:right="180"/>
              <w:spacing w:after="0" w:line="176" w:lineRule="exact"/>
              <w:rPr>
                <w:sz w:val="20"/>
                <w:szCs w:val="20"/>
                <w:color w:val="auto"/>
              </w:rPr>
            </w:pPr>
            <w:r>
              <w:rPr>
                <w:rFonts w:ascii="Times New Roman" w:cs="Times New Roman" w:eastAsia="Times New Roman" w:hAnsi="Times New Roman"/>
                <w:sz w:val="14"/>
                <w:szCs w:val="14"/>
                <w:b w:val="1"/>
                <w:bCs w:val="1"/>
                <w:color w:val="auto"/>
                <w:w w:val="97"/>
              </w:rPr>
              <w:t>Entities</w:t>
            </w:r>
            <w:r>
              <w:rPr>
                <w:rFonts w:ascii="Times New Roman" w:cs="Times New Roman" w:eastAsia="Times New Roman" w:hAnsi="Times New Roman"/>
                <w:sz w:val="20"/>
                <w:szCs w:val="20"/>
                <w:b w:val="1"/>
                <w:bCs w:val="1"/>
                <w:color w:val="auto"/>
                <w:w w:val="97"/>
                <w:vertAlign w:val="superscript"/>
              </w:rPr>
              <w:t>(7)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Third-party net revenues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138,287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21,462</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169,080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Inter-company net revenues </w:t>
            </w:r>
            <w:r>
              <w:rPr>
                <w:rFonts w:ascii="Times New Roman" w:cs="Times New Roman" w:eastAsia="Times New Roman" w:hAnsi="Times New Roman"/>
                <w:sz w:val="25"/>
                <w:szCs w:val="25"/>
                <w:color w:val="auto"/>
                <w:vertAlign w:val="superscript"/>
              </w:rPr>
              <w:t>(1)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costs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(151,968)</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(3,566)</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(17,678)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(173,212)</w:t>
            </w:r>
          </w:p>
        </w:tc>
        <w:tc>
          <w:tcPr>
            <w:tcW w:w="0" w:type="dxa"/>
            <w:vAlign w:val="bottom"/>
          </w:tcPr>
          <w:p>
            <w:pPr>
              <w:spacing w:after="0"/>
              <w:rPr>
                <w:sz w:val="1"/>
                <w:szCs w:val="1"/>
                <w:color w:val="auto"/>
              </w:rPr>
            </w:pPr>
          </w:p>
        </w:tc>
      </w:tr>
      <w:tr>
        <w:trPr>
          <w:trHeight w:val="216"/>
        </w:trPr>
        <w:tc>
          <w:tcPr>
            <w:tcW w:w="4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Inter-company costs </w:t>
            </w:r>
            <w:r>
              <w:rPr>
                <w:rFonts w:ascii="Times New Roman" w:cs="Times New Roman" w:eastAsia="Times New Roman" w:hAnsi="Times New Roman"/>
                <w:sz w:val="25"/>
                <w:szCs w:val="25"/>
                <w:color w:val="auto"/>
                <w:vertAlign w:val="superscript"/>
              </w:rPr>
              <w:t>(1)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(1,759)</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(4,446)</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profit/(loss)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(5,902)</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(2,156)</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(1,158)</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0" w:type="dxa"/>
            <w:vAlign w:val="bottom"/>
          </w:tcPr>
          <w:p>
            <w:pPr>
              <w:spacing w:after="0"/>
              <w:rPr>
                <w:sz w:val="1"/>
                <w:szCs w:val="1"/>
                <w:color w:val="auto"/>
              </w:rPr>
            </w:pPr>
          </w:p>
        </w:tc>
      </w:tr>
      <w:tr>
        <w:trPr>
          <w:trHeight w:val="216"/>
        </w:trPr>
        <w:tc>
          <w:tcPr>
            <w:tcW w:w="4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Sales and marketing expenses </w:t>
            </w:r>
            <w:r>
              <w:rPr>
                <w:rFonts w:ascii="Times New Roman" w:cs="Times New Roman" w:eastAsia="Times New Roman" w:hAnsi="Times New Roman"/>
                <w:sz w:val="25"/>
                <w:szCs w:val="25"/>
                <w:color w:val="auto"/>
                <w:vertAlign w:val="superscript"/>
              </w:rPr>
              <w:t>(1)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(38,347)</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(2,789)</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(3,787)</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(7,160)</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(37,594)</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(6,467)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(447)</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(4,201)</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(78,521)</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(1,616)</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(80,137)</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1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(164,565)</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(190,037)</w:t>
            </w:r>
          </w:p>
        </w:tc>
        <w:tc>
          <w:tcPr>
            <w:tcW w:w="0" w:type="dxa"/>
            <w:vAlign w:val="bottom"/>
          </w:tcPr>
          <w:p>
            <w:pPr>
              <w:spacing w:after="0"/>
              <w:rPr>
                <w:sz w:val="1"/>
                <w:szCs w:val="1"/>
                <w:color w:val="auto"/>
              </w:rPr>
            </w:pPr>
          </w:p>
        </w:tc>
      </w:tr>
      <w:tr>
        <w:trPr>
          <w:trHeight w:val="190"/>
        </w:trPr>
        <w:tc>
          <w:tcPr>
            <w:tcW w:w="45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Share of (losses)/profits of subsidiaries, VIE and VIE’s</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540" w:type="dxa"/>
            <w:vAlign w:val="bottom"/>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 xml:space="preserve">subsidiaries </w:t>
            </w:r>
            <w:r>
              <w:rPr>
                <w:rFonts w:ascii="Times New Roman" w:cs="Times New Roman" w:eastAsia="Times New Roman" w:hAnsi="Times New Roman"/>
                <w:sz w:val="26"/>
                <w:szCs w:val="26"/>
                <w:color w:val="auto"/>
                <w:vertAlign w:val="superscript"/>
              </w:rPr>
              <w:t>(2)</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(185,431)</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(9,063)</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(1,366)</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195,860</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 net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(losses)/gains, net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(7,925)</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(14,310)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(19,165)</w:t>
            </w:r>
          </w:p>
        </w:tc>
        <w:tc>
          <w:tcPr>
            <w:tcW w:w="0" w:type="dxa"/>
            <w:vAlign w:val="bottom"/>
          </w:tcPr>
          <w:p>
            <w:pPr>
              <w:spacing w:after="0"/>
              <w:rPr>
                <w:sz w:val="1"/>
                <w:szCs w:val="1"/>
                <w:color w:val="auto"/>
              </w:rPr>
            </w:pPr>
          </w:p>
        </w:tc>
      </w:tr>
      <w:tr>
        <w:trPr>
          <w:trHeight w:val="194"/>
        </w:trPr>
        <w:tc>
          <w:tcPr>
            <w:tcW w:w="45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(Loss)/profit before share of loss from an equity investee</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and income tax (expense)/credit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(200,516)</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(199,517)</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(8,335)</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195,860</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(213,913)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12,156</w:t>
            </w: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(200,875)</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(187,361)</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(202,806)</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174"/>
        </w:trPr>
        <w:tc>
          <w:tcPr>
            <w:tcW w:w="454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(loss)/income attributable to iClick Interactive Asia</w:t>
            </w: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(200,875)</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(185,431)</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(9,063)</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(1,366)</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195,860</w:t>
            </w: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(200,875)</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Group Limited’s ordinary shareholders</w:t>
            </w:r>
          </w:p>
        </w:tc>
        <w:tc>
          <w:tcPr>
            <w:tcW w:w="90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540" w:type="dxa"/>
            <w:vAlign w:val="bottom"/>
          </w:tcPr>
          <w:p>
            <w:pPr>
              <w:spacing w:after="0"/>
              <w:rPr>
                <w:sz w:val="24"/>
                <w:szCs w:val="24"/>
                <w:color w:val="auto"/>
              </w:rPr>
            </w:pP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Selected Condensed Consolidated Statements of Operations Data (US$’000)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1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4"/>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WFOE as</w:t>
            </w:r>
          </w:p>
        </w:tc>
        <w:tc>
          <w:tcPr>
            <w:tcW w:w="80" w:type="dxa"/>
            <w:vAlign w:val="bottom"/>
          </w:tcPr>
          <w:p>
            <w:pPr>
              <w:spacing w:after="0"/>
              <w:rPr>
                <w:sz w:val="10"/>
                <w:szCs w:val="10"/>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VIE</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6"/>
        </w:trPr>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5"/>
            <w:vMerge w:val="continue"/>
          </w:tcPr>
          <w:p>
            <w:pPr>
              <w:spacing w:after="0"/>
              <w:rPr>
                <w:sz w:val="12"/>
                <w:szCs w:val="12"/>
                <w:color w:val="auto"/>
              </w:rPr>
            </w:pPr>
          </w:p>
        </w:tc>
        <w:tc>
          <w:tcPr>
            <w:tcW w:w="920" w:type="dxa"/>
            <w:vAlign w:val="bottom"/>
            <w:gridSpan w:val="4"/>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Primary</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11"/>
          </w:tcPr>
          <w:p>
            <w:pPr>
              <w:ind w:left="2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Subsidiaries  Beneficiary </w:t>
            </w:r>
            <w:r>
              <w:rPr>
                <w:rFonts w:ascii="Times New Roman" w:cs="Times New Roman" w:eastAsia="Times New Roman" w:hAnsi="Times New Roman"/>
                <w:sz w:val="20"/>
                <w:szCs w:val="20"/>
                <w:b w:val="1"/>
                <w:bCs w:val="1"/>
                <w:color w:val="auto"/>
                <w:vertAlign w:val="superscript"/>
              </w:rPr>
              <w:t>(6)</w:t>
            </w: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net revenues</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278,881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307,702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Inter-company net revenues </w:t>
            </w:r>
            <w:r>
              <w:rPr>
                <w:rFonts w:ascii="Times New Roman" w:cs="Times New Roman" w:eastAsia="Times New Roman" w:hAnsi="Times New Roman"/>
                <w:sz w:val="25"/>
                <w:szCs w:val="25"/>
                <w:color w:val="auto"/>
                <w:vertAlign w:val="superscript"/>
              </w:rPr>
              <w:t>(1)</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costs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6"/>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(177,282)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(22,885)</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(18,382)</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(218,549)</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Inter-company costs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(23,074)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(2,675)</w:t>
            </w:r>
          </w:p>
        </w:tc>
        <w:tc>
          <w:tcPr>
            <w:tcW w:w="6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89,153</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(8,037)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(430)</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Sales and marketing expenses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(45,788)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(2,211)</w:t>
            </w:r>
          </w:p>
        </w:tc>
        <w:tc>
          <w:tcPr>
            <w:tcW w:w="6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(4,990)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(52,872)</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(17,245)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(4,238)</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(39,643)</w:t>
            </w: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(17,574)</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(71,070)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4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0" w:type="dxa"/>
            <w:vAlign w:val="bottom"/>
          </w:tcPr>
          <w:p>
            <w:pPr>
              <w:spacing w:after="0"/>
              <w:rPr>
                <w:sz w:val="1"/>
                <w:szCs w:val="1"/>
                <w:color w:val="auto"/>
              </w:rPr>
            </w:pPr>
          </w:p>
        </w:tc>
      </w:tr>
      <w:tr>
        <w:trPr>
          <w:trHeight w:val="190"/>
        </w:trPr>
        <w:tc>
          <w:tcPr>
            <w:tcW w:w="4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Share of profits/(losses) of subsidiaries, VIE and VIE’s</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00" w:type="dxa"/>
            <w:vAlign w:val="bottom"/>
            <w:gridSpan w:val="2"/>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 xml:space="preserve">subsidiaries </w:t>
            </w:r>
            <w:r>
              <w:rPr>
                <w:rFonts w:ascii="Times New Roman" w:cs="Times New Roman" w:eastAsia="Times New Roman" w:hAnsi="Times New Roman"/>
                <w:sz w:val="26"/>
                <w:szCs w:val="26"/>
                <w:color w:val="auto"/>
                <w:vertAlign w:val="superscript"/>
              </w:rPr>
              <w:t>(2)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(2,162)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costs, net</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(3,265)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(losses)/gains, net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0" w:type="dxa"/>
            <w:vAlign w:val="bottom"/>
          </w:tcPr>
          <w:p>
            <w:pPr>
              <w:spacing w:after="0"/>
              <w:rPr>
                <w:sz w:val="1"/>
                <w:szCs w:val="1"/>
                <w:color w:val="auto"/>
              </w:rPr>
            </w:pPr>
          </w:p>
        </w:tc>
      </w:tr>
      <w:tr>
        <w:trPr>
          <w:trHeight w:val="174"/>
        </w:trPr>
        <w:tc>
          <w:tcPr>
            <w:tcW w:w="460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(Loss)/profit before share of loss from an equity investee</w:t>
            </w:r>
          </w:p>
        </w:tc>
        <w:tc>
          <w:tcPr>
            <w:tcW w:w="3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and income tax (expense)/credit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(13,410)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4,256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(2,349)</w:t>
            </w:r>
          </w:p>
        </w:tc>
        <w:tc>
          <w:tcPr>
            <w:tcW w:w="6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(13,951)</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ind w:right="75"/>
              <w:spacing w:after="0"/>
              <w:rPr>
                <w:sz w:val="20"/>
                <w:szCs w:val="20"/>
                <w:color w:val="auto"/>
              </w:rPr>
            </w:pPr>
            <w:r>
              <w:rPr>
                <w:rFonts w:ascii="Times New Roman" w:cs="Times New Roman" w:eastAsia="Times New Roman" w:hAnsi="Times New Roman"/>
                <w:sz w:val="18"/>
                <w:szCs w:val="18"/>
                <w:color w:val="auto"/>
              </w:rPr>
              <w:t>(2,527)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(loss)/income</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(13,631)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(16,598)</w:t>
            </w:r>
          </w:p>
        </w:tc>
        <w:tc>
          <w:tcPr>
            <w:tcW w:w="0" w:type="dxa"/>
            <w:vAlign w:val="bottom"/>
          </w:tcPr>
          <w:p>
            <w:pPr>
              <w:spacing w:after="0"/>
              <w:rPr>
                <w:sz w:val="1"/>
                <w:szCs w:val="1"/>
                <w:color w:val="auto"/>
              </w:rPr>
            </w:pPr>
          </w:p>
        </w:tc>
      </w:tr>
      <w:tr>
        <w:trPr>
          <w:trHeight w:val="216"/>
        </w:trPr>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gridSpan w:val="2"/>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174"/>
        </w:trPr>
        <w:tc>
          <w:tcPr>
            <w:tcW w:w="4600" w:type="dxa"/>
            <w:vAlign w:val="bottom"/>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(loss)/income attributable to iClick Interactive Asia</w:t>
            </w: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(13,631)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4,406</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(2,162)</w:t>
            </w:r>
          </w:p>
        </w:tc>
        <w:tc>
          <w:tcPr>
            <w:tcW w:w="60" w:type="dxa"/>
            <w:vAlign w:val="bottom"/>
            <w:shd w:val="clear" w:color="auto" w:fill="CCEEFF"/>
          </w:tcPr>
          <w:p>
            <w:pPr>
              <w:spacing w:after="0"/>
              <w:rPr>
                <w:sz w:val="15"/>
                <w:szCs w:val="15"/>
                <w:color w:val="auto"/>
              </w:rPr>
            </w:pPr>
          </w:p>
        </w:tc>
        <w:tc>
          <w:tcPr>
            <w:tcW w:w="8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(610)</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(1,634)</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(13,631)</w:t>
            </w:r>
          </w:p>
        </w:tc>
        <w:tc>
          <w:tcPr>
            <w:tcW w:w="0" w:type="dxa"/>
            <w:vAlign w:val="bottom"/>
          </w:tcPr>
          <w:p>
            <w:pPr>
              <w:spacing w:after="0"/>
              <w:rPr>
                <w:sz w:val="1"/>
                <w:szCs w:val="1"/>
                <w:color w:val="auto"/>
              </w:rPr>
            </w:pPr>
          </w:p>
        </w:tc>
      </w:tr>
      <w:tr>
        <w:trPr>
          <w:trHeight w:val="225"/>
        </w:trPr>
        <w:tc>
          <w:tcPr>
            <w:tcW w:w="4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Group Limited’s ordinary Shareholders</w:t>
            </w:r>
          </w:p>
        </w:tc>
        <w:tc>
          <w:tcPr>
            <w:tcW w:w="6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gridSpan w:val="3"/>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Selected Condensed Consolidated Cash Flows Data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’000)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6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4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0"/>
                <w:szCs w:val="10"/>
                <w:color w:val="auto"/>
              </w:rPr>
            </w:pPr>
          </w:p>
        </w:tc>
        <w:tc>
          <w:tcPr>
            <w:tcW w:w="780" w:type="dxa"/>
            <w:vAlign w:val="bottom"/>
            <w:gridSpan w:val="3"/>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WFOE as</w:t>
            </w:r>
          </w:p>
        </w:tc>
        <w:tc>
          <w:tcPr>
            <w:tcW w:w="80" w:type="dxa"/>
            <w:vAlign w:val="bottom"/>
          </w:tcPr>
          <w:p>
            <w:pPr>
              <w:spacing w:after="0"/>
              <w:rPr>
                <w:sz w:val="10"/>
                <w:szCs w:val="10"/>
                <w:color w:val="auto"/>
              </w:rPr>
            </w:pPr>
          </w:p>
        </w:tc>
        <w:tc>
          <w:tcPr>
            <w:tcW w:w="7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VIE</w:t>
            </w: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6"/>
              </w:rPr>
              <w:t xml:space="preserve">Parent </w:t>
            </w:r>
            <w:r>
              <w:rPr>
                <w:rFonts w:ascii="Times New Roman" w:cs="Times New Roman" w:eastAsia="Times New Roman" w:hAnsi="Times New Roman"/>
                <w:sz w:val="21"/>
                <w:szCs w:val="21"/>
                <w:b w:val="1"/>
                <w:bCs w:val="1"/>
                <w:color w:val="auto"/>
                <w:w w:val="96"/>
                <w:vertAlign w:val="superscript"/>
              </w:rPr>
              <w:t>(5)</w:t>
            </w:r>
          </w:p>
        </w:tc>
        <w:tc>
          <w:tcPr>
            <w:tcW w:w="14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Primary</w:t>
            </w: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40" w:type="dxa"/>
            <w:vAlign w:val="bottom"/>
          </w:tcPr>
          <w:p>
            <w:pPr>
              <w:spacing w:after="0"/>
              <w:rPr>
                <w:sz w:val="15"/>
                <w:szCs w:val="15"/>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Beneficiary</w:t>
            </w: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Net operating cash (paid to)/received from Group companies </w:t>
            </w:r>
            <w:r>
              <w:rPr>
                <w:rFonts w:ascii="Times New Roman" w:cs="Times New Roman" w:eastAsia="Times New Roman" w:hAnsi="Times New Roman"/>
                <w:sz w:val="24"/>
                <w:szCs w:val="24"/>
                <w:color w:val="auto"/>
                <w:vertAlign w:val="superscript"/>
              </w:rPr>
              <w:t>(4)</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cash (paid to)/ received from third parties</w:t>
            </w:r>
          </w:p>
        </w:tc>
        <w:tc>
          <w:tcPr>
            <w:tcW w:w="9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(5,105)</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(21,752)</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8,648</w:t>
            </w:r>
          </w:p>
        </w:tc>
        <w:tc>
          <w:tcPr>
            <w:tcW w:w="60" w:type="dxa"/>
            <w:vAlign w:val="bottom"/>
          </w:tcPr>
          <w:p>
            <w:pPr>
              <w:spacing w:after="0"/>
              <w:rPr>
                <w:sz w:val="18"/>
                <w:szCs w:val="18"/>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(1,217)</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(5,105)</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(21,771)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8,667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(1,217)</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(19,426)</w:t>
            </w: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line="210" w:lineRule="exact"/>
              <w:rPr>
                <w:sz w:val="20"/>
                <w:szCs w:val="20"/>
                <w:color w:val="auto"/>
              </w:rPr>
            </w:pPr>
            <w:r>
              <w:rPr>
                <w:rFonts w:ascii="Times New Roman" w:cs="Times New Roman" w:eastAsia="Times New Roman" w:hAnsi="Times New Roman"/>
                <w:sz w:val="17"/>
                <w:szCs w:val="17"/>
                <w:color w:val="auto"/>
              </w:rPr>
              <w:t xml:space="preserve">Refund from subsidiaries of capital contribution </w:t>
            </w:r>
            <w:r>
              <w:rPr>
                <w:rFonts w:ascii="Times New Roman" w:cs="Times New Roman" w:eastAsia="Times New Roman" w:hAnsi="Times New Roman"/>
                <w:sz w:val="24"/>
                <w:szCs w:val="24"/>
                <w:color w:val="auto"/>
                <w:vertAlign w:val="superscript"/>
              </w:rPr>
              <w:t>(3)</w:t>
            </w:r>
          </w:p>
        </w:tc>
        <w:tc>
          <w:tcPr>
            <w:tcW w:w="3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Payments for advances to Group companies </w:t>
            </w:r>
            <w:r>
              <w:rPr>
                <w:rFonts w:ascii="Times New Roman" w:cs="Times New Roman" w:eastAsia="Times New Roman" w:hAnsi="Times New Roman"/>
                <w:sz w:val="25"/>
                <w:szCs w:val="25"/>
                <w:color w:val="auto"/>
                <w:vertAlign w:val="superscript"/>
              </w:rPr>
              <w:t>(3)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(3,640)</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Receipts of repayments of advances from Group companies </w:t>
            </w:r>
            <w:r>
              <w:rPr>
                <w:rFonts w:ascii="Times New Roman" w:cs="Times New Roman" w:eastAsia="Times New Roman" w:hAnsi="Times New Roman"/>
                <w:sz w:val="25"/>
                <w:szCs w:val="25"/>
                <w:color w:val="auto"/>
                <w:vertAlign w:val="superscript"/>
              </w:rPr>
              <w:t>(3)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12,582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(12,582)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9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(3,722)</w:t>
            </w:r>
          </w:p>
        </w:tc>
        <w:tc>
          <w:tcPr>
            <w:tcW w:w="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1,608</w:t>
            </w: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981</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6,879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10,550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981</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w:t>
            </w: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(19,543)</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(987)</w:t>
            </w:r>
          </w:p>
        </w:tc>
        <w:tc>
          <w:tcPr>
            <w:tcW w:w="0" w:type="dxa"/>
            <w:vAlign w:val="bottom"/>
          </w:tcPr>
          <w:p>
            <w:pPr>
              <w:spacing w:after="0"/>
              <w:rPr>
                <w:sz w:val="1"/>
                <w:szCs w:val="1"/>
                <w:color w:val="auto"/>
              </w:rPr>
            </w:pPr>
          </w:p>
        </w:tc>
      </w:tr>
      <w:tr>
        <w:trPr>
          <w:trHeight w:val="210"/>
        </w:trPr>
        <w:tc>
          <w:tcPr>
            <w:tcW w:w="460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Refund of capital contribution to the parent company </w:t>
            </w:r>
            <w:r>
              <w:rPr>
                <w:rFonts w:ascii="Times New Roman" w:cs="Times New Roman" w:eastAsia="Times New Roman" w:hAnsi="Times New Roman"/>
                <w:sz w:val="24"/>
                <w:szCs w:val="24"/>
                <w:color w:val="auto"/>
                <w:vertAlign w:val="superscript"/>
              </w:rPr>
              <w:t>(3)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Receipts of advances from Group companies </w:t>
            </w:r>
            <w:r>
              <w:rPr>
                <w:rFonts w:ascii="Times New Roman" w:cs="Times New Roman" w:eastAsia="Times New Roman" w:hAnsi="Times New Roman"/>
                <w:sz w:val="25"/>
                <w:szCs w:val="25"/>
                <w:color w:val="auto"/>
                <w:vertAlign w:val="superscript"/>
              </w:rPr>
              <w:t>(3)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3,238</w:t>
            </w: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Repayments for advances from Group companies </w:t>
            </w:r>
            <w:r>
              <w:rPr>
                <w:rFonts w:ascii="Times New Roman" w:cs="Times New Roman" w:eastAsia="Times New Roman" w:hAnsi="Times New Roman"/>
                <w:sz w:val="25"/>
                <w:szCs w:val="25"/>
                <w:color w:val="auto"/>
                <w:vertAlign w:val="superscript"/>
              </w:rPr>
              <w:t>(3)</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(12,560)</w:t>
            </w: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9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(6,175)</w:t>
            </w:r>
          </w:p>
        </w:tc>
        <w:tc>
          <w:tcPr>
            <w:tcW w:w="1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(16,776)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(6,089)</w:t>
            </w:r>
          </w:p>
        </w:tc>
        <w:tc>
          <w:tcPr>
            <w:tcW w:w="0" w:type="dxa"/>
            <w:vAlign w:val="bottom"/>
          </w:tcPr>
          <w:p>
            <w:pPr>
              <w:spacing w:after="0"/>
              <w:rPr>
                <w:sz w:val="1"/>
                <w:szCs w:val="1"/>
                <w:color w:val="auto"/>
              </w:rPr>
            </w:pPr>
          </w:p>
        </w:tc>
      </w:tr>
      <w:tr>
        <w:trPr>
          <w:trHeight w:val="858"/>
        </w:trPr>
        <w:tc>
          <w:tcPr>
            <w:tcW w:w="4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Selected Condensed Consolidated Cash Flows Data (US$’000) (Continued)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1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0"/>
                <w:szCs w:val="10"/>
                <w:color w:val="auto"/>
              </w:rPr>
            </w:pPr>
          </w:p>
        </w:tc>
        <w:tc>
          <w:tcPr>
            <w:tcW w:w="86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WFOE as</w:t>
            </w:r>
          </w:p>
        </w:tc>
        <w:tc>
          <w:tcPr>
            <w:tcW w:w="40" w:type="dxa"/>
            <w:vAlign w:val="bottom"/>
          </w:tcPr>
          <w:p>
            <w:pPr>
              <w:spacing w:after="0"/>
              <w:rPr>
                <w:sz w:val="10"/>
                <w:szCs w:val="10"/>
                <w:color w:val="auto"/>
              </w:rPr>
            </w:pP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VIE</w:t>
            </w: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Parent </w:t>
            </w:r>
            <w:r>
              <w:rPr>
                <w:rFonts w:ascii="Times New Roman" w:cs="Times New Roman" w:eastAsia="Times New Roman" w:hAnsi="Times New Roman"/>
                <w:sz w:val="21"/>
                <w:szCs w:val="21"/>
                <w:b w:val="1"/>
                <w:bCs w:val="1"/>
                <w:color w:val="auto"/>
                <w:vertAlign w:val="superscript"/>
              </w:rPr>
              <w:t>(5)</w:t>
            </w: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Primary</w:t>
            </w: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92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4"/>
                <w:szCs w:val="14"/>
                <w:b w:val="1"/>
                <w:bCs w:val="1"/>
                <w:color w:val="auto"/>
                <w:w w:val="99"/>
              </w:rPr>
              <w:t>Subsidiaries</w:t>
            </w:r>
            <w:r>
              <w:rPr>
                <w:rFonts w:ascii="Times New Roman" w:cs="Times New Roman" w:eastAsia="Times New Roman" w:hAnsi="Times New Roman"/>
                <w:sz w:val="20"/>
                <w:szCs w:val="20"/>
                <w:b w:val="1"/>
                <w:bCs w:val="1"/>
                <w:color w:val="auto"/>
                <w:w w:val="99"/>
                <w:vertAlign w:val="superscript"/>
              </w:rPr>
              <w:t>(7)</w:t>
            </w:r>
          </w:p>
        </w:tc>
        <w:tc>
          <w:tcPr>
            <w:tcW w:w="120" w:type="dxa"/>
            <w:vAlign w:val="bottom"/>
          </w:tcPr>
          <w:p>
            <w:pPr>
              <w:spacing w:after="0"/>
              <w:rPr>
                <w:sz w:val="15"/>
                <w:szCs w:val="15"/>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Beneficiary</w:t>
            </w:r>
          </w:p>
        </w:tc>
        <w:tc>
          <w:tcPr>
            <w:tcW w:w="76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4"/>
                <w:szCs w:val="14"/>
                <w:b w:val="1"/>
                <w:bCs w:val="1"/>
                <w:color w:val="auto"/>
                <w:w w:val="97"/>
              </w:rPr>
              <w:t>Entities</w:t>
            </w:r>
            <w:r>
              <w:rPr>
                <w:rFonts w:ascii="Times New Roman" w:cs="Times New Roman" w:eastAsia="Times New Roman" w:hAnsi="Times New Roman"/>
                <w:sz w:val="20"/>
                <w:szCs w:val="20"/>
                <w:b w:val="1"/>
                <w:bCs w:val="1"/>
                <w:color w:val="auto"/>
                <w:w w:val="97"/>
                <w:vertAlign w:val="superscript"/>
              </w:rPr>
              <w:t>(7)</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Net operating cash received from/(paid to) Group companies </w:t>
            </w:r>
            <w:r>
              <w:rPr>
                <w:rFonts w:ascii="Times New Roman" w:cs="Times New Roman" w:eastAsia="Times New Roman" w:hAnsi="Times New Roman"/>
                <w:sz w:val="24"/>
                <w:szCs w:val="24"/>
                <w:color w:val="auto"/>
                <w:vertAlign w:val="superscript"/>
              </w:rPr>
              <w:t>(4)</w:t>
            </w:r>
          </w:p>
        </w:tc>
        <w:tc>
          <w:tcPr>
            <w:tcW w:w="6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cash (paid to)/ received from third parties</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(7,754)</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82,012</w:t>
            </w:r>
          </w:p>
        </w:tc>
        <w:tc>
          <w:tcPr>
            <w:tcW w:w="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(1,127)</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6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(7,754)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80,981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gridSpan w:val="2"/>
          </w:tcPr>
          <w:p>
            <w:pPr>
              <w:spacing w:after="0" w:line="210" w:lineRule="exact"/>
              <w:rPr>
                <w:sz w:val="20"/>
                <w:szCs w:val="20"/>
                <w:color w:val="auto"/>
              </w:rPr>
            </w:pPr>
            <w:r>
              <w:rPr>
                <w:rFonts w:ascii="Times New Roman" w:cs="Times New Roman" w:eastAsia="Times New Roman" w:hAnsi="Times New Roman"/>
                <w:sz w:val="17"/>
                <w:szCs w:val="17"/>
                <w:color w:val="auto"/>
              </w:rPr>
              <w:t xml:space="preserve">Refund from subsidiaries of capital contribution </w:t>
            </w:r>
            <w:r>
              <w:rPr>
                <w:rFonts w:ascii="Times New Roman" w:cs="Times New Roman" w:eastAsia="Times New Roman" w:hAnsi="Times New Roman"/>
                <w:sz w:val="24"/>
                <w:szCs w:val="24"/>
                <w:color w:val="auto"/>
                <w:vertAlign w:val="superscript"/>
              </w:rPr>
              <w:t>(3)</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Payments for advances to Group companies </w:t>
            </w:r>
            <w:r>
              <w:rPr>
                <w:rFonts w:ascii="Times New Roman" w:cs="Times New Roman" w:eastAsia="Times New Roman" w:hAnsi="Times New Roman"/>
                <w:sz w:val="25"/>
                <w:szCs w:val="25"/>
                <w:color w:val="auto"/>
                <w:vertAlign w:val="superscript"/>
              </w:rPr>
              <w:t>(3)</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(8,222)</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Receipts of repayments of advances from Group companies </w:t>
            </w:r>
            <w:r>
              <w:rPr>
                <w:rFonts w:ascii="Times New Roman" w:cs="Times New Roman" w:eastAsia="Times New Roman" w:hAnsi="Times New Roman"/>
                <w:sz w:val="25"/>
                <w:szCs w:val="25"/>
                <w:color w:val="auto"/>
                <w:vertAlign w:val="superscript"/>
              </w:rPr>
              <w:t>(3)</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(6,307)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(7,742)</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3,382</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11,914</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1,467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(17,741)</w:t>
            </w:r>
          </w:p>
        </w:tc>
        <w:tc>
          <w:tcPr>
            <w:tcW w:w="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Refund of capital contribution to the parent company</w:t>
            </w:r>
            <w:r>
              <w:rPr>
                <w:rFonts w:ascii="Times New Roman" w:cs="Times New Roman" w:eastAsia="Times New Roman" w:hAnsi="Times New Roman"/>
                <w:sz w:val="24"/>
                <w:szCs w:val="24"/>
                <w:color w:val="auto"/>
                <w:vertAlign w:val="superscript"/>
              </w:rPr>
              <w:t>(3)</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Receipts of advances from Group companies </w:t>
            </w:r>
            <w:r>
              <w:rPr>
                <w:rFonts w:ascii="Times New Roman" w:cs="Times New Roman" w:eastAsia="Times New Roman" w:hAnsi="Times New Roman"/>
                <w:sz w:val="25"/>
                <w:szCs w:val="25"/>
                <w:color w:val="auto"/>
                <w:vertAlign w:val="superscript"/>
              </w:rPr>
              <w:t>(3)</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(8,222)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Repayments for advances from Group companies </w:t>
            </w:r>
            <w:r>
              <w:rPr>
                <w:rFonts w:ascii="Times New Roman" w:cs="Times New Roman" w:eastAsia="Times New Roman" w:hAnsi="Times New Roman"/>
                <w:sz w:val="25"/>
                <w:szCs w:val="25"/>
                <w:color w:val="auto"/>
                <w:vertAlign w:val="superscript"/>
              </w:rPr>
              <w:t>(3)</w:t>
            </w: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(6,307)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(7,506)</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(29,569)</w:t>
            </w:r>
          </w:p>
        </w:tc>
        <w:tc>
          <w:tcPr>
            <w:tcW w:w="1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6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(7,506)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(49,225)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17,741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60" w:type="dxa"/>
            <w:vAlign w:val="bottom"/>
            <w:gridSpan w:val="3"/>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WFOE as</w:t>
            </w:r>
          </w:p>
        </w:tc>
        <w:tc>
          <w:tcPr>
            <w:tcW w:w="40" w:type="dxa"/>
            <w:vAlign w:val="bottom"/>
          </w:tcPr>
          <w:p>
            <w:pPr>
              <w:spacing w:after="0"/>
              <w:rPr>
                <w:sz w:val="12"/>
                <w:szCs w:val="12"/>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VIE</w:t>
            </w: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Eliminating</w:t>
            </w:r>
          </w:p>
        </w:tc>
        <w:tc>
          <w:tcPr>
            <w:tcW w:w="8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Parent </w:t>
            </w:r>
            <w:r>
              <w:rPr>
                <w:rFonts w:ascii="Times New Roman" w:cs="Times New Roman" w:eastAsia="Times New Roman" w:hAnsi="Times New Roman"/>
                <w:sz w:val="21"/>
                <w:szCs w:val="21"/>
                <w:b w:val="1"/>
                <w:bCs w:val="1"/>
                <w:color w:val="auto"/>
                <w:vertAlign w:val="superscript"/>
              </w:rPr>
              <w:t>(5)</w:t>
            </w: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Primary</w:t>
            </w: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4"/>
          </w:tcPr>
          <w:p>
            <w:pPr>
              <w:jc w:val="center"/>
              <w:ind w:right="120"/>
              <w:spacing w:after="0" w:line="176" w:lineRule="exact"/>
              <w:rPr>
                <w:sz w:val="20"/>
                <w:szCs w:val="20"/>
                <w:color w:val="auto"/>
              </w:rPr>
            </w:pPr>
            <w:r>
              <w:rPr>
                <w:rFonts w:ascii="Times New Roman" w:cs="Times New Roman" w:eastAsia="Times New Roman" w:hAnsi="Times New Roman"/>
                <w:sz w:val="14"/>
                <w:szCs w:val="14"/>
                <w:b w:val="1"/>
                <w:bCs w:val="1"/>
                <w:color w:val="auto"/>
                <w:w w:val="98"/>
              </w:rPr>
              <w:t xml:space="preserve">Beneficiary </w:t>
            </w:r>
            <w:r>
              <w:rPr>
                <w:rFonts w:ascii="Times New Roman" w:cs="Times New Roman" w:eastAsia="Times New Roman" w:hAnsi="Times New Roman"/>
                <w:sz w:val="20"/>
                <w:szCs w:val="20"/>
                <w:b w:val="1"/>
                <w:bCs w:val="1"/>
                <w:color w:val="auto"/>
                <w:w w:val="98"/>
                <w:vertAlign w:val="superscript"/>
              </w:rPr>
              <w:t>(6)</w:t>
            </w:r>
          </w:p>
        </w:tc>
        <w:tc>
          <w:tcPr>
            <w:tcW w:w="40" w:type="dxa"/>
            <w:vAlign w:val="bottom"/>
          </w:tcPr>
          <w:p>
            <w:pPr>
              <w:spacing w:after="0"/>
              <w:rPr>
                <w:sz w:val="15"/>
                <w:szCs w:val="15"/>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Entities</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Net operating cash (paid to)/received from Group companies </w:t>
            </w:r>
            <w:r>
              <w:rPr>
                <w:rFonts w:ascii="Times New Roman" w:cs="Times New Roman" w:eastAsia="Times New Roman" w:hAnsi="Times New Roman"/>
                <w:sz w:val="24"/>
                <w:szCs w:val="24"/>
                <w:color w:val="auto"/>
                <w:vertAlign w:val="superscript"/>
              </w:rPr>
              <w:t>(4)</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operating cash (paid to)/received from third parties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(27,380)</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(2,453)</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(3,217)</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(19,944)</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Capital contribution to subsidiaries </w:t>
            </w:r>
            <w:r>
              <w:rPr>
                <w:rFonts w:ascii="Times New Roman" w:cs="Times New Roman" w:eastAsia="Times New Roman" w:hAnsi="Times New Roman"/>
                <w:sz w:val="25"/>
                <w:szCs w:val="25"/>
                <w:color w:val="auto"/>
                <w:vertAlign w:val="superscript"/>
              </w:rPr>
              <w:t>(3)</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Payments for advances to Group companies </w:t>
            </w:r>
            <w:r>
              <w:rPr>
                <w:rFonts w:ascii="Times New Roman" w:cs="Times New Roman" w:eastAsia="Times New Roman" w:hAnsi="Times New Roman"/>
                <w:sz w:val="25"/>
                <w:szCs w:val="25"/>
                <w:color w:val="auto"/>
                <w:vertAlign w:val="superscript"/>
              </w:rPr>
              <w:t>(3)</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(37,898)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Receipts of repayments of advances from Group companies </w:t>
            </w:r>
            <w:r>
              <w:rPr>
                <w:rFonts w:ascii="Times New Roman" w:cs="Times New Roman" w:eastAsia="Times New Roman" w:hAnsi="Times New Roman"/>
                <w:sz w:val="25"/>
                <w:szCs w:val="25"/>
                <w:color w:val="auto"/>
                <w:vertAlign w:val="superscript"/>
              </w:rPr>
              <w:t>(3)</w:t>
            </w: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(4,936)</w:t>
            </w:r>
          </w:p>
        </w:tc>
        <w:tc>
          <w:tcPr>
            <w:tcW w:w="12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(5,364)</w:t>
            </w:r>
          </w:p>
        </w:tc>
        <w:tc>
          <w:tcPr>
            <w:tcW w:w="2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(12,076)</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(38,682)</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33,371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Capital contribution from Group companies </w:t>
            </w:r>
            <w:r>
              <w:rPr>
                <w:rFonts w:ascii="Times New Roman" w:cs="Times New Roman" w:eastAsia="Times New Roman" w:hAnsi="Times New Roman"/>
                <w:sz w:val="25"/>
                <w:szCs w:val="25"/>
                <w:color w:val="auto"/>
                <w:vertAlign w:val="superscript"/>
              </w:rPr>
              <w:t>(3)</w:t>
            </w: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Receipts of advances from Group companies </w:t>
            </w:r>
            <w:r>
              <w:rPr>
                <w:rFonts w:ascii="Times New Roman" w:cs="Times New Roman" w:eastAsia="Times New Roman" w:hAnsi="Times New Roman"/>
                <w:sz w:val="25"/>
                <w:szCs w:val="25"/>
                <w:color w:val="auto"/>
                <w:vertAlign w:val="superscript"/>
              </w:rPr>
              <w:t>(3)</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(37,898)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Repayments for advances from Group companies </w:t>
            </w:r>
            <w:r>
              <w:rPr>
                <w:rFonts w:ascii="Times New Roman" w:cs="Times New Roman" w:eastAsia="Times New Roman" w:hAnsi="Times New Roman"/>
                <w:sz w:val="25"/>
                <w:szCs w:val="25"/>
                <w:color w:val="auto"/>
                <w:vertAlign w:val="superscript"/>
              </w:rPr>
              <w:t>(3)</w:t>
            </w: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(4,026)</w:t>
            </w: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16,651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32,284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(33,371)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2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(US$’000):</w:t>
      </w:r>
    </w:p>
    <w:p>
      <w:pPr>
        <w:spacing w:after="0" w:line="22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intercompany transactions at the consolidation level.</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from the VIE entities to other group companies</w:t>
      </w:r>
    </w:p>
    <w:p>
      <w:pPr>
        <w:spacing w:after="0" w:line="11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 entities provide online advertising service to other group companies. For the years ended December 31, 2021, 2022 and 2023, the intercompany online advertising service revenues recognized by the VIE entities were US$911, US$291 and US$2, respectively. These transactions are eliminated at the consolidation level.</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VIE entities also provide other marketing services to other group companies. For the years ended December 31, 2021, 2022 and 2023, the intercompany other marketing service revenues recognized by the VIE entities were US$117, US$310 and US$nil, respectively. These transactions are eliminated at the consolidation level.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Services from other group companies to the VIE entities</w:t>
      </w:r>
    </w:p>
    <w:p>
      <w:pPr>
        <w:spacing w:after="0" w:line="11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WFOE as primary beneficiary and other subsidiaries of the Group provide online advertising service and SaaS services to the VIE entities. For the years ended December 31, 2021, 2022 and 2023, the intercompany online advertising and SaaS service revenues from the VIE entities recognized by WFOE as primary beneficiary and other subsidiaries of the Group were US$49, US$285 and US$5, respectively. These transactions are eliminated at the consolidation level.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2021, 2022 and 2023, there were no balances for management fees charged to VIEs.</w:t>
      </w:r>
    </w:p>
    <w:p>
      <w:pPr>
        <w:spacing w:after="0" w:line="22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the investments in subsidiaries and the VIE entities by the Company.</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represents the elimination of intercompany balances among the Company, WFOE as primary beneficiary, other subsidiaries and the VIE entities. The Parent transfers cash to its wholly-owned subsidiaries by making capital contributions or interest-free advances to subsidiaries in Hong Kong, and the subsidiaries in Hong Kong transfer cash to the WFOE which is the primary beneficiary of the VIE and other PRC subsidiaries by making capital contributions or interest-free advances.</w:t>
      </w:r>
    </w:p>
    <w:p>
      <w:pPr>
        <w:spacing w:after="0" w:line="179"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2021, 2022 and 2023, cash received by the VIE entities from other entities of the Group for online advertising service and other marketing service were US$1,315, US$153 and nil, respectively.</w:t>
      </w:r>
    </w:p>
    <w:p>
      <w:pPr>
        <w:spacing w:after="0" w:line="16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2021, 2022 and 2023, cash paid by the VIE entities to other entities of the Group for online advertising service and SaaS services were US$543, nil and nil, respectively.</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28 of Consolidated Financial Statements for more details of the gross investing activities and financing activities of the Parent.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 internal restructuring within the Group in 2021 to move the VIE structure from the pre-existing WFOE as primary beneficiary (the “Original WFOE PB”) to another wholly-owned WFOE of the Company (the “New WFOE PB”), on November 1, 2021, the VIE contractual agreements were amended and restated whereby the New WFOE PB became the primary beneficiary of the VIE. Amounts of “WFOE as Primary Beneficiary” presented in the above tables as of and for each of the three years ended December 31, 2021, 2022 and 2023 represent the financial information of the New WFOE PB.</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 internal restructuring within the Group in 2022, one of the subsidiaries of the VIE became an indirectly-held legally-owned subsidiary of the Company in June 2022. Financial information of this entity (i) as of and for the two years ended December 31, 2022 and 2023, and (ii) as of and for each of the year ended December 31, 2021, was presented in the corresponding tables above under (i) “Other Subsidiaries”, and (ii) “VIE Entities”, respectively.</w:t>
      </w:r>
    </w:p>
    <w:p>
      <w:pPr>
        <w:spacing w:after="0" w:line="176"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[Reserved]</w:t>
      </w:r>
    </w:p>
    <w:p>
      <w:pPr>
        <w:spacing w:after="0" w:line="225" w:lineRule="exact"/>
        <w:rPr>
          <w:rFonts w:ascii="Times New Roman" w:cs="Times New Roman" w:eastAsia="Times New Roman" w:hAnsi="Times New Roman"/>
          <w:sz w:val="18"/>
          <w:szCs w:val="18"/>
          <w:b w:val="1"/>
          <w:bCs w:val="1"/>
          <w:color w:val="auto"/>
        </w:rPr>
      </w:pPr>
    </w:p>
    <w:p>
      <w:pPr>
        <w:ind w:left="660" w:right="7100" w:hanging="652"/>
        <w:spacing w:after="0" w:line="500" w:lineRule="auto"/>
        <w:tabs>
          <w:tab w:leader="none" w:pos="33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b w:val="1"/>
          <w:bCs w:val="1"/>
          <w:color w:val="auto"/>
        </w:rPr>
      </w:pPr>
    </w:p>
    <w:p>
      <w:pPr>
        <w:ind w:left="660" w:right="6340" w:hanging="652"/>
        <w:spacing w:after="0" w:line="537" w:lineRule="auto"/>
        <w:tabs>
          <w:tab w:leader="none" w:pos="33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are subject to various changing business, competitive, economic, political and social conditions. In addition to the factors discussed elsewhere in this annual report, the following are some of the important factors that could adversely affect our operating results, financial condition and business prospects, and cause our actual results to differ materially from those projected in any forward-looking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sz w:val="20"/>
          <w:szCs w:val="20"/>
          <w:color w:val="auto"/>
        </w:rPr>
      </w:pPr>
    </w:p>
    <w:p>
      <w:pPr>
        <w:ind w:left="1000" w:right="2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operating cash outflows and accumulated deficit in the past with a significant drop in net cash balance in 2023 and may not be able to continue as a going concern in the future.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additional capital when desired, on favorable terms or at all.</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fluctuations in growth in recent periods, and our historical growth may not be indicative of our future growth.</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for our marketing solutions and enterprise solutions, and if we fail to maintain and enhance our capabilities, our results of operations could be materially and adversely affected.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the success of “SaaS+X” model and our enterprise solutions business.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in global economy could reduce the customers’ demand and their ability to pay for our solutions, which could materially and adversely affect our business and results of operations.</w:t>
      </w:r>
    </w:p>
    <w:p>
      <w:pPr>
        <w:spacing w:after="0" w:line="80"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p>
      <w:pPr>
        <w:spacing w:after="0" w:line="108"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revenues, net revenues as a percentage of gross billing, gross profit margin and the comparability of our financial results may be affected by our revenue models.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9" w:lineRule="exact"/>
        <w:rPr>
          <w:sz w:val="20"/>
          <w:szCs w:val="20"/>
          <w:color w:val="auto"/>
        </w:rPr>
      </w:pPr>
    </w:p>
    <w:p>
      <w:pPr>
        <w:ind w:left="1000" w:right="2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Cayman Islands holding company with no equity ownership in the VIE and we conduct our operations in China through (i) our PRC subsidiaries and (ii) the VIE entities with which we have maintained contractual arrangements.</w:t>
      </w:r>
    </w:p>
    <w:p>
      <w:pPr>
        <w:spacing w:after="0" w:line="8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the contractual arrangements that establish the structure for certain of our operations in China.</w:t>
      </w:r>
    </w:p>
    <w:p>
      <w:pPr>
        <w:spacing w:after="0" w:line="157"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our variable interest entity and its shareholder for certain of our business operations, which may not be as effective as direct ownership in providing operational control.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Cayman Islands holding company with no equity ownership in the VIE entities. We conduct our operations in China through (i) our PRC subsidiaries and (ii) the VIE entities with which we have maintained contractual arrangements. Investors in the ADSs thus are not purchasing equity interest in the VIE entities in China but instead are purchasing equity interest in a Cayman Islands holding company. We are subject to the legal and operational risks associated with being based in or having the majority of our operations in China, and are subject to complex and evolving laws and regulations in China. There are substantial uncertainties regarding the interpretation and application of PRC laws, regulations, and rules relating to such agreements that establish the VIE structure for the majority of our operations in China. In addition, there are uncertainties in the PRC legal system. Some rules and regulations in China might change quickly with little advance notice. These risks could result in a material change in our operations and/or the value of the securities we have listed or could significantly limit or completely hinder our ability to continue to offer securities to investors and cause the value of such securities to significantly decline or be worthless. See “—D. Risk Factors—Risks Related to the Corporate Structure—We are a Cayman Islands holding company with no equity ownership in the VIE and we conduct our operations in China through (i) our PRC subsidiaries and (ii) the VIE entities with which we have maintained contractual arrangements.” and “—Risks Related to the Corporate Structure—We rely on the contractual arrangements that establish the structure for certain of our operations in China.”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62" w:lineRule="exact"/>
        <w:rPr>
          <w:sz w:val="20"/>
          <w:szCs w:val="20"/>
          <w:color w:val="auto"/>
        </w:rPr>
      </w:pPr>
    </w:p>
    <w:p>
      <w:pPr>
        <w:ind w:left="100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China’s legal system, including the interpretation and enforcement of PRC laws and regulations, could limit the legal protections available to us.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3"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years, the PRC government has indicated an intent to exert more oversight and control over China-based issuers, and initiated a series of regulatory actions and made a number of public statements, some of which are published with little advance notice, including cracking down on illegal activities in the securities market, enhancing supervision over China-based companies listed overseas using a variable interest entity structure, adopting new measures to extend the scope of cybersecurity reviews, and expanding efforts in anti-monopoly enforcement. Since these statements and regulatory actions are new, it is highly uncertain how soon legislative or administrative regulation making bodies will respond and what existing or new laws or regulations or detailed implementations and interpretations will be modified or promulgated, if any, and the potential impact of such modified or new laws and regulations will impact our ability to conduct business, accept foreign investments, or continue to list on a U.S. or other foreign exchange. For a detailed description, see “—D. Risk Factors—Risks Related to Doing Business in China—Recent regulatory developments in China may subject us to additional regulatory review and disclosure requirements, expose us to government interference, or otherwise restrict or completely hinder our ability to offer securities and raise capital outside mainland China, which could adversely affect our business operations and cause the value of our securities to significantly decline or become worthless.”</w:t>
      </w:r>
    </w:p>
    <w:p>
      <w:pPr>
        <w:spacing w:after="0" w:line="187"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and/or filing with the CSRC or other PRC government authorities may be required in connection with our offshore offerings under PRC law, and, if required, we cannot predict whether or for how long we will be able to obtain such approval or complete such filing.</w:t>
      </w:r>
    </w:p>
    <w:p>
      <w:pPr>
        <w:spacing w:after="0" w:line="175"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many of the economic and political risks associated with emerging markets due to our operations in mainland China and Hong Kong. Adverse changes in mainland China or Hong Kong’s economic, political and social conditions as well as government policies could adversely affect our business and prospects.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U.S.-China relations, including any escalation of political or trade tensions, could negatively affect our business and the market for our ADSs.</w:t>
      </w:r>
    </w:p>
    <w:p>
      <w:pPr>
        <w:spacing w:after="0" w:line="16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litigation and negative publicity surrounding China-based companies listed in the U.S. may result in increased regulatory scrutiny of us and negatively impact the trading price of the ADSs and could have an adverse effect upon our business, including our results of operations, financial condition, cash flows and prospects.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American Depositary Shares</w:t>
      </w:r>
    </w:p>
    <w:p>
      <w:pPr>
        <w:spacing w:after="0" w:line="148" w:lineRule="exact"/>
        <w:rPr>
          <w:sz w:val="20"/>
          <w:szCs w:val="20"/>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our ADSs may be volatile.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not comply with the minimum listing requirements of the NASDAQ.</w:t>
      </w:r>
    </w:p>
    <w:p>
      <w:pPr>
        <w:spacing w:after="0" w:line="225"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guarantee that any share repurchase program will be fully consummated or that any share repurchase program will enhance long-term shareholder value, and share repurchases could increase the volatility of the trading price of the ADSs and could diminish our cash reserves.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operating cash outflows and accumulated deficit in the past with a significant drop in net cash balance in 2023 and may not be able to continue as a going concern in the future.</w:t>
      </w:r>
    </w:p>
    <w:p>
      <w:pPr>
        <w:spacing w:after="0" w:line="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described in Note 2(a) to the consolidated financial statements included in this annual report, we had continuing losses from operations, accumulated deficits, operating cash outflows, breach of financial covenants set out in one of the loan agreements, and decrease in net cash position which indicated deteriorating liquidity. Such adverse conditions and events raised substantial doubt about our ability to continue as a going concern. For more details, please see “Item 5. Operating and Financial Review and Prospects—B. Liquidity and Capital Resources.”</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developed a business plan to maintain our gross profit, control operating costs and manage working capital going forward. In particular, we intend to continue to increase our operational efficiency through cost-saving measures. Based on this plan, we prepared a cash flow projection covering a period of next twelve months from the date of issuance of the consolidated financial statements (the “Projection Period”), which has taken into account the anticipated cash flows to be generated from our future operations and existing balance of cash and cash equivalents, time deposits, and restricted cash as of December 31, 2023. Based on our cash flow projection and liquidity assessment, we concluded that the business plan, when implemented effectively, will alleviate the substantial doubt on our ability to continue as a going concern over the next twelve months from the date of issuance of our consolidated financial statements. However, such conclusion entails our assumptions and judgments related to future gross profit, operating cost and working capital when developing the business plan with forecasted cash flows. The actual figures may differ from these assumptions and judgments due to factors outside of our control.</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continue as a going concern, we may have to liquidate our assets, and the value we receive for our assets in liquidation or dissolution could be significantly lower than the values reflected in our audited consolidated financial statements included elsewhere in this annual report, which do not include any adjustments that might be necessary if we are unable to continue as a going concern. If we cease operations, it is likely that all of our investors would lose their investment. Our inability to continue as a going concern may materially and adversely affect the price of our ADSs and our ability to raise new capital or to continue our operations.</w:t>
      </w:r>
    </w:p>
    <w:p>
      <w:pPr>
        <w:spacing w:after="0" w:line="1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continue to incur significant losses in the future for a number of reasons, including the other risks described in this annual report, and unforeseen expenses, difficulties, complications and delays and other unknown events. We have been evaluating the financial and operational performance of our business units and subsidiaries and VIEs, and monitoring market conditions to identify strategic opportunities and realign our business focus as needed. If we are unable to achieve or sustain profitability, the market price of our ADSs may significantly decrease. We also face unfavorable capital market in recent years. If there would be no significant fund raising in the future, we may have cash shortage which could negatively impact our strategy on prudent cash management and our liquidity position, in turn having a material adverse impact on our business, prospects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capital when desired, on favorable terms or at all.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in a capital intensive industry and require a significant amount of cash to fund our operations. In previous years, we have financed our operations primarily with cash generated from financing activities such as issuance of ordinary shares upon IPO and follow-on securities offerings, issuance of convertible notes, and bank borrowings. We may not be able to obtain additional capital when desired, on favorable terms or at all.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raise additional funds through future issuances of equity or convertible debt securities, existing shareholders could suffer significant dilution, and any new equity securities we issue could have rights, preferences and privileges superior to those of holders of our ordinary shares. In addition, the incurrence of indebtedness may also result in increased fixed obligations and could result in operating and financial covenants that might restrict our operations. For example, some of our credit agreements include a financial covenant that requires us to meet certain minimum monthly adjusted quick ratio and minimum quarterly EBITDA, and any debt financing that we secure in the future could involve additional restrictive covenants relating to our capital raising activities and other financial and operational matters, including the ability to pay dividends. These restrictions may make it more difficult for us to obtain additional capital and to pursue business opportunities, including potential acquisitions.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obtain additional financing is subject to a number of uncertainties, including those relating to:</w:t>
      </w:r>
    </w:p>
    <w:p>
      <w:pPr>
        <w:spacing w:after="0" w:line="158" w:lineRule="exact"/>
        <w:rPr>
          <w:sz w:val="20"/>
          <w:szCs w:val="20"/>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5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for financing activities by companies in our industry;</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and other conditions in China and elsewhere.</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the factors of the above uncertainties are beyond our control. If we fail to obtain additional capital when desired or properly manage our working capital as planned, we may not be able to execute our growth strategies including but not limited to broaden our business scope, penetrate new markets, invest on innovation and technology etc., and could materially and adversely affected our business, results of operations, liquidity, financial condition, competitiveness and prospects.</w:t>
      </w:r>
    </w:p>
    <w:p>
      <w:pPr>
        <w:spacing w:after="0" w:line="11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some of our credit facilities contain covenants that impose certain minimum financial performance requirements on us. If we breach any of these covenants, our lenders under our credit facilities will be entitled to accelerate our debt obligations. Any default under our credit facilities could require that we repay these debts prior to maturity, which in turn may have a material adverse effect on our cash flow and liquidity. Further, enforcement against us under any guarantee and other similar arrangements we may enter into in the future could materially and adversely affect our cash flow and liquidity. As of December 31, 2023, a financial covenant (minimum quarterly EBITDA as defined in the banking facilities agreements) as set out in one of the loan agreements has been breached. We have obtained waiver letter such that the bank would not demand immediate repayment from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fluctuations in growth in recent periods, and our historical growth may not be indicative of our future growth.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experienced fluctuations in growth in recent periods. We may not be able to sustain our historical growth rates, or at all. In 2023, our total revenue declined mainly due to the ongoing strategic scale-down of the marketing solutions businesses, slow recovery of economic growth and customer demand following the pandemic, and increased competition in the SaaS market. You should not consider our historical growth in gross billing and net revenues as indicative of our future performance.</w:t>
      </w:r>
    </w:p>
    <w:p>
      <w:pPr>
        <w:spacing w:after="0" w:line="1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our business, prospects and results of operations depend on a number of factors, some of which are described in more details in this section, including our ability to:</w:t>
      </w:r>
    </w:p>
    <w:p>
      <w:pPr>
        <w:spacing w:after="0" w:line="81" w:lineRule="exact"/>
        <w:rPr>
          <w:sz w:val="20"/>
          <w:szCs w:val="20"/>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 our mobile strategy;</w:t>
      </w:r>
    </w:p>
    <w:p>
      <w:pPr>
        <w:spacing w:after="0" w:line="15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 and upgrade our “SaaS+X” model;</w:t>
      </w:r>
    </w:p>
    <w:p>
      <w:pPr>
        <w:spacing w:after="0" w:line="15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existing clients while continuing to optimize our client base;</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clients and further diversify our client base;</w:t>
      </w:r>
    </w:p>
    <w:p>
      <w:pPr>
        <w:spacing w:after="0" w:line="157"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solutions and service offerings to meet evolving business needs, including to address market trends such as the migration of consumers from PCs to mobile devices;</w:t>
      </w:r>
    </w:p>
    <w:p>
      <w:pPr>
        <w:spacing w:after="0" w:line="94"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data assets and experience and expertise in online marketing to extend our solutions beyond online marketing and achieve market acceptance;</w:t>
      </w:r>
    </w:p>
    <w:p>
      <w:pPr>
        <w:spacing w:after="0" w:line="8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proper functioning of our technology architecture as our business continues to grow;</w:t>
      </w:r>
    </w:p>
    <w:p>
      <w:pPr>
        <w:spacing w:after="0" w:line="15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our data assets in order to help marketers identify, engage and convert their audience;</w:t>
      </w:r>
    </w:p>
    <w:p>
      <w:pPr>
        <w:spacing w:after="0" w:line="15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high level of customer satisfaction;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an evolving and complex regulatory environment;</w:t>
      </w:r>
    </w:p>
    <w:p>
      <w:pPr>
        <w:spacing w:after="0" w:line="157"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invest in businesses, products and technologies and to integrate and realize synergies from acquisitions and strategic investments;</w:t>
      </w:r>
    </w:p>
    <w:p>
      <w:pPr>
        <w:spacing w:after="0" w:line="9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among marketers on a global basis in a cost-effective manner; and</w:t>
      </w:r>
    </w:p>
    <w:p>
      <w:pPr>
        <w:spacing w:after="0" w:line="14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sufficient working capital for business growth.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cannot assure you that we will be able to successfully accomplish any of these objectives.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for our marketing solutions and enterprise solutions, and if we fail to maintain and enhance our capabilities, our results of operations could be materially and adversely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experienced and expect to continue to face intense competition in respect of our mobile marketing solutions and enterprise solutions. To deliver, maintain and enhance our mobile capabilities, it is important that we further integrate with a wider range of mobile technologies, systems, networks and standards that we do not control. To further develop and execute our “SaaS+X” model, we have to continuously strength our technological innovation and R&amp;D capabilities and outpace competitors in the market. We may not be successful in developing solutions that operate effectively with these technologies, systems, networks or standards. Any of these could have a material adverse effect on our business, prospects and results of operations.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light of the rising demand for SasS products, and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enterprise solutions and marketing solutions. In addition, the gross margin for our enterprise solutions and marketing solutions may fluctuate in future. As we continue to face increasing competition and pricing pressure, our profit margin could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the success of “SaaS+X” model and our enterprise solutions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development of our enterprise solutions is affected by a variety of factors, which mainly include:</w:t>
      </w:r>
    </w:p>
    <w:p>
      <w:pPr>
        <w:spacing w:after="0" w:line="144" w:lineRule="exact"/>
        <w:rPr>
          <w:sz w:val="20"/>
          <w:szCs w:val="20"/>
          <w:color w:val="auto"/>
        </w:rPr>
      </w:pPr>
    </w:p>
    <w:p>
      <w:pPr>
        <w:jc w:val="both"/>
        <w:ind w:left="1000" w:hanging="317"/>
        <w:spacing w:after="0" w:line="254"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enterprise solutions are primarily initiated and established on our cooperation with Tencent Holdings Limited, or Tencent. For example, we help our clients put in place data-management platforms which are currently built primarily on Tencent Cloud and Enterprise WeChat Work. As a result, we rely on the functionality and stability of Tencent’s cloud and WeChat’s infrastructure in providing our enterprise solutions. In addition, we rely on Tencent’s proprietary API connections to gather and analyze customer data and create consumer profiles. Any disruption or termination of this cooperative relationship, including due to regulatory reasons or changes, could deteriorate our ability to operate our enterprise solutions, which could negatively affect our business, financial condition and results of operations. See “— Developments in U.S.-China relations, including any escalation of political or trade tensions, could negatively affect our business and the market for our ADSs.” for more information.</w:t>
      </w:r>
    </w:p>
    <w:p>
      <w:pPr>
        <w:spacing w:after="0" w:line="120"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increased competition in the enterprise solutions market. We may face competitions from local companies that are working on new cloud computing, artificial intelligence, business intelligence and digitalization service, and other types of enterprise solutions. We may also face potential competition from international SaaS companies, which have longer operating histories, greater financial, technical, marketing, distribution, professional services or other resources and greater name recognition. If we fail to upgrade our technologies and differentiate our enterprise solutions to effectively identify and address clients’ needs, our business, results of operations and prospects could be materially and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making efforts to promote our enterprise solutions to clients in various industries, including through cross-selling or upselling to existing clients and referral from existing clients. We cannot assure you that these promotion and marketing efforts will be successful. As a result, the success of our enterprise solutions depends on the continued growth of these sectors. In addition, to the extent businesses do not find our enterprise solutions an effective or efficient way of customer management and to the extent there are any potential new developments in their sectors, our enterprise solutions may be less attractive to clients, and our results of operations and business growth prospects may be adversely affected.</w:t>
      </w:r>
    </w:p>
    <w:p>
      <w:pPr>
        <w:spacing w:after="0" w:line="106"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executing “SaaS+X” model in our enterprise solutions business. The development of our enterprise solutions business depends on our ability to generate and maintain ongoing, profitable client demand for our SaaS products and related operational services, including through the adaptation and expansion of our services in response to the ongoing technology changes. As a result, a significant reduction in such demand or an inability to deliver services in the evolving technological environment could materially affect our results of operations. In addition, since the margin of providing services is generally lower than providing pure SaaS products, our overall margin could be lower along with the ramp up of our “SaaS+X” model.</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enterprise solutions business may face unexpected risks. If we are unable to successfully address new challenges and compete effectively, we may fail to develop a sufficient client base, or recover the costs incurred for developing this business. Consequently, our future financial performance and growth prospects in this segment could be materially and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downturn in global economy could reduce the customers’ demand and their ability to pay for our solutions, which could materially and adversely affect our business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global financial markets have experienced significant disruptions in the past decade. In particular, eruptions of regional tensions, such as the ongoing military conflict involving Ukraine and Russia, and the related sanctions against Russia, the Hamas-Israel conflict have resulted in major economic shocks worldwide and substantial volatility across global financial markets. It is unclear whether these challenges and uncertainties will be contained or resolved, and what effects they may have on the global political and economic conditions in the long term.</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is considerable uncertainty over the long-term effects of the expansionary monetary and fiscal policies adopted by the central banks and financial authorities of some of the world’s leading economies, including the United States, China and Europe. The Federal Reserve raised interest rate in the United States in order to combat inflation in 2023 and it intends to lower interest rate in 2024. It is unclear whether these challenges and uncertainties will be contained or resolved, and what effects they may have on the global political and economic conditions in the long term. Economic conditions in China are sensitive to global economic conditions. The spending, liquidity and financial conditions of our clients in China were adversely impacted. In the event that our clients fail to pay for our solutions in a timely manner, or at all, the recoverability of our accounts receivables could be adversely affected and we may have to make provisions or write off the relevant bad debt. Any prolonged slowdown in the global economy may further reduce client demand and spending for our solutions, cause delays in the payment and have a negative impact on our business, results of operations and financial condition. Additionally, continued turbulence in the international markets may adversely affect our ability to access the capital markets to meet liquidity needs, which also leads to adopting other strategies on prioritizing cash, liquidity management and balanced resources allocation with our business growth.</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the development cycle on enterprise solutions is subject to the complexity of the clients’ needs and requirements, industries, scale of operation, etc., we may face greater costs, longer sales cycles and less predictability in completing some of our sales. In this market segment, clients’ decision to use our services may be an enterprise-wide decision and, if so, these types of sales would require us to provide greater levels of education regarding the use and benefits of our services, as well as education regarding privacy and data protection laws and regulations to prospective clients with international operations. As a result of these factors, these sales opportunities may require us to devote greater development, sales support and professional services resources to individual clients, driving up costs and time required to complete the transactions, while potentially requiring us to delay revenue recognition on some of these transactions until the technical or implementation requirements have been met.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 revenues, net revenues as a percentage of gross billing, gross profit margin and the comparability of our financial results may be affected by our revenue models.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derive revenue primarily from four sources and report them on either the net or gross basis. For our marketing solutions, we derive revenue from (i) incentives earned from the website publishers, for which we act as a sales agent for their content distribution opportunities, or the sales agency arrangement, which is reported on a net basis, (ii) performing cost-plus marketing campaigns, which is reported on a net basis, (iii) performing specified actions marketing campaigns (i.e., a CPM and CPC basis), which is reported on a gross basis. For our enterprise solutions, we derive revenue from the offering of SaaS products and services, which is reported on a gross basis and a net basis. Please see “Item 5. Operating and Financial Review and Prospects—A. Operating Results—Key Components of Results of Operations—Net Revenues” for more details.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gross profit margins for our sales agency arrangement and cost-plus marketing campaigns are higher than that for our specified action marketing campaigns as cost of revenues for our sales agency arrangement and cost-plus marketing campaigns does not include media cost. Consequently, an increase in the percentage of gross billing recognized as net revenues from performing specified actions marketing campaigns will have a positive impact on our net revenues and a negative impact on our gross profit margin. On the other hand, an increase in the percentage of gross billing recognized as net revenues from our sales agency arrangement and from performing cost- 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 changes from time to time, the relative proportions of gross billing recognized as net revenues on a gross basis and a net basis also fluctuate, which would consequently impact our net revenues and gross profit margin.</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marketing solutions and enterprise solutions each represent a mixture of revenue recognized on a gross basis and on a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proportions of gross billing recognized as net revenues on a gross basis and a net basis, are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existing clients or attract new ones could adversely impact our business and results of operations.</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do not have long-term contracts with clients, and a majority of our contracts are for a term of one year or shorter. Our clients,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ability to achieve renewals or contracts and new sales depends on many factors, some of which are out of our control, including:</w:t>
      </w:r>
    </w:p>
    <w:p>
      <w:pPr>
        <w:spacing w:after="0" w:line="162" w:lineRule="exact"/>
        <w:rPr>
          <w:sz w:val="20"/>
          <w:szCs w:val="20"/>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our solutions, including any new solutions that we may develop,</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our pricing and payment terms for our clients, which may, in turn, be constrained by our capital and financial resources,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our account managing services,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customize and tailor our solution offerings and delivery and pricing models in accordance with the evolving needs of our clients and end marketers,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data base and solutions to serve clients in a wider range of industries and geographic regions,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with a wider range of new technologies, systems, networks and standards,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acquisitions or other consolidation among clients,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spending levels of customers generally.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Therefore, we cannot assure you that clients that have generated marketing spend on our platform in the past will continue to spend at similar levels or that they will continue to use our platform at all. We may not be able to replace clients which reduce or cease their usage of our platform with new clients that spend similarly on our platform. In addition, the total number of our marketers decreased by 25% from 2,464 in 2022 to 1,838 in 2023 due to the reduced budget of marketers in the challenging macro-economic environment and our strategical optimization of customer base.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existing clients do not continue to use or increase their use of our platform, or if we are unable to attract sufficient spend on our platform from new clients, our business and results of operations could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any marketing agency client may materially and adversely affect our business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engage third-party marketing agencies to help source and serve some of our marketers. In 2023, we had 1,838 marketers. Among these marketers, 965 were represented by our marketing agency clients, which contributed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consistent access to attractive content distribution opportunities is crucial to our business. We primarily rely on third-party content distribution channels to access content distribution opportunities.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55.5%, 56.0% and 83.1% of our media costs in 2021, 2022 and 2023, respectively. Media costs for content distribution opportunities on our largest and second largest channel partners accounted for 76.2% and 7.0% of our media costs in 2023, respectively.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source content distribution opportunities from content distribution channels depends in part on our ability to continuously generate sufficient marketing spend from our clients on these channels. If our content distribution channels terminate or choose not to renew their contracts with us, due to a variety of factors, including regulatory reasons or changes, our business and results of operations will be materially and adversely affected.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not be able to negotiate favorable or acceptable terms once the contracts expire. There is no assurance that we will be able to execute these contracts with terms favorable or acceptable to us or at all, which could have a material adverse impact on our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Furthermore, our contracts with content distribution channels generally provide for certain rebates or incentives, generally calculated as a percentage of marketing spend, that we are entitled to for the market spending during the terms exceed the specified thresholds. Under some of our contracts, content distribution channels offer staggered levels of rebates or incentives to us depending on the amount of marketing spend we achieve during the period.</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independent online marketing technology market is highly fragmented and intensely competitive. Independent online marketing technology platforms also face competitive pressure from well-established internet companies, marketing agencies and traditional media.</w:t>
      </w:r>
    </w:p>
    <w:p>
      <w:pPr>
        <w:spacing w:after="0" w:line="1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149" w:lineRule="exact"/>
        <w:rPr>
          <w:sz w:val="20"/>
          <w:szCs w:val="20"/>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deliver return on marketing expenditure at scale;</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trust and loyalty;</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reach;</w:t>
      </w:r>
    </w:p>
    <w:p>
      <w:pPr>
        <w:spacing w:after="0" w:line="198"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cooperation with publishers, ad exchanges, ad networks and other participants in the online marketing ecosystem;</w:t>
      </w:r>
    </w:p>
    <w:p>
      <w:pPr>
        <w:spacing w:after="0" w:line="12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comprehensiveness of solutions and service offerings;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structure and competitiveness;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cross-channel capabilities;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and user-friendliness of solutions; and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w:t>
      </w:r>
    </w:p>
    <w:p>
      <w:pPr>
        <w:spacing w:after="0" w:line="19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marketing solutions the way we do, we face indirect competition from these major players in the online marketing technology industry as they provide online marketing technology and offer services and offer solutions that help marketers achieve one or more aspects of their marketing goals in one or more phases of their online marketing cycle. These large and well-established companies control content distribution channels and may also directly compete with us to the extent we expand our solutions and footprints vertically along the online marketing technology value chain.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“Item 4. Information on the Company—B. Business Overview—Our Content Distribution Channels”. Competitive pressure may incentivize them to cease their partnership with us.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May 2018, we launched our SaaS-based enterprise solutions. We anticipate competition in this relatively new and evolving area in China and such competition to increase based on businesses’ demands for this type of products or solutions. We may face competitions from local companies that are working on enterprise solutions, new cloud computing, artificial intelligence, business intelligence and digitalization. We may also face potential competition from international SaaS companies, which have longer operating histories, greater financial, technical, marketing, distribution, professional services or other resources and greater name recognition. In addition, many of our prospective competitors may have close relationship with our existing and new clients and bear an extensive knowledge of this industry. As a result, we may be able to respond more quickly to new or emerging technologies and changes in clients’ requirements, or devote greater resources to the development, promotion and sale of their products. If we fail to upgrade our technologies and differentiate our enterprise solutions to effectively identify and address clients’ needs, our business, results of operations and prospects could be materially and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online marketing technology solutions and enterprise solutions do not achieve widespread market acceptance, our business, growth prospects and results of operations would be materially and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for online marketing technology solutions and enterprise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less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SaaS offerings, which are less mature or common in China, and the pace of transition to SaaS business may be slower among customers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development of our enterprise solutions depends on the clients’ interest, market acceptance and competitiveness, and macro-economic environment. If we fail to obtain a widespread acceptance, the number of our clients may decrease. We may also incur additional spending to further enhance our data analytics capabilities and our brand recognition and promotion, which could adversely impact our profitability. If our enterprise solutions fail to gain a widespread acceptance, our business, growth prospects and results of operations will also be materially and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algorithms and data engines for assessing and predicting potential audience behaviors are flawed or ineffective, or if our platform fails to otherwise function properly, our reputation and market share would be materially and adversely affected.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attract marketers to, and build trust in, our platform is significantly dependent on our ability to effectively assess and predict audience interest in, and therefore interaction with, relevant marketing content. In addition, our ability to attract businesses to use our enterprise solutions is significantly dependent on our ability to effectively identify and address their needs on customer relationship management, or CRM, and data analytics (e.g. sales data, customer data, product data, etc.).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expect to experience a growth in the amount of data we process as we continue to develop new solutions and features to meet evolving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collect and use data from various sources could be restricted.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176" w:lineRule="exact"/>
        <w:rPr>
          <w:sz w:val="20"/>
          <w:szCs w:val="20"/>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choices, including the blocking or deletion of cookies or modifications to privacy settings;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browser or device functionality and settings, and other new technologies, which could make it easier for users to prevent the placement of cookies or other tracking technologies;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network or software systems, or the network or software systems of marketers;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failures or defects in our data collection, mining, analysis and storage systems.</w:t>
      </w:r>
    </w:p>
    <w:p>
      <w:pPr>
        <w:spacing w:after="0" w:line="225"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renew the value-added telecommunication license, or fail to obtain other requisite license, or approvals or filings in China, the business carried out by certain consolidated entities may be materially and adversely affected.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2018, we, through OptAim Network, or the VIE, acquired Shanghai Myhayo Technology Co., Ltd., or Myhayo, a content distribution channel and a mobile content aggregator of articles and short videos in China. Myhayo presents customized feeds to users via its mobile application and allows users to earn points from their daily access to the app, which could be used to redeem cash rewards. 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“Item 4. Information on the Company—B. Business Overview—Regulations—Regulations on Value-added Telecommunication Services” and “—Regulations on Internet Content Providers.” It is unclear whether Myhayo’s business model would render it a commercial operator of value-added telecommunication service provider under the relevant PRC laws.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August 2019, Myhayo obtained the value-added telecommunication license that has a validity term of five years from the relevant local counterpart of the MIIT, which will be renewed in 2024. If we fail to maintain or renew the value-added telecommunication license, or fail to obtain any additional licenses and permits or make any records or filings required by new laws, regulations or executive orders in a timely manner or at all, we could be subject to liabilities or penalties, and we may have to change our business models, and our operations could be adversely affected. In addition, new laws and regulations may be adopted from time to time to address new issues that come to the authorities’ attention, which may require us to obtain new license and permits, or take certain actions that may adversely affect our business operations. We may not timely obtain or maintain all the required licenses or approvals or make all the necessary filings. Nor can we assure you that we will be able to timely address all the changes in policy, failure of which may subject us to liabilities or penalties, and our operations could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Content displayed on our platform and the mobile application may be found objectionable by PRC regulatory authorities and may subject us to penalties and other administrative actions.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PRC regulations governing internet access and other forms of information over the internet. Under these regulations, internet content providers are prohibited from posting over the internet any content that, among other things, violates PRC laws and regulations, impairs the national dignity of China or the public interest, or is obscene, superstitious, frightening, gruesome, offensive, fraudulent or defamatory. Failure to comply with these requirements may result in monetary penalties, revocation of licenses to provide internet content or other licenses, suspension of the concerned platforms and reputational harm. In addition, these laws and regulations are subject to interpretation by the relevant authorities, and it may not be possible to determine in all cases the types of content that could cause us to be held liable as a content distribution channel and a mobile content aggregator of articles and short videos in China, which presents customized feeds to users via its mobile application. For a detailed discussion, see “Item 4. Information on the Company—B. Business Overview—Regulation—Regulations on Internet Content Providers.”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Internet platform operators may also be held liable for the content displayed on or linked to their platforms that is subject to certain restrictions. Our users may browse professional or user-generated content, such as articles and other content formats. Although we have adopted internal procedures to monitor the content displayed on our mobile application, due to the significant amount of content, we may not be able to identify all the content that may be illegal or otherwise objectionable. In addition, we may not be able to timely update our internal procedures to reflect the latest changes in the PRC government’s requirements for content display. Failure to identify and prevent illegal or inappropriate content from being displayed on our platform and the mobile application may subject us to liability, government sanctions or loss of licenses and/or permits.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threats of lawsuits, enforcement actions for compliance failures, result in declines in user growth or engagement, restrict portions of our business or cause us to change our technology platform or business model.</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Governments around the world, including the PRC, Hong Kong, U.S. and European Union governments, have enacted or are considering legislation related to online businesses. There may be an increase in legislation and regulation related to online marketing, the use of geo-location data to inform marketing, the collection and use of internet user data and unique device identifiers, such as IP address or mobile unique device identifiers, and other data protection and privacy regulation.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primarily target Chinese language internet users in China for our marketers from all over the world. Through our enterprise solutions, we also access and gather data of users outside China as clients adopt our enterprise solutions. As a result, we may be directly or indirectly subject to the laws and regulations on online marketing and enterprise solutions, including data and privacy laws, of multiple jurisdictions.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recent years, the PRC government has enacted legislation on internet use to protect personal information from any unauthorized disclosure. For example, on February 1, 2013, China’s first set of personal data protection guidelines, the Guidelines for Personal Information Protection in Information Security Technology Public and Commercial Service Systems, came into effect, which set forth detailed personal information protection requirements on data collection, data processing, data transfer and data creation. Although these guidelines are voluntary and non-binding, we believe that growing regulatory oversight of data privacy in China is inevitable. In addition, Amendment 9 to the PRC Criminal Law prohibits institutions, companies and their employees in the telecommunications and other industries from selling or otherwise illegally disclosing a citizen’s personal information or obtaining such information through theft or other illegal ways, and further stipulates that persons who sell or otherwise illegally disclose a citizen’s personal information obtained during the course of performing duties or providing services shall be subject to a heavier sentence. On November 7, 2016, the Standing Committee of the PRC National People’s Congress issued the Cyber Security Law of the PRC, which became effective on June 1, 2017. Pursuant to the Cyber Security Law of the PRC, providers of network products and services shall provide security maintenance for their products and services and shall comply with provisions regarding the protection of personal information as stipulated under the relevant laws and regulations. Moreover, the Provisions on Protection of Personal Information of Telecommunication and Internet Users is the specific regulation governing the collection, use, disclosure and security of personal information. Complying with these PRC laws and regulations may cause us to incur substantial costs or require us to change our business practices. Furthermore, the Personal Information Security Specification, last revised on March 6, 2020, or the China Specification, came into force on October 1, 2020. Although the China Specification is not a mandatory regulation, it nonetheless has a key implementing role in relation to China’s Cyber Security Law in respect of protecting personal information in China. It is likely that the China Specification will be relied on by Chinese government agencies as a standard to determine whether businesses have abided by China’s data protection rules. The China Specification has broadened the scope of personal sensitive information, or PSI, including but not limited to phone number, transaction record and purchase history, bank account, browse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subject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 On November 28, 2019, the CAC, or the MIIT, the Ministry of Public Security, and the State Administration for Market Regulation of the PRC jointly formulated the Method for Identifying the Illegal Collection and Use of Personal Information by Applications, which explicitly sets out the specific methods of identifying six types of illegal behaviors of collecting and using personal information through applications. If we are unable to respond to changing laws, regulations, policies and guidelines related to privacy or cyber security, our business, financial condition, results of operations and prospects may be materially and adversely affected.</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U.S., all 50 states have now passed laws to regulate the actions that a business must take in the event of a data breach, such as prompt disclosure and notification to affected users and regulatory authorities. In addition to the data breach notification laws, some states have also enacted statutes and rules requiring businesses to reasonably protect certain types of personal information they hold or to otherwise comply with certain specified data security requirements for personal information. Additionally, the U.S. government has announced that it is reviewing the need for greater regulation of the collection of consumer information, including regulation aimed at restricting some targeted advertising practices.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the European Union, or EU, to the extent it is applicable to the processing operations carried out in the course of our activities, the General Data Protection Regulation, or the GDPR, which became applicable on May 25, 2018, has a broad territorial scope affecting the processing of personal data by companies outside of the EU offering goods and services to, or monitoring the behavior of, individuals in the EU. The GDPR introduces new obligations for subject companies in the area of privacy and data protection. The GDPR implements more stringent legal and operational requirements for both processors and controllers of personal data, including, for example, requiring expanded disclosures about how personal information is to be used, limitations on retention of information, new rights for data subjects with respect to their data (including by enabling them to exercise rights to erasure and data portability), mandatory data breach notification requirements, and higher standards for data controllers to demonstrate that they have obtained either valid consent or have another legal basis in place to justify their data processing activities. The GDPR further provides that EU member states may make their own additional laws and regulations in relation to certain data processing activities, which could further limit our ability to use and share personal data and could require localized changes to our operating model. Under the GDPR, fines of up to €20 million or up to 4% of the total worldwide annual turnover of the preceding financial year, whichever is higher, may be imposed in certain cases of non-compliance. To the extent the GDPR is applicable, the implementation of the GDPR may require amendments to our procedures and policies or the agreements we have with our service providers and clients, and these changes could impact our business by increasing its operational and compliance costs. The EU has also released a proposed Regulation on Privacy and Electronic Communications, or the e-Privacy Regulation, to replace the EU’s current Privacy and Electronic Communications Directive, or the e-Privacy Directive, to, among other things, achieve a greater harmonization among EU member states and better align the rules governing electronic communications (e.g., in relation to the use of cookies and other tracking technologies and protection against spam) with the requirements of the GDPR. While the ePrivacy Regulation became effective on May 25, 2018 (alongside the GDPR), European legislators are now in the process of finalizing the ePrivacy Regulation. The current draft of the ePrivacy Regulation imposes strict opt-in e-marketing rules with limited exceptions to business to business communications and significantly increases fining powers to the same levels as GDPR. Regulations of cookies and web beacons may lead to broader restrictions on our online activities, including efforts to understand followers’ internet usage and promote ourselves to them. Since the implementation of the GDPR in 2018, we have made tremendous efforts to comply and constantly adapt to the fast-evolving regulatory framework; for example, we have already revised our Data Processing Addendum (after invalidation of the Privacy Shield by the European Court of Justice, with the adoption of the new Standard contractual clauses by the European Union, and the recent adoption of the new UK standard contractual clauses by the United Kingdom). We are always actively working with our clients and partners towards ensuring up to date compliance.</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Outside of the U.S. and the EU, many jurisdictions have adopted or are adopting new data privacy and data protection laws that may impose further onerous compliance requirements, such as data localization, which prohibits companies from storing outside the jurisdiction data relating to resident individuals in data centers outside the jurisdiction. The proliferation of such laws within the jurisdictions and countries in which we operate may result in conflicting and contradictory requirements, particularly in relation to evolving technologies such as cloud computing. Any failure to successfully navigate the changing regulatory landscape could result in legal liability or impairment to our reputation in the marketplace, which could have a material adverse effect on our business and operations.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strive to comply with all applicable laws and regulations relating to privacy and data collection, processing, use, and disclosure applicable to us, it is possible that our practices are and will continue to be, inconsistent with certain regulatory requirements.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data protection and privacy laws or to provide adequate notice and/or obtain consent from end users. In addition, some of our content distribution channels require us to indemnify and hold them harmless from the costs or consequences of litigation resulting from using their networks. Any proceeding, claims or lawsuits initiated by governmental bodies, customers or other third parties, whether meritorious or not, or perception of concerns relating to our collection, use, disclosure, and retention of data, including our security measures applicable to the data we collect, whether or not valid, could harm our reputation, force us to spend significant amounts and time on defense of these proceedings, give rise to significant fines, liabilities and damage awards, distract our management, change our business practices, increase our costs of doing business, inhibit the use of our solutions, harm our ability to keep existing customers or attract new customers, or otherwise materially and adversely affect our business, results of operations and prospects.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grow efficiently to meet our clients’ increasing needs, our operating results could be harmed.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usage of our solutions, we may need to devote additional resources to improving our system infrastructure. In addition, we may need to appropriately scale our internal business systems and our services organization, including account servicing staff, to serve marketers’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account services, our business and reputation may suffer.</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offer high-quality technical support services under enterprise solutions, our relationships with our clients and our financial results may be adversely affected.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Clients of our enterprise solutions will depend on our support to resolve technical issues relating to our applications. We may be unable to respond quickly enough to accommodate short-term increases in their demand for support services. Increased demand for these services, without corresponding revenues, could increase costs and adversely affect our operating results. In addition, our sales can be highly dependent on our applications and business reputation and on positive recommendations from clients. Any failure to maintain high-quality technical support, or a market perception that we do not maintain high-quality support, could adversely affect our reputation, our ability to sell our service offerings to existing and prospective customers, and our business, operating results and financial position.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adapt and respond timely and effectively to rapidly changing technologies and new trends, our solutions may become less competitive or obsolete.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future success will depend on our ability to continuously innovate, enhance and broaden our solutions to meet evolving needs for online marketing, data and intelligent enterprise solutions, and address technological advancements and new trends in these areas,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information or other intellectual property, our business could be adversely affected.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December 31, 2023, we had 2 patents and 258 computer software copyrights in mainland China, and 98 registered trademarks in mainland China, Hong Kong, Singapore, Japan, Thailand and South Korea. 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We cannot be certain that our operations or any aspects of our business do not or will not infringe upon or otherwise violate patents, copyrights or other intellectual property rights held by third parties. This is also the case as our sales and marketing activities may use photos or video clips that contain portraits of individuals and shows performed by others, such as product live-streaming promotions held by our cooperating key opinion leaders (“KOLs”).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received in the past, and expect to receive in the future, notices that claim we have infringed, misappropriated or misused other parties’ trademark and other intellectual property rights.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 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expanded our business and offerings through organic growth as well as acquisitions and strategic investments.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Past and future acquisitions, strategic investments, partnerships or alliances could be difficult to integrate, divert the attention of key management personnel, disrupt our business, dilute shareholder value and adversely affect our business and results of operations.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involve numerous risks, any of which could harm our business, including:</w:t>
      </w:r>
    </w:p>
    <w:p>
      <w:pPr>
        <w:spacing w:after="0" w:line="192" w:lineRule="exact"/>
        <w:rPr>
          <w:sz w:val="20"/>
          <w:szCs w:val="20"/>
          <w:color w:val="auto"/>
        </w:rPr>
      </w:pPr>
    </w:p>
    <w:p>
      <w:pPr>
        <w:ind w:left="1000" w:right="20" w:hanging="31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technologies, services and personnel of acquired businesses, especially if those businesses operate outside of our core competency;</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perception risks associated with the acquired product or technology by the general public;</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or incompatibility of acquired technologies or solutions;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the key business relationships and the reputations of acquired businesses;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for activities of the acquired company, including claims from terminated employees, clients, former shareholders or other third parties;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necessary to establish and maintain effective internal controls for acquired businesses;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further develop the acquired technology in order to recoup our investment;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fixed costs.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fully integrate any future business, product or technology we acquire, our business, financial condition and results of operations may suffer.</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of the proposed Merger and potential related legal proceedings may materially and adversely affect our business, results of operations and the market price of our ADSs.</w:t>
      </w:r>
    </w:p>
    <w:p>
      <w:pPr>
        <w:spacing w:after="0" w:line="159"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7"/>
          <w:szCs w:val="17"/>
          <w:color w:val="auto"/>
        </w:rPr>
        <w:t>On November 24, 2023, the Company entered into a definitive Agreement and Plan of Merger (the “Merger Agreement”) with TSH Investment Holding Limited (“Parent”) and TSH Merger Sub Limited (“Merger Sub”), pursuant to which Merger Sub will merge with and into the Company, with the Company continuing as the surviving company and becoming a wholly-owned subsidiary of Parent (the “Merger”). On April 26, 2024, the Company (acting upon the recommendation of the special committee of our board of directors (the “Special Committee”) exercised its right to terminate the Merger Agreement and demanded Parent to pay the termination fee of US$1,800,000 (the “Parent Termination Fee”)). As a result of the termination of the Merger Agreement, the proposed Merger did not complete. As of the date of this annual report, the Company has not received the Parent Termination Fee from either Parent or Rise Chain Investment Limited (“Rise Chain”), even though the Company has sent notices to Rise Chain demanding it to pay the Parent Termination Fee pursuant to the Limited Guarantee executed between Rise Chain and the Company dated November 24, 2023. Although we have not instituted any legal proceedings against Parent and/or Rise Chain regarding the termination of the Merger Agreement and/or collection of the Parent Termination Fee, we may institute such legal proceedings in the future. These legal proceedings may result in substantial costs to us, including, without limitation, litigation-related costs and diverting the management’s attention as well as other resources away from our business. In addition, the outcome of legal proceedings generally, regardless of the merits, is inherently uncertain and there can be no assurances that we will prevail in the litigation against Parent and/or Rise Chain, and there is no assurance that we can successfully enforce the litigation judgement if we prevail. In addition, litigation may result in negative media attention, and may adversely affect our reputation, business, financial condition, results of operations and market price of our ADSs. Although difficult to quantify, we believe that the termination of the Merger Agreement has affected and may, together with potential related legal proceedings, in the future, materially and adversely affect our business, financial condition, results of operations and the market price of our ADSs.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appropriately maintain effective internal control over financial reporting in accordance with Section 404 of the Sarbanes-Oxley Act of 2002, we may be unable to accurately report our financial results and the market price of our ADSs may be adversely affected.</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public company in the United States, we are subject to Section 404 of the Sarbanes-Oxley Act of 2002, or the Sarbanes-Oxley Act, which requires that we include a report of management on our internal control over financial reporting in our annual report on Form 20-F beginning with our annual report for the fiscal year ended December 31, 2018.</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has concluded that our internal control over financial reporting was not effective as of December 31, 2023.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an up-to-date manual of accounting policies and procedures to facilitate preparation of U.S. GAAP financial statements, which could result in adjustments to U.S. GAAP not identified in a timely and complete manner, causing material misstatements in the Company’s financial reporting. To remediate these two weaknesses, we have adopted the following measures to improve our internal control over financial reporting:</w:t>
      </w:r>
    </w:p>
    <w:p>
      <w:pPr>
        <w:spacing w:after="0" w:line="189" w:lineRule="exact"/>
        <w:rPr>
          <w:sz w:val="20"/>
          <w:szCs w:val="20"/>
          <w:color w:val="auto"/>
        </w:rPr>
      </w:pPr>
    </w:p>
    <w:p>
      <w:pPr>
        <w:jc w:val="both"/>
        <w:ind w:left="1000" w:hanging="317"/>
        <w:spacing w:after="0" w:line="255"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continued to put effort in further upskilling our existing financial reporting and accounting personnel with an appropriate understanding of U.S. GAAP and SEC reporting requirements to ensure there are sufficient resources in the financial reporting functions and to establish an ongoing program to provide sufficient and additional appropriate training to our financial reporting and accounting staff, especially trainings related to U.S. GAAP and SEC financial reporting requirements. For instance, we continue to require our existing financial reporting and accounting personnel to regularly attend U.S. GAAP and SEC reporting requirement training and workshops hosted by external organizations at least on an annual basis.</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we sponsored our existing financial reporting and accounting personnel to complete external courses relating to U.S. GAAP and SEC reporting such that the financial reporting and accounting personnel can earn the necessary credentials to be qualified as certified public accountants in the U.S.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Besides, we have established clear roles and responsibilities for financial reporting and accounting personnel to address complex accounting and financial reporting issues.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have formalized the procedures and controls regarding the financial reporting process and developed and implemented a comprehensive set of U.S. GAAP policies and standardized financial reporting procedures, including a manual of accounting policies and financial reporting checklists, to allow early detection, prevention and resolution of potential misstatements. However, we are in the process of further upskilling our existing financial reporting and accounting personnel to timely update the manual of accounting policies, and properly prepare and review financial statements and related footnote /disclosures based on U.S. GAAP and SEC reporting requirements.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See “Item 15. Controls and Procedures.” We cannot assure you, however, that these measures may fully address these deficiencies in our internal control over financial reporting or that we may conclude that they have been fully remedied. Our failure to correct these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 However, if we fail to maintain effective internal control over financial reporting in the future, our management and our independent registered public accounting firm may not be able to conclude that we have effective internal control over financial reporting. This could in turn result in the loss of investor confidence in the reliability of our financial statements. As a result of these, our business, financial condition, results of operations and prospects, as well as the trading price of our ADSs, may be materially and adversely affected. Moreover, ineffective internal control over financial reporting significantly hinders our ability to prevent fraud. Furthermore, we have incurred and may need to incur additional costs and use additional management and other resources in an effort to comply with Section 404 of the Sarbanes-Oxley Act and other requirements going forward.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internal controls over financial reporting will not prevent or detect all errors or fraud. A control system, no matter how well designed and operated, can provide only reasonable, not absolute, assurance that the control system’s objectives will be met.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Because of the inherent limitations in all control systems, no evaluation of controls can provide absolute assurance that misstatements due to error or fraud will not occur or that all control issues and instances of fraud will be detected.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 failures, power outages, cyber-attacks, or other malicious human acts and natural disasters. Any steps we take to increase the reliability and redundancy of our systems, software and hardware infrastructure supporting our platform and 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 impressions, we may lose business and incur damages to our brand and reputation. In addition, we may be exposed to liabilities or the need to provide credits or refunds to our clients, and our business and results of operations may be harmed.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Complaints, litigation, regulatory actions or other negative publicity that arise about the online marketing industry in general or our company in particular, including on the quality, effectiveness and reliability of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 For example, we collaborate with third-party data service providers who supplement our dataset. We maintain a strict vetting process before engaging with these third-party data service providers to ensure the integrity and quality of data they provided, but we cannot assure you that these providers have accessed and processed data in a proper and legal manners. Any non-compliance on their part may cause potential liabilities to us and disrupt our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promote or maintain our brand in a cost-efficient manner, our business and results of operations may be harmed.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 and adversely and materially affect our business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vulnerable to natural disasters, health epidemics and other calamities. For example, the COVID-19 pandemic began in early 2020 and continued for approximately three years, and significantly affected China and many other countries. We have been materially and adversely affected by the COVID-19 pandemic in the past three years, and changes we have made to our business may not be successful in dealing with the after-effects of the pandemic. In addition, our business could also be adversely affected by natural disasters and other calamities. Any of such occurrences in the regions we operate could cause severe interruption to our system, technology platform and operation, which may materially and adversely affect our ability to deliver solutions and services to customers, and our business and results of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Misconduct, errors and failure to function by our employees could harm our business and reputation.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retain our senior management team and key employees, or attract additional technology and sales talents, we may not be able to sustain our growth or achieve our business objectives.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future success is substantially dependent on the continued service of our senior management team and key employees.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This risk may be exacerbated by the uncertainties associated with the implementation of cost-saving initiatives. Unless we are able to control our labor costs or pass on these increased labor costs to our users by increasing the fees of our services, our financial condition and results of operations may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about our KOLs may adversely affect our reputation, our business and our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brand and reputation is perceived to be connected with the reputation of the KOLs we collaborate with. Therefore, our brand image and reputation could be harmed by negative publicity about the KOLs we collaborate with. Negative publicity about them could occur in many circumstances that are beyond our control. For example, the KOLs we collaborate with may post unlawful, false, offensive or controversial content on their social media pages, notwithstanding any terms of use of the social media platforms and our guidelines, which may result in negative comments and complaints or even cause their accounts to be closed by social media platforms. Although we have requested the KOLs we collaborate with to observe certain behavioral covenants and to refrain from conduct that is detrimental to our reputation and brand image, we cannot assure you that they will strictly follow those requirements. In addition, they may also receive negative publicity if they are involved in any illegal activities, scandals or rumors. Any of these negative publicity, regardless of veracity, could hurt our reputation and may result in costs incurred to offset such reputation damage and have a negative impact on our business, results of operations and financial condition.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any business insurance coverage in China.</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Insurance companies in China currently do not offer as extensive an array of insurance products as insurance companies in more developed economies in China.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any bank in which we deposit our funds could have an adverse effect on our business, financial condition and results of operations.</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On March 10, 2023, Silicon Valley Bank (“SVB”) was closed by the California Department of Financial Protection and Innovation, which appointed the U.S. Federal Deposit Insurance Corporation (“FDIC”) as receiver. Similarly, on March 12, 2023, Signature Bank was also placed into receivership. Further, on March 19, 2023, UBS agreed to take over Credit Suisse following interventions by the Swiss government, and on May 1, 2023, the California Department of Financial Protection and Innovation closed First Republic Bank, appointing the FDIC as receiver. A statement by the U.S. Department of the Treasury, the Federal Reserve and the FDIC indicated that all depositors of SVB would have access to all of their money after only one business day of closure, including funds held in uninsured deposit accounts, however, borrowers under credit agreements, letters of credit and certain other financial instruments with SVB, Signature Bank or any other financial institution that is placed into receivership by the FDIC may be unable to access undrawn amounts thereunder.</w:t>
      </w:r>
    </w:p>
    <w:p>
      <w:pPr>
        <w:spacing w:after="0" w:line="13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generally seek to diversify our cash and cash equivalents across several financial institutions in an attempt to minimize exposure to any one of these entities, our cash balance with a financial institution may exceed the amount under the deposit guarantee program in the relevant jurisdiction. To the extent any of the financial institutions in which we have deposited funds ultimately fails, we may lose our deposits to the extent they exceed the amount under the deposit guarantee program in the relevant jurisdiction, and/or we may be required to move our accounts to another financial institution, which could cause operational difficulties, such as delays in making payments to third parties, which could have an adverse effect on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holding company with no equity ownership in the VIE and we conduct our operations in China through (i) our PRC subsidiaries and (ii) the VIE entities with which we have maintained contractual arrangements.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 Cayman Islands holding company with no equity ownership in the VIE and we conduct our operations in China through (i) our PRC subsidiaries and (ii) the VIE entities with which we have maintained contractual arrangements. Investors in our ADSs thus are not purchasing equity interest in the VIE entities in China but instead are purchasing equity interest in a Cayman Islands holding company. If the PRC government deems that our contractual arrangements with the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 Our holding company in the Cayman Islands, the VIE, and investors of our Company face uncertainty about potential future actions by the PRC government that could affect the validity and enforceability of the contractual arrangements with the VIE and, consequently, significantly affect the financial performance of the VIE and our Company as a group.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contractual arrangements that establish the structure for certain of our operations in China.</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iClick Data Technology (Beijing) Limited, or iClick Beijing, its PRC subsidiary, is considered a foreign invested enterprise, or FIE. To comply with the then-effective PRC laws and regulations, including the Administrative Provisions on Foreign-Invested Advertising Enterprises, OptAim Beijing, later replaced by iClick Beijing entered into a set of contractual arrangements with OptAim Network and its shareholder. For a detailed description of these contractual arrangements, see “Item 4. Information on the Company—C. Organizational Structure—Contractual Arrangements with OptAim Network.” As a result of these contractual arrangements, we exert control over OptAim Network and its subsidiaries, and consolidate their operating results in our financial statements under U.S. GAAP.</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After the abolishment of the foreign ownership restriction in advertising business, we had been transferring the advertising business previously operated by the VIE, OptAim Network, primarily consisting of our mobile marketing solution business, to our wholly-owned subsidiaries. As of December 31, 2018, our wholly-owned subsidiaries had replaced OptAim Network as contracting party for all our mobile marketing solution business. In November 2018, OptAim Network acquired Myhayo, a content distribution channel and a mobile content aggregator of articles and short videos in the PRC, which presents customized feeds to users via its mobile application. The mobile application operated by Myhayo allows users to earn points from their daily access, which could be used to redeem cash rewards. It is unclear whether Myhayo’s business model would render it a commercial operator of value-added telecommunication services under the relevant PRC laws, in which case Myhayo would be required to hold a value-added telecommunication license. In August 2019, Myhayo obtained the value-added telecommunication license that has a validity term of five years, which will be renewed in 2024. See “—Risk Related to Our Business and Industry—If we fail to maintain or renew the value-added telecommunication license, or fail to obtain other requisite license, or approvals or filings in China, the business carried out by certain consolidated entity may be materially and adversely affected.” Current PRC laws and regulations impose certain restriction on foreign investment in value-added telecommunication services. See “—Regulations—Regulations on Foreign Direct Investment in Value-Added Telecommunications Companies.” As a result, we acquired Myhayo through OptAim Network, the VIE. In June 2022, Zhiyunzhong (Shanghai) Technology Co., Ltd., one of the VIE entities, was wholly transferred from OptAim Network to another subsidiary of the Company, Anhui Zhiyunzhong Information Technology Co., Ltd..</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2023, OptAim Network contributed 5.8% to our gross billing and 9.7% of our net revenues. We conduct our operations in China through our PRC subsidiaries and the VIE entities, with which we maintained these contractual arrangements. Investors in our ordinary shares or the ADSs are not purchasing equity interest in the VIE in China but instead are purchasing equity interest in a Cayman Islands holding company with no equity ownership of the VIE.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Catalogue for the Guidance of Foreign Investment Industries, or Foreign Investment Catalog,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On September 18, 2021, the Ministry of Commerce (“MOFCOM”) and the National Development and Reform Commission, or the NDRC, jointly promulgated the Special Administrative Measures (Negative List 2021) for Foreign Investment Access, or the Special Administrative Measures, which replaced the negative list attached to the Foreign Investment Catalog in 2020. Industries that are not listed in the Special Administrative Measures are permitted areas for foreign investments, and are generally open to foreign investment unless specifically restricted by other PRC regulations. We do not believe our collection and use of multiple kinds of data from multiple sources in China to improve the cost-effectiveness of marketing campaigns for marketers in and outside China fall within the scope of “foreign-related survey” under the Foreign-related Survey Measures listed under the Special Administrative Measures. However, there are uncertainties under the PRC Laws whether such activities may be deemed as “foreign-related survey,” which would require a foreign-related survey license from the National Bureau of Statistics in China or its local counterparts.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iClick Data Technology (Beijing) Limited’s contractual arrangements with OptAim Network and its shareholder to conduct certain of our operations in China, including to transfer such operations to the VIE to the extent they are deemed foreign-related survey.</w:t>
      </w:r>
    </w:p>
    <w:p>
      <w:pPr>
        <w:spacing w:after="0" w:line="19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opinion of our PRC counsel, Jingtian &amp; Gongcheng, our current ownership structure, the ownership structure of our PRC subsidiaries, the VIE entities, and the contractual arrangements among iClick Beijing, OptAim Network and the shareholder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It is uncertain whether any new PRC laws, rules or regulations relating to variable interest entity structures will be adopted or if adopted, what they would provide. Please see “—Substantial uncertainties exist with respect to the newly enacted PRC Foreign Investment Law and how it may impact the viability of our current corporate structure, corporate governance and business operations.” for more information.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our offerings and equity issuances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1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our variable interest entity and its shareholder for certain of our business operations, which may not be as effective as direct ownership in providing operational control.</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the VIE, OptAim Network, and its shareholder for part of our online marketing business on mobile channels in China, as well as certain other complementary businesses, and to the extent our operations are deemed as foreign-related survey. For a description of these contractual arrangements, see “Item 4. Information on the Company—C. Organizational Structure—Contractual Arrangements with OptAim Network.” These contractual arrangements may not be as effective as direct ownership in providing us with control over the VIE entities.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had direct ownership of OptAim Network and its subsidiaries, we would be able to exercise our rights as a shareholder to effect changes in the board of directors of OptAim Network and its subsidiaries, which in turn could implement changes, subject to any applicable fiduciary obligations, at the management and operational level. However, under the current contractual arrangements, we rely on the performance by OptAim Network and the shareholder of OptAim Network of his obligations under the contracts to exercise control over our consolidated variable interest entity and its subsidiaries. The shareholder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our variable interest entity or its shareholder to perform their obligations under our contractual arrangements with them would have a material adverse effect on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our consolidated variable interest entity or its shareholder fails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 of OptAim Network was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Such disputes do not include claims arising under the United States federal securities laws and therefore these arbitration provision do not prevent you from pursuing claims under the United States federal securities law.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 of our variable interest entity, may have potential conflicts of interest with us, which may materially and adversely affect our business and financial condition.</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equity interests of OptAim Network are held by Mr. Jian Tang, who is our chairman of the board, chief executive officer and co-founder. His interest may differ from the interests of our Company as a whole. The shareholder may breach, or cause our consolidated variable interest entity to breach, or refuse to renew the existing contractual arrangements we have with his and our consolidated variable interest entity, which would have a material adverse effect on our ability to effectively control our consolidated variable interest entity and receive economic benefits from him. For example, the shareholder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 shareholder will act in the best interests of our company or such conflicts will be resolved in our favor.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540" w:firstLine="648"/>
        <w:spacing w:after="0" w:line="256" w:lineRule="auto"/>
        <w:rPr>
          <w:sz w:val="20"/>
          <w:szCs w:val="20"/>
          <w:color w:val="auto"/>
        </w:rPr>
      </w:pPr>
      <w:r>
        <w:rPr>
          <w:rFonts w:ascii="Times New Roman" w:cs="Times New Roman" w:eastAsia="Times New Roman" w:hAnsi="Times New Roman"/>
          <w:sz w:val="18"/>
          <w:szCs w:val="18"/>
          <w:color w:val="auto"/>
        </w:rPr>
        <w:t>Currently, we do not have any arrangements to address potential conflicts of interest between the shareholder and our company, except that we could exercise our purchase option under the third amended and restated exclusive option agreement with the shareholder to request him to transfer all of his equity interests in OptAim Network to a PRC entity or individual designated by us, to the extent permitted by PRC laws. If we cannot resolve any conflict of interest or dispute between us and the shareholder of OptAim Network, we would have to rely on legal proceedings, which could result in the disruption of our business and subject us to substantial uncertainty as to the outcome of any such legal proceedings.</w:t>
      </w:r>
    </w:p>
    <w:p>
      <w:pPr>
        <w:spacing w:after="0" w:line="183"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wholly-owned subsidiary iClick Beijing, the VIE OptAim Network and the shareholder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iClick Beijing’s tax expenses. In addition, if iClick Beijing requests the shareholder of OptAim Network to transfer his equity interests in OptAim Network at nominal or no value pursuant to these contractual arrangements, such transfer could be viewed as a gift and subject iClick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192" w:lineRule="exact"/>
        <w:rPr>
          <w:sz w:val="20"/>
          <w:szCs w:val="20"/>
          <w:color w:val="auto"/>
        </w:rPr>
      </w:pPr>
    </w:p>
    <w:p>
      <w:pPr>
        <w:jc w:val="both"/>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newly enacted PRC Foreign Investment Law and how it may impact the viability of our current corporate structure, corporate governance and business operations.</w:t>
      </w:r>
    </w:p>
    <w:p>
      <w:pPr>
        <w:spacing w:after="0" w:line="159" w:lineRule="exact"/>
        <w:rPr>
          <w:sz w:val="20"/>
          <w:szCs w:val="20"/>
          <w:color w:val="auto"/>
        </w:rPr>
      </w:pPr>
    </w:p>
    <w:p>
      <w:pPr>
        <w:jc w:val="both"/>
        <w:ind w:right="540" w:firstLine="648"/>
        <w:spacing w:after="0" w:line="253" w:lineRule="auto"/>
        <w:rPr>
          <w:sz w:val="20"/>
          <w:szCs w:val="20"/>
          <w:color w:val="auto"/>
        </w:rPr>
      </w:pPr>
      <w:r>
        <w:rPr>
          <w:rFonts w:ascii="Times New Roman" w:cs="Times New Roman" w:eastAsia="Times New Roman" w:hAnsi="Times New Roman"/>
          <w:sz w:val="18"/>
          <w:szCs w:val="18"/>
          <w:color w:val="auto"/>
        </w:rPr>
        <w:t>On March 15, 2019, the National People’s Congress approved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On December 26, 2019, the State Council adopted the Implementing Rules for the Foreign Investment Law of the People’s Republic of China, which took effect on January 1, 2020, to interpret and implement the Foreign Investment Law. However, uncertainties still exist in relation to the nature of “variable interest entity” structure. As a result, the Foreign Investment Law may materially impact the viability of our current corporate structure, corporate governance and business operations in many aspects.</w:t>
      </w:r>
    </w:p>
    <w:p>
      <w:pPr>
        <w:spacing w:after="0" w:line="194" w:lineRule="exact"/>
        <w:rPr>
          <w:sz w:val="20"/>
          <w:szCs w:val="20"/>
          <w:color w:val="auto"/>
        </w:rPr>
      </w:pPr>
    </w:p>
    <w:p>
      <w:pPr>
        <w:jc w:val="both"/>
        <w:ind w:right="540" w:firstLine="648"/>
        <w:spacing w:after="0" w:line="255" w:lineRule="auto"/>
        <w:rPr>
          <w:sz w:val="20"/>
          <w:szCs w:val="20"/>
          <w:color w:val="auto"/>
        </w:rPr>
      </w:pPr>
      <w:r>
        <w:rPr>
          <w:rFonts w:ascii="Times New Roman" w:cs="Times New Roman" w:eastAsia="Times New Roman" w:hAnsi="Times New Roman"/>
          <w:sz w:val="18"/>
          <w:szCs w:val="18"/>
          <w:color w:val="auto"/>
        </w:rPr>
        <w:t>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w:t>
      </w:r>
    </w:p>
    <w:p>
      <w:pPr>
        <w:spacing w:after="0" w:line="200" w:lineRule="exact"/>
        <w:rPr>
          <w:sz w:val="20"/>
          <w:szCs w:val="20"/>
          <w:color w:val="auto"/>
        </w:rPr>
      </w:pPr>
    </w:p>
    <w:p>
      <w:pPr>
        <w:spacing w:after="0" w:line="20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460"/>
          </w:cols>
          <w:pgMar w:left="980" w:top="513"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holding company in the Cayman Islands, VIE, and investors of our company face uncertainty about potential future actions by the PRC government that could affect the enforceability of the contractual arrangements with VIE and, consequently, the business, financial condition, and results of operations of VIE and our company as a group. 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VIE structure may be regarded as invalid and illegal. As a result, we would not be able to (i) continue our business in China through our contractual arrangements with the VIE and shareholder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the contractual arrangements, iClick Beijing has the exclusive right to purchase all or any part of the equity interests in OptAim Network from OptAim Network’s shareholder for a nominal price, unless the relevant government authorities or then applicable PRC laws request that a minimum price amount be used as the purchase price, in such case the purchase price shall be the lowest amount under such request. The shareholder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iClick Beijing to pay enterprise income tax for ownership transfer income with reference to the market value, in which case the amount of tax could be substantial.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China’s legal system, including the interpretation and enforcement of PRC laws and regulations, could limit the legal protections available to us.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especially difficult for us to accurately predict the potential impact to us of new legal requirements in China because 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Furthermore, rules and regulations in China can change quickly with little advance notice. Recently, Chinese regulators have announced regulatory actions aimed at providing the Chinese government with greater oversight over certain sectors of China’s economy, including the for-profit education sector and technology platforms that have a quantitatively significant number of users located in China. Although the online marketing technology industry does not appear to be the focus of these regulatory actions, we cannot guarantee that the Chinese government will not in the future take regulatory actions that materially adversely affect the business environment and financial markets in China as they relate to us, our ability to operate our business, our liquidity and our access to capital.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 Uncertainties with respect to the PRC legal system could adversely affect 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and the VIE entities in China. Our operations in China are governed by PRC laws and regulations. Our subsidiaries are generally subject to laws and regulations applicable to foreign investments in China. The PRC legal system is based on written statutes. Prior court decisions may be cited for reference but have limited precedential value.</w:t>
      </w:r>
    </w:p>
    <w:p>
      <w:pPr>
        <w:spacing w:after="0" w:line="13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PRC government has significant oversight over and discretion over the conduct of our business and may intervene or influence our operations as the government deems appropriate to further regulatory, political and societal goals. Furthermore, recent statements made by the Chinese government have indicated an intent to increase the government’s oversight and control over offerings of companies with significant operations in China that are to be conducted in foreign markets, as well as foreign investment in China-based issuers like us. Any such action could significantly limit or completely hinder our ability to offer or continue to offer securities to investors and cause the value of such securities to significantly decline or be worthless.</w:t>
      </w:r>
    </w:p>
    <w:p>
      <w:pPr>
        <w:spacing w:after="0" w:line="14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PRC laws and regulations have significantly enhanced the protections afforded to various forms of foreign investments in China for the past decades. However, China has not developed a fully integrated legal system, and recently enacted laws and regulations may not sufficiently cover all aspects of economic activities in China. In particular, because these laws and regulations are relatively new, and because of the limited volume of published decisions and their nonbinding nature, the interpretation and enforcement of these laws and regulations involve uncertainties. Furthermore, the PRC legal system is based in part on government policies and internal rules, some of which are not published on a timely basis or at all, which may have a retroactive effect. As a result, we may not be aware of our violation of these policies and rules until sometime after the violation. In addition, any administrative and court proceedings in China may be protracted, resulting in substantial costs and diversion of resources and management attention.</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Recent regulatory developments in China may subject us to additional regulatory review and disclosure requirements, expose us to government interference, or otherwise restrict or completely hinder our ability to offer securities and raise capital outside mainland China, which could adversely affect our business operations and cause the value of our securities to significantly decline or become worthless.</w:t>
      </w:r>
    </w:p>
    <w:p>
      <w:pPr>
        <w:spacing w:after="0" w:line="14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our primary business is conducted in China, we are exposed to legal and other risks associated with our operations in China. The PRC government has significant authority to exert influence on the ability of a company with operations in China, including us, to conduct its business. Any actions by the PRC government to exert more oversight and control over offerings that are conducted overseas or foreign investment in companies having operations in China, including us, could significantly limit or completely hinder our ability to offer or continue to offer securities to investors, and cause the value of our securities to significantly decline or become worthless. Recently, the PRC government has initiated a series of regulatory actions and statements to regulate business operations in China such as filing requirements for China-based companies’ overseas securities offerings and listing, new measures to extend the scope of cybersecurity reviews and new laws and regulations related to data privacy and security, and expanded the efforts in anti-monopoly enforcement,. While we do not believe that these regulatory changes currently have any material impact on us, we will be required to comply with the filing requirements for our future securities offerings, which we cannot assure you that we will be able to complete in a timely manner, or at all.</w:t>
      </w:r>
    </w:p>
    <w:p>
      <w:pPr>
        <w:spacing w:after="0" w:line="1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Cybersecurity and data privacy and security issues are legislative and regulatory focus in China. On July 30, 2021, the State Council of the PRC promulgated the Regulations on the Protection of the Security of Critical Information Infrastructure, which took effect on September 1, 2021. This regulation requires, among others, certain competent authorities to identify critical information infrastructures. If any critical information infrastructure is identified, the relevant authorities shall promptly notify the relevant operator and the Ministry of Public Security. In November 2021, the CAC promulgated the Draft Administrative Regulations on Cyber Data Security, or the Draft Cyber Data Security Regulations, for public comment. These draft regulations set forth different scenarios under which data processors would be required to apply for cybersecurity review. However, there is no definite timetable as to when these draft regulations will be enacted. In addition, the CAC and a number of other departments under the State Council promulgated the Measures for Cybersecurity Review on December 28, 2021, which became effective on February 15, 2022. According to this regulation, critical information infrastructure operators purchasing network products and services and network platform operators carrying out data processing activities, which affect or may affect national security, are required to conduct cybersecurity review. As advised by our PRC counsel, Jingtian &amp; Gongcheng, we believe that we do not need to apply for cybersecurity reviews under the current regulatory regime, because we have not received any notice or determination from competent PRC government authorities identifying us as a critical information infrastructure operator as of the date of this annual report. However, we cannot rule out the possibility that the competent PRC government authorities will not initiate cybersecurity reviews on us in the future. As of the date hereof, we have not been involved in any investigations on cybersecurity review made by the CAC, and we have not received any inquiry, notice, warning, or sanctions in such respect. However, as these are new regulations that are evolving, there remains uncertainties as to how they will be interpreted or implemented in the context of an overseas offering.</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be subject to PRC laws relating to the collection, use, sharing, retention security, and transfer of confidential and private information, such as personal information and other data. These PRC laws apply not only to third-party transactions, but also to transfers of information between us and our wholly foreign-owned enterprises in China, and other parties with which we have commercial relations. For example, on September 1, 2021, the PRC Data Security Law became effective, which imposes data security and privacy obligations on entities and individuals conducting data-related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In addition, the Standing Committee of PRC National People’s Congress promulgated the Personal Information Protection Law (the “PIPL”) on August 20, 2021, which took effect on November 1, 2021. The PIPL further emphasizes processors’ obligations and responsibilities for personal information protection and sets out the basic rules for processing personal information and the rules for cross-border transfer of personal information. As of the date hereof, we have not been involved in any investigations on data security or privacy compliance issues in connection with the PRC Data Security Law or the PIPL, and we have not received any inquiry, notice, warning, or sanctions in such respect. In addition, we do not expect to have significant data security or privacy issues given that the nature of our business does not involving collecting and use of vast personal data. However, we cannot guarantee that the regulators will agree with us or will not in the future adopt new regulations that restrict our business operations.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7, 2021, the Anti-monopoly Committee of the State Council published the Guideline on Anti-monopoly of Platform Economy Sector, or the Guideline, which became effective on the same day, aiming at enhancing anti-monopoly administration on businesses that operate under the platform model and the overall platform economy. The Guideline intends to regulate abuse of a dominant position and other anticompetitive practices by online platform operators and the related merchants and service providers on online platforms, i.e. unfairly locking in exclusive agreements with merchants and targeting specific customers with unreasonable big-data driven tailored pricing through their online behavior to eliminate or limit market competition. As of the date of this document, we have not been subject to any regulatory actions or investigations in connection with anti-monopoly. However, as the Guideline is newly enacted, there remains uncertainties as to how the Guideline will be implemented, and we cannot assure you that the governmental authorities will not take an opposite opinion. Any failure or perceived failure by us to comply with the Guideline and other anti-monopoly laws and regulations may result in governmental investigations or enforcement actions, litigation or claims against us and could have an adverse effect on our business, financial condition and results of operations.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7, 2022, the CAC promulgated the Measures on Security Assessment of Outbound Data Transfer, or the Measures on Security Assessment of Outbound Data Transfer, effective September 1, 2022. These measures shall apply to the security assessment of the provision of important data and personal information collected and generated by data processors in the course of their operations within the territory of the PRC by such data processors to overseas recipients, or the outbound data transfer. Where there are other provisions in laws and administrative regulations, such other provisions shall prevail. These Measures specify that an outbound data transfer by a data processor that falls under any of the following circumstances, the data processor shall apply to the CAC for the security assessment via the local provincial-level cyberspace administration authority: (i) outbound transfer of important data by a data processor;</w:t>
      </w:r>
    </w:p>
    <w:p>
      <w:pPr>
        <w:spacing w:after="0" w:line="3" w:lineRule="exact"/>
        <w:rPr>
          <w:sz w:val="20"/>
          <w:szCs w:val="20"/>
          <w:color w:val="auto"/>
        </w:rPr>
      </w:pPr>
    </w:p>
    <w:p>
      <w:pPr>
        <w:jc w:val="both"/>
        <w:ind w:firstLine="8"/>
        <w:spacing w:after="0" w:line="252" w:lineRule="auto"/>
        <w:tabs>
          <w:tab w:leader="none" w:pos="2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outbound transfer of personal information by a critical information infrastructure operator or a personal information processor who has processed the personal information of more than 1,000,000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or (iv) other circumstances where an application for the security assessment of an outbound data transfer is required as prescribed by the CAC. The data we process does not involve the above circumstances. However, we cannot guarantee that the regulators will agree with us or will not in the future adopt new regulations that restrict our business operations.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these statements and regulatory actions are new, and some regulations are still at the stage of consultation for comments, it is highly uncertain how soon legislative or administrative regulation making bodies will respond and what existing or new laws or regulations or detailed implementations and interpretations will be modified or promulgated, if any, or the potential impact such modified or new laws and regulations will have on our daily business operation, our ability to accept foreign investments and listing on a U.S. or other foreign exchanges. PRC laws and their interpretations and enforcement continue to develop and are subject to change, and the PRC government may adopt other rules and restrictions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approval of and/or filing with the CSRC or other PRC government authorities may be required in connection with our offshore offerings under PRC law, and, if required, we cannot predict whether or for how long we will be able to obtain such approval or complete such filing.</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jointly issued Opinions on Strictly Cracking Down Illegal Securities Activities in Accordance with the Law. These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These opinions and any related implementation rules to be enacted may subject us to additional compliance requirement. On February 17, 2023, the CSRC released a set of regulations consisting of six documents, including the Trial Administrative Measures of Overseas Securities Offering and Listing by Domestic Companies and five supporting guidelines, collectively, the Overseas Listing Filing Rules, which came into effective on March 31, 2023. According to the Overseas Listing Filing Rules, China-based companies that have already offered shares or been listed overseas prior to the implementation of such new regulations qualify as “Stock Enterprises”, and Stock Enterprises are not required to apply for the filing immediately until a subsequent overseas offering or listing occurs. However, the Overseas Listing Filing Rules, among others, require the issuer or its main operational entity in the PRC to file with the CSRC for its follow-on securities offerings in the same offshore market within three business days after the completion of such offerings, and file with the CSRC for its offerings or listing in offshore stock market other than the stock market of its initial public offering or listing within three business days after the submission of offering application outside mainland China.</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had been listed on the NASDAQ prior to the implementation of the Overseas Listing Filing Rules. Therefore, we are qualified as a “Stock Enterprise” and are not required to apply for the filing immediately until a subsequent overseas offering or listing occurs according to the Overseas Listing Filing Rules. However, we are required to file with the CSRC for its follow-on securities offerings in the same offshore market within three business days after the completion of such offerings, and file with the CSRC for our offerings or listing in offshore stock market other than the stock market of our initial public offering or listing within three business days after the submission of offering application outside mainland China. Failure to comply with the filing requirements for any offering, listing or any other capital raising activities, may result in administrative penalties, such as order to rectify, warnings, fines and other penalties, on us, our controlling shareholders, the actual controllers, any person directly in charge and other directly liable persons. Given the uncertainties surrounding the CSRC filing requirements at this stage, we cannot assure you that we will be able to complete the filings and fully comply with the relevant new rules on a timely basis, or at all, if we conduct listing in other offshore stock markets or follow-on offerings, issuance of convertible corporate bonds, exchangeable bonds, or other kinds of equity security in the future.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we have not received any inquiry, notice, warning, or sanctions regarding offshore offering from the CSRC or any other PRC regulatory authorities. However, if it is determined in the future that approval from the CSRC or other regulatory authorities or other procedures are required for our offshore offerings, it is uncertain whether we can or how long it will take us to obtain such approval or complete such procedures and any such approval or completion could be rescinded. Any failure to obtain or delay in obtaining such approval or completing such procedures for our offshore offerings, or a rescission of any such approval obtained by us, would subject us to sanctions by the CSRC or other PRC regulatory authorities for failure to seek approval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ordinary shares and ADSs. The CSRC or other PRC regulatory authorities also may take actions requiring us, or making it advisable for us, to halt our offshore offerings before settlement and delivery of the shares offered hereby. Consequently, if you engage in market trading or other activities in anticipation of and prior to settlement and delivery, you do so at the risk that settlement and delivery may not occur. In addition, if the CSRC or other regulatory authorities later promulgate new rules or explanations requiring that we obtain their approvals or accomplish the required filing or other regulatory procedures for our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the ordinary shares and ADSs.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many of the economic and political risks associated with emerging markets due to our operations in mainland China and Hong Kong. Adverse changes in mainland China or Hong Kong’s economic, political and social conditions as well as government policies could adversely affect our business and prospects.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primary operations are based in, and a substantial percentage of our revenue is generated from China, one of the world’s largest emerging markets. In light of our operations in an emerging market, we may be subject to risks and uncertainties including fluctuations in GDP, unfavorable or unpredictable treatment in relation to tax matters, expropriation of private assets, exchange controls, restrictions affecting our ability to make cross-border transfer of funds, regulatory proceedings, inflation, currency fluctuations or the absence of, or unexpected changes in, regulations and unforeseeable operational risks. In addition, our business, prospects, financial condition and results of operations may be significantly influenced by political, economic and social conditions in China generally and by continued economic growth in China as a whole.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that focus on taking into account market forces to effect economic reform aimed at reducing the state ownership of productive assets and the establishing improved corporate governance in business enterprises, a substantial portion of China’s productive assets are still owned by the government. In addition, the PRC government continues to play a significant role in regulating development through industrial, economic and business policies. The PRC government also exercises significant control over China’s economic growth through its allocation of resources, control of payment of foreign currency-denominated obligations, setting monetary policy, and providing preferential treatment for particular industries or companies. The PRC government also exercises significant control over China’s economic growth through its allocation of resources, control of payment of foreign currency-denominated obligations, monetary policy, and preferential treatment for particular industries or companies. Any such action, once taken by the Chinese government, could significantly limit or completely hinder our ability to offer or continue to offer ADSs and ordinary shares to our investors, and could cause the value of our ADSs and ordinary shares to significantly decline or become worthless.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which may benefit the overall Chinese economy, may have a negative effect on us. For example, our financial condition and results of operations may be adversely affected by government control over capital investments or changes in tax regulations. In addition, the PRC government has from time to time implemented certain measures, including interest rate changes, to control the pace of economic growth. These measures may cause decreased economic activity in China, and since 2012, the Chinese economy has slowed down. Any prolonged slowdown in the Chinese economy may reduce the demand for our services and materially and adversely affect our business and results of operations. There have also been concerns about the relationships among China and other Asian countries, the relationship between China and the United States, as well as the relationship between the United States and certain Asian countries such as North Korea, which may result in or intensify potential conflicts in relation to territorial, regional security and trade disputes.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 An economic downturn, whether actual or perceived, a further decrease in economic growth rates or an otherwise uncertain economic outlook in China could have a material adverse effect on business and consumer spending and, as a result, adversely affect our business, financial condition and results of operations.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in U.S.-China relations, including any escalation of political or trade tensions, could negatively affect our business and the market for our ADSs.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in Hong Kong, and we derive a substantial percentage of our revenue from China. We also continuously seek to expand our international footprint. Accordingly, international trade or political tensions, especially those affecting mainland China and Hong Kong’s relations with the United States, could affect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recent years, political tensions between the United States and China have escalated due to factors including the COVID-19 outbreak and related issues, China’s enactment of national security legislation for Hong Kong, the United States’ enactment of the Hong Kong Autonomy Act, U.S. sanctions imposed on certain Chinese and Hong Kong officials, the U.S. executive order of November 2020 prohibiting U.S. persons from buying securities of certain “Chinese Military-Industrial Complex Companies”, the United States’ imposition of import bans on certain companies and products based on “forced labor” allegations, a January 2021 U.S. executive order authorizing restrictions on dealings with persons who develop or control certain China-connected software applications companies, and United States’ imposition of licensing requirement for exports or transfers of items on lists of controlled items maintained by the U.S. government. We could also be affected by U.S. actions targeting specific Chinese companies we do business with, such as the August 2020 U.S. executive orders prohibiting certain transactions with ByteDance Ltd., Tencent Holdings Ltd. and their respective subsidiaries. China has responded to some of the U.S. actions listed above in actions generally perceived as retaliations, including imposing sanctions on certain U.S. officials and lawmakers, the adoption of China’s Unreliable Entity List, and China’ s tightening of export rules for sensitive technology under its Export Control Law, which came into effect in December 2020.</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types of government actions described in the paragraph above are in practice discretionary and highly political. In a relationship as broad and complex as that between the United States and China, it is difficult to predict the full impact of these laws, executive orders and regulations on either us or the overall bilateral relationship. We partner and have business with some of the companies referred to in these executive orders, including Tencent, with which we do substantial business. If a broad prohibition against transactions with Tencent or other companies that we partner or have business with were to be implemented, our business and results of operations could be materially and adversely affected. We cannot assure you that there will not be additional laws, regulations or executive orders or that existing laws regulations or executive orders will be interpreted in ways that impact us. Furthermore, developments in U.S.-China relations could cause investor uncertainty, and the market price of our ADSs could be adversely affected.</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the SEC has issued statements primarily focused on companies with significant China-based operations, such as us. For example, on July 30, 2021, Gary Gensler, Chairman of the SEC, issued a Statement on Investor Protection Related to Recent Developments in China, pursuant to which Chairman Gensler stated that he has asked the SEC staff to engage in targeted additional reviews of filings for companies with significant China-based operations. The statement also addressed risks inherent in companies with VIE structures. It is possible that our periodic reports and other filings with the SEC may be subject to enhanced review by the SEC and this additional scrutiny could affect our ability to effectively raise capital in the United States. Consistent with that directive, on December 20, 2021, the SEC posted an illustrative letter containing sample comments to companies with the majority of their operations in the PRC or Hong Kong. The statement and sample comment letter also addressed risks inherent in companies with a VIE, structure, which are used by some companies in China that operate in sectors that are subject to foreign ownership limitations. In response to the SEC’s July 30 statement, the CSRC announced on August 1, 2021, that the CSRC will continue to collaborate “closely with different stakeholders including investors, companies, and relevant authorities to further promote transparency and certainty of policies and implementing measures.” There is no assurance that the tension between the two nations will ease soon. If any new legislation, executive orders, tariffs, laws and/or regulations are implemented, if existing trade agreements are renegotiated or if the U.S. or Chinese governments take retaliatory actions due to the U.S.-China tension, such changes could have an adverse effect on our business, financial condition and results of operations, our ability to raise capital and the price of our ADSs.</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political tensions, international trade disputes could result in tariffs and other protectionist measures that could adversely affect our business and investor sentiment. The U.S. initiated certain trade actions, primarily higher tariffs, against China beginning in early 2018 and China took certain actions in retaliation. Although the two countries reached the so-called “Phase One” trade deal in January 2020, the long-term stability of their trade relationship remains uncertain. Higher tariffs could increase the cost of goods and services, which could affect our customers’ marketing budget or lead to generally lower levels of economic activity. Due to various political developments, including a new administration in the U.S. government, however, it remains unclear whether any “Phase 2” agreement will be negotiated and how much economic relief from the trade war it will offer. The imposed tariffs may cause the depreciation of the RMB currency and a contraction of certain PRC industries that will likely be affected by the tariffs. As we are expanding our business internationally, any unfavorable government policies on international trade, such as capital controls or tariffs, could also affect the demand for our products and services, impact our competitive position, or prevent us from being able to conduct business in certain countries. If any new tariffs, legislation or regulations are implemented or if existing trade agreements are renegotiated, including in relation to political developments in the relationship, such changes could have an adverse effect on our business, financial condition and results of operations. In addition, any escalation in existing trade tensions or the advent of a trade war or related news or rumors, could affect consumer confidence and have a material adverse effect on our business, results of operations and, ultimately, the trading price of the ADSs.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dividends and other distributions on equity paid by the Company’s subsidiaries incorporated in mainland China to fund any cash and financing requirements we may have, and any limitation on the ability of the Company’s subsidiaries incorporated in mainland China to make payments to us could have a material adverse effect on our ability to conduct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Cayman Islands exempted limited liability company, used as a holding company, and we rely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mainland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 Furthermore, the failure of our beneficial owners who are PRC residents to register or comply with the registration procedures set forth in SAFE Circular 37 and subsequent implementation rules, may also limit our PRC subsidiaries’ ability to distribute dividends to us. See “Item 3. Key Information—D. Risk Factors—Risks Related to Doing Business in China—PRC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entities incorporated in mainland China by holding companies incorporated outside mainland China and governmental control of currency conversion may delay or prevent us from using the proceeds of the fundraisings outside mainland China to make loans to or make additional capital contributions to the Company’s subsidiaries incorporated in mainland China, which could materially and adversely affect our liquidity and our ability to fund and expand our business.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Any funds we transfer to our PRC subsidiaries, either as a shareholder loan or as an increase in registered capital, are subject to approval by, registration or record filing with relevant governmental authorities in mainland China. According to the relevant PRC regulations on foreign-invested enterprises in mainland China, capital contributions to our PRC subsidiaries are subject to the requirement of making necessary filings in the Foreign Investment Comprehensive Management Information System, or FICMIS, and registration with other governmental authorities in mainland China. In addition, (i) any foreign loan procured by our PRC subsidiaries is required to be registered with the State Administration of Foreign Exchange, or SAFE, or its local branches, and (ii) except as otherwise regulated by laws or regulations each of our PRC subsidiaries may procure loans which do not exceed the difference between its registered capital and its total investment amount as recorded in FICMIS, or as an alternative, do not exceed the upper limit as specified in the Notice of the People’s Bank of China on Matters concerning the Macro-Prudential Management of Full-Covered Cross-Border Financing as promulgated by People’s Bank of China, or the PBOC, on January 11, 2017. Any medium or long term loan to be provided by us to our variable interest entity must be recorded and registered by the NDRC and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our offering and to capitalize our PRC operations may be negatively affected, which could adversely affect our liquidity and our ability to fund and expand our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2008,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 and operating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adverse effect on our results of operations and the price of our ADSs.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conversion of Renminbi into foreign currencies, including U.S. dollars, is based on rates set by the PBOC. The Renminbi has fluctuated against the U.S. dollar, at times significantly and unpredictably. The value of the Renminbi against the U.S. dollar and other currencies is affected by changes in mainland China’s political and economic conditions and by mainland China’s foreign exchange policies, among other things.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substantial portion of our revenues and costs are denominated in Renminbi, whereas our reporting currency is the U.S. dollar. Any significant appreciation or depreciation of the Renminbi may materially and adversely affect our revenues, earnings and financial position as reported in U.S. dollars. To the extent that we need to convert U.S. dollars we receive from our offshore fundraisings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Very limited hedging options are available in mainland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your investment.</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mainland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PRC subsidiaries are able to pay dividends in foreign currencies to us without prior approval from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mainland China to pay capital expenses such as the repayment of loans denominated in foreign currencies, as enterprises shall duly file the cross-border financing contracts according to the Circular of the PBOC on Matters relating to the Macro-prudential Management of Full-covered Cross-border Financing for the Issuance of Foreign Debts by Enterprise, or Circular on Management of Cross-border Financing, effective on January 11, 2017, and any medium or long term loan to be provided by foreign entities to domestic enterprises must be recorded and registered by the National Development and Reform Committee, or the NDRC, according to the Circular on Promoting the Administrative Reform of the Record- filing and Registration System for the Issuance of Foreign Debts by Enterprises, or Circular on Promoting the Administrative Reform, by the NDRC on September 14, 2015.</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light of the flood of capital outflows of mainland China in 2016 due to the weakening Renminbi, the PRC government has imposed more restrictive foreign exchange policies and stepped up scrutiny of major outbound capital movement. More restrictions and substantial vetting process are put in place by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the Anti-Monopoly Law promulgated by the Standing Committee of the National People’s Congress of the PRC, which became effective in 2008 requires that transactions which are deemed concentrations and involve parties with specified turnover thresholds must be cleared by MOFCOM before they can be completed. In addition, the Notice of the General Office of the State Council on Establishing the Security Review System for Mergers and Acquisitions of Domestic Enterprises by Foreign Investors which became effective in March 2011 requires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MOFCOM, may delay or inhibit our ability to complete such transactions, which could affect our ability to expand our business or maintain our market share.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SAFE Circular 37, PRC residents who participate in share incentive plans in overseas non-publicly-listed companies may submit applications to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SAFE in 2012, or the 2012 SAFE Notices. Pursuant to the 2012 SAFE Notices, PRC citizens and non-PRC citizens who reside in mainland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Failure to complete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Company—B. Business Overview—Regulation— Regulations on Foreign Exchange—Equity Incentive Plans.”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State Administration of Taxation, or the SAT, has issued certain circulars concerning employee share options and restricted shares. Under these circulars, our employees working in mainland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Company—B. Business Overview—Regulation—Regulations on Foreign Exchange—Equity Incentive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as required by PRC regulations may subject us to penalties.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Companies operating in mainland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mainland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or the EIT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as amended on December 29, 2017, known as Circular 82, which provides certain specific criteria for determining whether the “de facto management body” of a PRC-controlled enterprise that is incorporated offshore is located in mainland China. Although this circular applies only to offshore enterprises controlled by PRC enterprises or PRC enterprise groups, not those controlled by PRC individuals or foreigners like us,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mainland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mainland China is a PRC resident enterprise for PRC tax purposes. See “Item 10. Additional Information—E. Taxation—People’s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mainland China, it remains unclear how the tax residency rule will apply to our case. If the PRC tax authorities determine that iClick Interactive Asia Group Limited or any of our subsidiaries outside of mainland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PRC income tax on dividends from us or on any gain realized on the transfer of our ordinary shares.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mainland China may not qualify for benefits under such tax treaties or arrangements.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EIT Law, a withholding tax rate of 10% currently applies to dividends paid by a PRC “resident enterprise” to a foreign enterprise investor, unless any such foreign investor’s jurisdiction of incorporation has a tax treaty with mainland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SAT,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Taxpayers to Enjoy Treatments under Tax Treaties, which became effective on January 1, 2020,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“Item 10. Additional Information—E. Taxation—People’s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indirect transfers of equity interests in PRC resident enterprises by their non-PRC holding companies.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(i) has an effective tax rate less than 12.5% or (ii) does not tax foreign income of its residents, the non-resident enterprise, being the transferor, shall report to the competent tax authority of the PRC resident enterprise this Indirect Transfer.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applicable taxes will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17, 2017, SAT issued the Announcement on Issues Relating to Withholding at Source of Income Tax of Non-resident Enterprises, or SAT Circular 37, effective in December 2017, which supersedes SAT Circular 698 as a whole and partially amended some provisions in SAT Circular 7. SAT Circular 37 further reduces the burden of withholding obligator, such as revocation of contract filing requirements and tax liquidation procedures, strengthens the cooperation of tax authorities in different places, and clarifies the calculation of tax payable and conversion of foreign exchange.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Public Notice 7 and SAT Circular 37. For transfer of shares in our company by investors that are non-PRC resident enterprises, our PRC subsidiaries may be requested to assist in the filing under SAT Public Notice 7 and SAT Circular 37. As a result, we may be required to expend valuable resources to comply with SAT Public Notice 7 and SAT Circular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Recent litigation and negative publicity surrounding China-based companies listed in the U.S. may result in increased regulatory scrutiny of us and negatively impact the trading price of the ADSs and could have an adverse effect upon our business, including our results of operations, financial condition, cash flows and prospects.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China that are listed in the U.S. have negatively impacted stock prices for these companies. Various equity-based research organizations have published reports on China-based companies after examining their corporate governance practices, related party transactions, sales practices and financial statements, and these reports have led to special investigations and listing suspensions on U.S.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an adverse effect upon our business, including our results of operations, financial condition, cash flows and prospects.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 Act, if the PCAOB is unable to inspect or fully investigate auditors located in mainland China or Hong Kong. The delisting of our ADSs, or the threat of their being delisted, may materially and adversely affect the value of your investment.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HFCA Act, if the SEC determines that we have filed audit reports issued by a registered public accounting firm that has not been subject to inspections by the PCAOB for two consecutive years, the SEC will prohibit our securities, including our ADSs, from being traded on a national securities exchange or in the over-the-counter trading market in the United States.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June 1, 2022, the SEC conclusively listed us as a Commission-Identified Issuer under the HFCA Act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As a result, we were not for the fiscal year of 2022, and do not expect to be for the fiscal year of 2023 or the foreseeable future, a Commission-Identified Issuer under the HFCA Act in respect of our annual report on Form 20-F. Pursuant to amendment made to the HFCA Act in 2022, the PCAOB may determine that it is unable to inspect or investigate completely registered public accounting firms in any foreign jurisdictions because of positions taken by any foreign authority, rather than an authority in the location in which the firms are headquartered or in which they have a branch or office, as was the case under the original version of the HFCA Act. However, the PCAOB stated that should PRC authorities obstruct the PCAOB’s ability to inspect or investigate completely in any way and at any point in the future, the PCAOB Board will act immediately to consider the need to issue new determinations consistent with the HFCA Act. While we currently do not expect the HFCA Act to prevent us from maintaining the trading of our ADSs in the U.S., uncertainties exist with respect to future determinations of the PCAOB in this respect and any further legislative or regulatory actions to be taken by the U.S. or Chinese regulators that could affect our listing status in the U.S. The delisting of our ADSs, or the threat of their being delisted, may materially and adversely affect the value of your investment.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ADSs may be volatile.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Since our ADSs became listed on NASDAQ Global Market on December 21, 2017, the trading price of our ADSs has ranged from US$0.21 to US$19.10 per ADS (trading price presented here reflected actual trading price, without retrospectively applied ratio change). The trading prices of our ADSs are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Furthermore, as a result of the narrow band of our ADSs publicly available for trading, small trades can cause significant percentage changes in valuation in a short time period. Such volatility may affect the attitude of investors towards our securities,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which may have a material adverse effect on the market price of our ADSs.</w:t>
      </w:r>
    </w:p>
    <w:p>
      <w:pPr>
        <w:spacing w:after="0" w:line="19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above factors, the price and trading volume of our ADSs may be highly volatile due to multiple other factors, including the following:</w:t>
      </w:r>
    </w:p>
    <w:p>
      <w:pPr>
        <w:spacing w:after="0" w:line="162" w:lineRule="exact"/>
        <w:rPr>
          <w:sz w:val="20"/>
          <w:szCs w:val="20"/>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our clients and end marketers,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online marketing industry and SaaS industry;</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solutions and service offerings or those of our competitors;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providers of marketing solutions;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in or revisions to our expected results;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and service offerings, acquisitions, strategic relationships, joint ventures or capital commitments;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management or our industry;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Renminbi and the U.S. dollar;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ordinary shares or ADSs;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ordinary shares or ADSs;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repurchase program;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investing actions.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stock market in general, and the market prices for internet-related companies and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ADSs, regardless of our actual operating performance. In addition, any negative publicity of other Chinese companies may also negatively affect the attitudes of investors towards Chinese companies in general, including us, regardless of whether we have engaged in any inappropriate activities. In particular, the global financial crisis, the Russia-Ukraine conflict, the Hamas-Israel conflict, the economic recessions and deterioration in the credit market in many countries have contributed and may continue to contribute to extreme volatility in the global stock markets. These broad market and industry fluctuations may adversely affect the market price of our ADSs. Volatility or a lack of positive performance in our ADS price may also adversely affect our ability to retain key employees, most of whom have been granted options or other equity incentives.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ADSs may not comply with the minimum listing requirements of the NASDAQ.</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ADSs are currently listed on the NASDAQ Global Market. In order to maintain listing on the NASDAQ, we must satisfy minimum financial and other continued listing requirements and standards. If we were not able to maintain compliance with this requirement or any other applicable listing standard of the NASDAQ, our ADSs would be subject to delisting. In the event that our ADSs are delisted from the NASDAQ and are not eligible for quotation or listing on another market or exchange, trading of our ADSs could be conducted only in the over-the-counter market established for unlisted securities such as OTC markets. In such event, it could become more difficult to dispose of, or obtain accurate price quotations for our ADSs, which could cause the price of our ADSs to decline further. As a result, our ability to obtain adequate financing for the continuation of our operations would be substantially impaired, which could have a material adverse effect on our financial condition and results of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that any share repurchase program will enhance long-term shareholder value, and share repurchases could increase the volatility of the trading price of the ADSs and could diminish our cash reserves.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announced a share repurchase program in December 2022 to purchase up to US$5 million of the ADSs, which has expired at the end of 2023. As of December 31, 2023, we repurchased approximately US$0.2 million of the ADSs under this share repurchase program. We may adopt new share repurchase program in the future. If adopted, our share repurchase program could affect the price of the ADSs and increase volatility and may be suspended or terminated at any time, which may result in a decrease in the trading price of the ADSs. For example, the existence of a share repurchase program could cause the price of the ADSs to be higher than it would be in the absence of such a program and could potentially reduce the market liquidity for the ADSs. Additionally, our share repurchase program could diminish our cash reserves, which may impact our ability to finance future growth and to pursue possible future strategic opportunities. There can be no assurance that any share repurchases will enhance shareholder value because the market price of the ADSs or our ordinary shares may decline below the levels at which we determine to repurchase the ADSs or our ordinary shares. We cannot guarantee that any share repurchase program we adopt will be fully consummated or that it will enhance long-term shareholder value.</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20 votes per share based on our dual-class share structure.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0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of April 30, 2024, Mr. Jian Tang, our chairman of the board, chief executive officer and co-founder, and Mr. Sammy Hsieh, our director and co-founder, beneficially owned an aggregate of 4,385,078 Class B ordinary shares. As of the same date, Baozun Inc., or Baozun, beneficially owned 649,349 Class B ordinary shares. Due to the disparate voting powers associated with our dual-class share structure, Mr. Hsieh and Mr. Tang, collectively beneficially owned approximately 60.8%, and Baozun beneficially owned approximately 9.8%, of the aggregate voting power of the Company as of April 30, 2024. See “Item 6. Directors, Senior Management and Employees— E. Share Ownership.” As a result of the dual-class share structure and the concentration of ownership, Mr. Hsieh, Mr. Tang and Baozun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7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directors and officers collectively beneficially owned an aggregate of 60.8% of the total voting power of our outstanding ordinary shares as of April 30, 2024. See “Item 6. Directors, Senior Management and Employees—E. Share Ownership.” As a result, they have substantial influence over our business, including significant corporate actions such as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ADS holders. In addition, the significant concentration of share ownership may adversely affect the trading price of the ADSs due to investors’ perception that conflicts of interest may exist or arise.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incentives, which may result in increased share based compensation expenses.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granted, and may continue to grant, share incentives to employees, directors and advisors to incentivize their performance and align their interests with ours.</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April 30, 2024, options to purchase 273,050 Class A ordinary shares were outstanding under our 2018 Plan, and they were vested and unexercised options.</w:t>
      </w:r>
    </w:p>
    <w:p>
      <w:pPr>
        <w:spacing w:after="0" w:line="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April 30, 2024, 566,185 Class A ordinary shares were outstanding under our Post-IPO Plan, representing the shares underlying the unvested 566,185 restricted Class A ordinary shares units.</w:t>
      </w:r>
    </w:p>
    <w:p>
      <w:pPr>
        <w:spacing w:after="0" w:line="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account for shared-based compensation for these share incentive awards using a fair value based method and recognize expenses in our consolidated statements of comprehensive loss in accordance with U.S. GAAP. We will incur additional share based compensation expenses in the future as we continue to grant share incentives using the ordinary shares reserved for this platform. We believe the granting of share-based compensation is of significant importance to our ability to attract and retain key personnel and employees, and we will continue to grant share-based compensation to them in the future. As a result, our expenses associated with share-based compensation may increase, which may have an adverse effect on our results of operations.</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our ADSs could adversely affect their market price.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Certain holders of our ordinary shares have rights, subject to certain conditions, to require us to file registration statements covering their shares or to include their shares in registration statements that we may file for ourselves or other shareholders. We have also registered all ordinary shares that we may issue under our equity compensation plans. These shares can be freely sold in the public market subject to volume limitations applicable to affiliates. If any of these additional shares are sold, or if it is perceived that they will be sold, in the public market, the market price of our ADSs could decline.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market sales of securities held by our significant shareholders, including potential sales of our securities upon the conversion of our convertible notes, or any other shareholder or the availability of these securities for future sale will have on the market price of our ADSs.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ADSs for return on your investment.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memorandum and articles of association that contain anti-takeover provisions that could discourage a third party from acquiring us and adversely affect the rights of holders of our Class A ordinary shares and ADSs.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memorandum and articles of association contain certain provisions that could limit the ability of others to acquire control of our company, including a dual-class share structure that gives greater voting power to the Class B ordinary shares beneficially owned by Mr. Sammy Hsieh, Mr. Jian Tang and Baozun,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183" w:lineRule="exact"/>
        <w:rPr>
          <w:sz w:val="20"/>
          <w:szCs w:val="20"/>
          <w:color w:val="auto"/>
        </w:rPr>
      </w:pPr>
    </w:p>
    <w:p>
      <w:pPr>
        <w:ind w:left="1000" w:hanging="31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for certain events, including the establishment or amendment of certain equity based compensation plans and arrangements and certain transactions involving issuances of 20% or more interest in our company;</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independent directors on our board of directors;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independent directors being involved in the selection of director nominees and determination of executive officer compensation;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scheduled executive sessions of independent directors.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exempted limited liability company incorporated under the laws of the Cayman Islands. Our corporate affairs are governed by our memorandum and articles of association, the Companies Act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Cayman Islands courts are also unlikely:</w:t>
      </w:r>
    </w:p>
    <w:p>
      <w:pPr>
        <w:spacing w:after="0" w:line="225" w:lineRule="exact"/>
        <w:rPr>
          <w:sz w:val="20"/>
          <w:szCs w:val="20"/>
          <w:color w:val="auto"/>
        </w:rPr>
      </w:pPr>
    </w:p>
    <w:p>
      <w:pPr>
        <w:ind w:left="1000" w:hanging="31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or enforce against us judgments of courts of the United States based on certain civil liability provisions of U.S. securities laws; and</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liabilities against us, in original actions brought in the Cayman Islands, based on certain civil liability provisions of U.S. securities laws that are penal in nature.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lists of shareholders of these companies. Our directors will have discretion under our current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and enforcing judgments obtained against us, our directors or our officers, and the ability of U.S. authorities to bring actions against us, our directors or our officers in China may also be limited.</w:t>
      </w:r>
    </w:p>
    <w:p>
      <w:pPr>
        <w:spacing w:after="0" w:line="3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In addition, due to jurisdictional limitations, matters of comity and various other factors, the SEC, Department of Justice (“DOJ”) and other U.S. authorities may be limited in their ability to take enforcement actions, including in instances of fraud, against us or our directors and officers in China. In addition, shareholder claims that are common in the United States, including class action securities law and fraud claims, are generally uncommon in China.</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in limited circumstances, the depositary for our ADSs will give us a discretionary proxy to vote the Class A ordinary shares underlying your ADSs if you do not vote at shareholders’ meetings, which could adversely affect your interests.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(i) the granting of such discretionary proxy does not subject the depositary to any reporting obligations in the Cayman Islands, (ii) the granting of such proxy will not result in a violation of any applicable law, public rule or regulation in force in the Cayman Islands and (iii) the courts of the Cayman Islands will give effect to the voting arrangement and deemed instruction as contemplated in the proxy under Cayman Islands law.</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1000" w:right="20" w:hanging="31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and reports on Form 6-K relating to certain material events promptly after we publicly announce these events.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as a result of being a public company, and our compliance costs may continue to increase in the future.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incurred additional legal, accounting and other expenses as a public reporting company. For example, we are required to comply with additional requirements of the rules and regulations of the SEC and requirements of the NASDAQ Global Market, including applicable corporate governance practices.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were a passive foreign investment company, or PFIC, for United States federal income tax purposes for our prior taxable year and there is significant risk that we will be a PFIC for our current taxable year and in future taxable years, which could subject United States investors in our ADSs or ordinary shares to significant adverse U.S. federal income tax consequences.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non-U.S. corporation will be a “passive foreign investment company,” or “PFIC,” if, in any particular taxable year, either (a) 75% or more of its gross income for such year consists of certain types of “passive” income or (b) 50% or more of the average quarterly value of its assets (as determined on the basis of fair market value) during such year produce or are held for the production of passive income (the “asset test”). For this purpose, cash generally is treated as a passive asset. Goodwill is treated as an active asset under the PFIC rules to the extent attributable to activities that produce active income for these purposes. We will be treated as owning our proportionate share of the assets and earning our proportionate share of the income of any other corporation in which we own, directly or indirectly, 25% or more (by value) of the stock.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on our financial statements, the manner in which we conduct our business, the trading price of our ADSs, the value and nature of our assets and the sources and nature of our income, we believe we were a PFIC for our prior taxable year. Additionally, there is a significant risk that we will be a PFIC for our current taxable year and in future taxable years. The determination of whether we are a PFIC is made annually after the close of each taxable year. This determination is based on the facts and circumstances at that time, some of which may be beyond our control, such as the amount and composition of our income and the valuation and composition of our assets, including goodwill and other intangible assets, as implied by the market price of our ADSs and ordinary shares. In particular, because the value of our assets for purposes of the asset test may be determined by reference to the market price of our ADSs, fluctuations in market price of our ADSs and/or ordinary shares may cause us to be a PFIC in the current or subsequent taxable years. In addition, the composition of our income and assets will also be affected by how, and how quickly, we use our liquid assets. As the PFIC tests must be applied at the end of each year, and the composition of our income and assets and the value of its assets may change over time, there can be no assurance that we will not be a PFIC for any year in which a U.S. Holder holds its stock.</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a PFIC in any taxable year, U.S. Holders (as defined in “Item 10. Additional Information—E. Taxation—United States Federal Income Tax Considerations”) may incur significantly increased U.S. income tax on gain recognized on the sale or other disposition of the ADSs or ordinary shares and on the receipt of distributions on the ADSs or ordinary shares to the extent such gain or distribution is treated as an “excess distribution” under the U.S. federal income tax rules, and may be subject to burdensome reporting requirements. Further, if we are a PFIC for any year during which a U.S. Holder holds our ADSs or ordinary shares, the U.S. Holder generally will be required to continue to treat us as a PFIC for all succeeding years during which the U.S. Holder holds our ADSs or ordinary shares, even if we no longer satisfy the tests described above, unless the U.S. Holder makes a special “purging” election on U.S. Internal Revenue Service (“IRS”) Form 8621. For more information, see “Item 10. Additional Information—E. Taxation—United States Federal Income Tax Considerations—Passive Foreign Investment Company Rules.” U.S. Holders are urged to consult their own tax advisors regarding the U.S. federal income tax consequences of holding ordinary shares or ADSs in a PFIC.</w:t>
      </w:r>
    </w:p>
    <w:p>
      <w:pPr>
        <w:spacing w:after="0" w:line="1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9"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History and Development of the Company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commenced our online marketing business in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July 2015, we acquired all shares in OptAim Ltd., or OptAim, and substantially expanded our online marketing business into mobile channels to identify, engage and convert mobile marketing.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21, 2017, our ADSs commenced trading on Nasdaq Global Market under the symbol “ICLK.” We raised from our initial public offering approximately $23,325,000 in net proceeds after deducting underwriting commissions and the offering expenses payable by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2018, we launched a strategic growth initiative beyond our core online marketing operation to provide SaaS-based enterprise solutions. Our enterprise solutions help enterprise optimize their capabilities to leverage various types of data, and help them reduce costs and allow for easy integration with other platforms and applications. Our enterprise solutions help us foster closer relationship with our clients beyond digital marketing. Enterprises can make better and more informed choices during their decision-making process through our enterprise solutions.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November 14, 2022, we changed the ratio of our ADSs representing the Class A ordinary shares from one (1) ADS representing one-half (1/2) of one Class A ordinary share to one (1) ADS representing five (5) Class A ordinary shares.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24, 2023, the Company entered into the Merger Agreement with Parent and Merger Sub, pursuant to which Merger Sub will merge with and into the Company, with the Company continuing as the surviving company and becoming a wholly-owned subsidiary of Parent. On April 26, 2024, the Company (acting upon the recommendation of the Special Committee) exercised its right to terminate the Merger Agreement and demanded Parent to pay the Parent Termination Fee. As a result of the termination of the Merger Agreement, the proposed Merger did not complete. As of the date of this annual report, the Company has not received the Parent Termination Fee from either Parent or Rise Chain, even though the Company has sent notices to Rise Chain demanding it to pay the Parent Termination Fee pursuant to the Limited Guarantee executed between Rise Chain and the Company dated November 24, 2023. See “Item 3. Key Information—D. Risk Factors—Risks Related to Doing Business in China— The termination of the proposed Merger and potential related legal proceedings may materially and adversely affect our business, results of operations and the market price of our ADSs.” for more details.</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15/F, Prosperity Millennia Plaza, 663 King’s Road, Quarry Bay, Hong Kong S.A.R. Our telephone number at this address is (852) 3700 9000. Our registered office in the Cayman Islands is located at Maples Corporate Services Limited at PO Box 309, Ugland House, Grand Cayman, KY1-1104, Cayman Islands. Our internet address is www.i-click.com. The SEC also maintains an internet site at www.sec.gov that contains reports, proxy and information statements, and other information regarding registrants that make electronic filings with the SEC.</w:t>
      </w:r>
    </w:p>
    <w:p>
      <w:pPr>
        <w:spacing w:after="0" w:line="183"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Overview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leading enterprise and marketing cloud Platform in China. We offer a consumer full lifecycle solution that addresses our clients’ needs from traffic acquisition, customer relations management and business decisions optimization driven by data analytics in today’s smart retail era. With our industry-leading marketing solutions as our entry point, we support enterprises on digital operations to drive customer retention and loyalty and growing customer lifetime value with our intelligent data enterprise solutions.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marketing solutions serve as an integrated cross-channel gateway that provides marketers with innovative and cost-effective ways to optimize their online advertising efforts throughout their marketing cycle and achieve their branding and performance-based advertising goals. Our integrated data-driven marketing solutions help marketers engage and activate potential customers, monitor and measure the results of marketing campaigns, and create content catering to potential customers across different content distribution channels through both PC and mobile devices. Our marketing solutions appeal to marketers by offering omni-channel reach to the Chinese audience. We provide our clients with one-stop access to a wide variety of cross-channel content distribution opportunities, including those from leading online publishers in China. We work closely with our content distribution partners to facilitate innovative and effective audience engagement.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Leveraging our data analytics and experience and expertise in online marketing, we launched our SaaS-based enterprise solutions in May 2018. We keep enriching our data-driven enterprise solutions with technological innovation, and currently it is developed in the form of “SaaS+X” model. This model is supported by (i) self-developed software or Tencent cloud and leverage Tencent’s proprietary API connection and mini programs in Tencent’s WeChat ecosystem, (ii) our operational services for enterprises’ digitalization. Through the enterprise solutions, we are able to foster deeper relationship with clients beyond online marketing. We expect to be able to continue to enhance the quantity, quality, and diversity of our data assets and refine our product and service offerings to improve customer experience. Our ability to develop tailored enterprise solutions to our key account clients foster strong relationships with them.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interests and other online or offline behavioral patterns. As of March 31, 2024, we had analyzed approximately 2,675.1 million active profiled users or devices in terms of number of cookies that we place through internet browsers. Leveraging our sophisticated automation and deep learning technologies, we continually refine our big data analytics and update our user profiles to address the evolving needs of our clients, optimize the effectiveness of our solutions, and increase our operational efficiency while ensuring the stability of our data and platform as we scale up operations.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take a flexible approach to delivering our solutions in order to cater to the preferences and levels of internal resources and expertise of our clients. Our clients may choose to access our solutions through (i) self-service, under which they have the flexibility to utilize our solutions “a la carte” to complement their existing marketing resources, including through our software, under which they can use personalized, extensive and secured systems with various functions for advertising, data operation and social retail, and (ii) managed service, under which our account management team provides in-depth services utilizing our solutions that suit the clients’ specified objectives and budgets on marketing and digital operation.</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success of our solutions is evidenced by our strong, diverse and recurring client base from a broad range of industry verticals, including but not limited to personal care and beauty, banking and finance, fashion, travel and hospitality, and food and beverage. Our clients primarily include large enterprises, from different geographic regions in and outside China.</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our marketing solutions, we generate revenues primarily from clients’ marketing spend through our platform as they utilize our solutions in cost-plus and specified action marketing campaigns, and to a less extent from incentives granted by the publisher under our sales agency arrangement. In 2021, 2022 and 2023, our revenue from marketing solutions amounted to US$242.6 million, US$106.0 million and US$86.5 million, respectively. The decrease from 2022 to 2023 was primarily because we strategically reduced lower-margin, higher-risk businesses within the marketing solutions segment. The uncertainties of the macro-economic environment also led to a broad-based advertising market slowdown in China.</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our enterprise solutions, we generate revenue primarily from the upfront, on-going subscription and service fees our clients pay. In 2021, 2022 and 2023, our revenue from business solutions amounted to US$65.1 million, US63.1 million and US$46.7 million, respectively. The decrease from 2022 to 2023 was primarily due to the weaker demand from clients on digitalization products and services in light of a slowdown of China’s economy and the uncertain macroeconomic conditions. In addition, we offered competitive pricing as a result of clients’ tightened IT budget.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growth opportunities and driving force of our business also depend on the prosperity of the macro-economic environment, the marketing budget of medium and large customers, and our funds from external financing activities. China’s GDP growth rate for 2021, 2022 and 2023 is 8.5%, 3.0% and 5.2%. respectively. However, due to the uncertainties still existing in the macro-economic environment, many customers remain cautious in their advertising expenditure, and new investment in business digitalization. As a Chinese concept stock with small market capitalization, we are facing significant challenges in raising funds. We will closely monitor the needs and payment capabilities of our customers, to balance our own financial situation and cash position with business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 our suite of end-to-end solutions, enabled and supported by our extensive data set, sophisticated data analytics capabilities and cutting-edge technologies, we deliver highly integrated customer experience and address clients’ needs to:</w:t>
      </w:r>
    </w:p>
    <w:p>
      <w:pPr>
        <w:spacing w:after="0" w:line="162" w:lineRule="exact"/>
        <w:rPr>
          <w:sz w:val="20"/>
          <w:szCs w:val="20"/>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their potential customers;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and activate potential customers;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measure the results of online marketing campaigns;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content catering to their potential customers;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and operate personalized storefronts on social media platforms;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SaaS-based tools;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operational services and support;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data analytics to advise business decisions;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automation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Solutions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Leveraging our data analytics expertise and experience in online marketing, we have launched our enterprise solutions from May 2018 to help clients collect information from different consumer touchpoints, and integrate them into a single data management platform to drive sales and marketing decisions. Our enterprise solutions were initially established on WeChat, a widely used social platform in China that is owned and operated by Tencent Holdings Limited. We also further enrich and diversify our offering through self-developed software and provide operational services for digitalization on other third-party platforms, resulted in our “SaaS+X” model.</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“SaaS+X” component in our enterprise solutions include (i) data analytics SaaS tools and services; (ii) intelligent enterprise CRM SaaS tools and services; (iii) establishment and operation of client private domains; iv) smart retail tools and services. We continue to broaden our data sources, develop and upgrade SaaS modules and enhance the data functionality of these products so as to help clients better in business digitalization.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iAudience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iAudience is our market intelligence platform empowered by our proprietary data and cutting-edge marketing technology, to provide real-time insights of the target audiences and competitive landscapes in China, that allows enterprises to explore potential market opportunities and drive long-term business growth. Our clients can uncover target audiences by simply typing in a list of keywords, such as brand names, products of interest or competitors brand names and products, and iAudience will automatically suggest other keywords usually associated with, or used in, the relevant contexts, and then search our database of user profiles to identify the most relevant user profiles to target. In addition, iAudience’s market module provides 53 pre-defined market segments’ audience plans including travel, education, finance, automobile, real estate and more, with key analysis metrics to streamline the audience identification process for marketers in these industries, who can identify their desired user profiles and compare two market segments in just one click.</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iAudience’s brand module helps clients map out the brand positioning and competitive landscapes by showing the overlaps of their consumers and their competitors. This enables marketers to filter out brand loyalists from brand switchers for more effective, bespoke communication and implement the most appropriate content and marketing strategies to further grow their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154305</wp:posOffset>
            </wp:positionV>
            <wp:extent cx="5177790" cy="15773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77790" cy="157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iNsights 2.0</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2022, we released iNsights 2.0, our upgraded all-in-one marketing analytics platform, that extends our intelligent data analytics coverage from sole Web to both Web and WeChat Mini program ecosystem, enabling global brands gain unparalleled insights and achieve more effective data-driven marketing and smarter business decisions. Utilizing full-data analytics to produce key metrics, dimensions, reliable and accurate insights, iNsights 2.0 helps clients analyze their campaign performance to refine campaign strategies and guide future campaign planning. Through a user-friendly tracking functions, it not only helps brands create and track events and provide custom analysis for specific metrics to generate insights on campaign performance, such as most-clicked banners or most-engaged with gaming campaign, but also provides customized traffic source tracking paths, as well as custom QR codes for both online and offline campaigns and tailored segmentation capabilities for re-marketing campaigns. Furthermore, combining with iSuite products including iAccess, iNsights 2.0 forms a one-stop MarTech solution that optimizes cross-channel marketing campaigns and transforms data into actionable insights that allow brands to adopt precise remarketing strategies and retarget high-value customers. To summarize, iNsights 2.0 provides marketers with in-depth analyses, including:</w:t>
      </w:r>
    </w:p>
    <w:p>
      <w:pPr>
        <w:spacing w:after="0" w:line="122" w:lineRule="exact"/>
        <w:rPr>
          <w:sz w:val="20"/>
          <w:szCs w:val="20"/>
          <w:color w:val="auto"/>
        </w:rPr>
      </w:pPr>
    </w:p>
    <w:p>
      <w:pPr>
        <w:jc w:val="both"/>
        <w:ind w:left="1000" w:hanging="317"/>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path analysis—</w:t>
      </w:r>
      <w:r>
        <w:rPr>
          <w:rFonts w:ascii="Times New Roman" w:cs="Times New Roman" w:eastAsia="Times New Roman" w:hAnsi="Times New Roman"/>
          <w:sz w:val="18"/>
          <w:szCs w:val="18"/>
          <w:color w:val="auto"/>
        </w:rPr>
        <w:t>Holistic analysis of when, where and how a user interacts with various devices by the multiple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touch points he or she has come in contact with, including the “last mile” through which the user is converted, i.e., making a purchase or otherwise taking an action that the marketer desires; and</w:t>
      </w:r>
    </w:p>
    <w:p>
      <w:pPr>
        <w:spacing w:after="0" w:line="6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Cross-channel effectiveness analysis—</w:t>
      </w:r>
      <w:r>
        <w:rPr>
          <w:rFonts w:ascii="Times New Roman" w:cs="Times New Roman" w:eastAsia="Times New Roman" w:hAnsi="Times New Roman"/>
          <w:sz w:val="18"/>
          <w:szCs w:val="18"/>
          <w:color w:val="auto"/>
        </w:rPr>
        <w:t>Analysis of the effectiveness of the various marketing channels in achieving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marketing 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71"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E-commerce analysis—</w:t>
      </w:r>
      <w:r>
        <w:rPr>
          <w:rFonts w:ascii="Times New Roman" w:cs="Times New Roman" w:eastAsia="Times New Roman" w:hAnsi="Times New Roman"/>
          <w:sz w:val="18"/>
          <w:szCs w:val="18"/>
          <w:color w:val="auto"/>
        </w:rPr>
        <w:t>Analysis of e-commerce performance in metrics such as total sales, order amount, conversion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measure business growth and product performance including product views, individual product sales growth to facilitate product development and promotion strategies.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sample interface for our iNsights 2.0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111760</wp:posOffset>
            </wp:positionV>
            <wp:extent cx="5160645" cy="1414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60645" cy="141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also launched new data enterprise solutions including iParllay and iSCRM which utilize our SaaS capabilities to enrich our service offerings.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iParllay</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iParllay is our social commerce platform leveraging our customer management and marketing automation capabilities. It provides various solutions, including:</w:t>
      </w:r>
    </w:p>
    <w:p>
      <w:pPr>
        <w:spacing w:after="0" w:line="162" w:lineRule="exact"/>
        <w:rPr>
          <w:sz w:val="20"/>
          <w:szCs w:val="20"/>
          <w:color w:val="auto"/>
        </w:rPr>
      </w:pPr>
    </w:p>
    <w:p>
      <w:pPr>
        <w:ind w:left="1000" w:right="20" w:hanging="31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online-to-offline customer touch points, covering advertising, website, livestreaming, meeting, WeChat articles, social referral campaigns to draw high quality leads and build strong customer database;</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Unify sales leads from multiple channels, track customers’ lifestyle and nurture sales leads with marketing automation through well-organized enterprise customer database;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professional marketing services for business growth such as private domain traffic operation, KOL and social group marketing, social marketing campaigns, search engine optimization (“SEO”), search engine marketing (“SEM”) and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1540510</wp:posOffset>
            </wp:positionH>
            <wp:positionV relativeFrom="paragraph">
              <wp:posOffset>114300</wp:posOffset>
            </wp:positionV>
            <wp:extent cx="3223260" cy="4114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23260"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iSCRM</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iSCRM is our WeChat social customer relationship management (“SCRM”) that provides enterprises with WeChat private traffic management and operation. Our one-stop data management SaaS platform provides full-funnel services along the consumer journey by integrating online and offline sales, leveraging the power of Tencent ecosystem, providing mini-program development and operation, advertising, social customer relationship management and social communities. We offer three major integrated systems including WeCom SCRM, WeChat Mini-program and business intelligence with capabilities of precise private traffic data-driven marketing strategies, social community management, cross-channel online store operation and O2O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130810</wp:posOffset>
            </wp:positionV>
            <wp:extent cx="2674620" cy="2459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7462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data enterprise solutions, we also offer a suite of intelligent enterprise solutions. For example, we have built up tailored mini programs or mini program stores based on WeChat to fulfill specific requirements of our clients. The mini programs or mini program stores offer our clients not only a WeChat-based e-commerce marketplace but also an interface for them to directly engage with their consumers. We have also established a consumer data platform, or CDP, to address some legacy data silo issues our clients face in China. Our CDP facilitates AI-driven personalized marketing campaigns and drives precise and real-time retail and sales decisions such as store expansions, product selection and offerings to targeted customer segments, as well as personalized customer services. For example, it provides location-based services to target potential customers within 5km of a client’s physical store, attracting more traffic and enabling other marketing triggers.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Solutions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Audience Engagement and Activation Solutions: iAccess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iAccess is our cross-channel audience engagement and activation solution tailored for brand awareness-driven campaigns and performance-driven campaigns. iAccess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154305</wp:posOffset>
            </wp:positionV>
            <wp:extent cx="4097655" cy="11658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09765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and Data Analytics Capabilities and Technologies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Data Assets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data assets are the backbone of our solutions and data analytics capabilities. We had analyzed approximately 2,675.1 million active profiled users or devices in terms of number of cookies that we place through internet browsers in China as of March 31, 2024. According to the China Internet Network Information Center, there were 1,092 million internet users in China as of December 31, 2023 and the number of mobile internet users in China had reached 1,091 million up to December 31, 2023.</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social data and demographic data, as well as campaign performance data.</w:t>
      </w:r>
    </w:p>
    <w:p>
      <w:pPr>
        <w:spacing w:after="0" w:line="187" w:lineRule="exact"/>
        <w:rPr>
          <w:sz w:val="20"/>
          <w:szCs w:val="20"/>
          <w:color w:val="auto"/>
        </w:rPr>
      </w:pPr>
    </w:p>
    <w:p>
      <w:pPr>
        <w:jc w:val="both"/>
        <w:ind w:left="1000" w:hanging="317"/>
        <w:spacing w:after="0" w:line="258"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Intent data — </w:t>
      </w:r>
      <w:r>
        <w:rPr>
          <w:rFonts w:ascii="Times New Roman" w:cs="Times New Roman" w:eastAsia="Times New Roman" w:hAnsi="Times New Roman"/>
          <w:sz w:val="18"/>
          <w:szCs w:val="18"/>
          <w:color w:val="auto"/>
        </w:rPr>
        <w:t>Intent data refers to data that indicates the various intent of a user. Intent data directly identifies the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immediate needs of 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data — </w:t>
      </w:r>
      <w:r>
        <w:rPr>
          <w:rFonts w:ascii="Times New Roman" w:cs="Times New Roman" w:eastAsia="Times New Roman" w:hAnsi="Times New Roman"/>
          <w:sz w:val="18"/>
          <w:szCs w:val="18"/>
          <w:color w:val="auto"/>
        </w:rPr>
        <w:t>Interest data refers to the category and semantic meaning of the content of websites and apps that a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visits, including visit 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transactional data — </w:t>
      </w:r>
      <w:r>
        <w:rPr>
          <w:rFonts w:ascii="Times New Roman" w:cs="Times New Roman" w:eastAsia="Times New Roman" w:hAnsi="Times New Roman"/>
          <w:sz w:val="18"/>
          <w:szCs w:val="18"/>
          <w:color w:val="auto"/>
        </w:rPr>
        <w:t>Online transactional data refers to a user’s behavior on online commerce platforms,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items he or she is 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clients.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6"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Social data — </w:t>
      </w:r>
      <w:r>
        <w:rPr>
          <w:rFonts w:ascii="Times New Roman" w:cs="Times New Roman" w:eastAsia="Times New Roman" w:hAnsi="Times New Roman"/>
          <w:sz w:val="18"/>
          <w:szCs w:val="18"/>
          <w:color w:val="auto"/>
        </w:rPr>
        <w:t>Social data refers a user’s behavior on social networks, such as Sina Weibo and Tencent QZone,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content the user shares from websites or apps via social sharing toolbars, and the content the user posts, shares on the social networks, his or her “social graph,” such as his or her “friends” and “followers” and other behavior data the user publicly shares on social networks. Social 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Demographic data — </w:t>
      </w:r>
      <w:r>
        <w:rPr>
          <w:rFonts w:ascii="Times New Roman" w:cs="Times New Roman" w:eastAsia="Times New Roman" w:hAnsi="Times New Roman"/>
          <w:sz w:val="18"/>
          <w:szCs w:val="18"/>
          <w:color w:val="auto"/>
        </w:rPr>
        <w:t>Demographic data refers to a user’s age, gender, income level and geographic location. In addition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inferred demographic 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Campaign performance data — </w:t>
      </w:r>
      <w:r>
        <w:rPr>
          <w:rFonts w:ascii="Times New Roman" w:cs="Times New Roman" w:eastAsia="Times New Roman" w:hAnsi="Times New Roman"/>
          <w:sz w:val="18"/>
          <w:szCs w:val="18"/>
          <w:color w:val="auto"/>
        </w:rPr>
        <w:t>Campaign performance data refers to a user’s interaction with, and response to, a given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message, 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client campaigns, and through our data collaboration arrangements with selected third-party data partners.</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distill structured variables from large volume of unstructured data to construct context-rich user profiles. As of March 31, 2024, we analyzed approximately 2,675.1 million active profiled users or devices in terms of number of cookies that we place through internet browsers.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Data Analytics Capabilities and Technologies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apply data science technologies extensively throughout the online marketing cycle to support audience tracking, profiling and segmentation and to execute cost-efficient decisions on real-time audience engagement. We also launched a strategic growth initiative on enterprise solutions, leveraging our data analytics expertise and experience in online marketing. Our proprietary data analytics capabilities and technologies include: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 Learning and Artificial Intelligence</w:t>
      </w:r>
    </w:p>
    <w:p>
      <w:pPr>
        <w:spacing w:after="0" w:line="227" w:lineRule="exact"/>
        <w:rPr>
          <w:sz w:val="20"/>
          <w:szCs w:val="20"/>
          <w:color w:val="auto"/>
        </w:rPr>
      </w:pPr>
    </w:p>
    <w:p>
      <w:pPr>
        <w:jc w:val="both"/>
        <w:ind w:left="1000" w:hanging="317"/>
        <w:spacing w:after="0" w:line="258"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Audience tracking engine — </w:t>
      </w:r>
      <w:r>
        <w:rPr>
          <w:rFonts w:ascii="Times New Roman" w:cs="Times New Roman" w:eastAsia="Times New Roman" w:hAnsi="Times New Roman"/>
          <w:sz w:val="18"/>
          <w:szCs w:val="18"/>
          <w:color w:val="auto"/>
        </w:rPr>
        <w:t>Our audience tracking engine monitors our audience across various devices and channels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identify which user has 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including de-duplication of multiple devices to a user.</w:t>
      </w:r>
    </w:p>
    <w:p>
      <w:pPr>
        <w:spacing w:after="0" w:line="183" w:lineRule="exact"/>
        <w:rPr>
          <w:rFonts w:ascii="Times New Roman" w:cs="Times New Roman" w:eastAsia="Times New Roman" w:hAnsi="Times New Roman"/>
          <w:sz w:val="18"/>
          <w:szCs w:val="18"/>
          <w:color w:val="auto"/>
        </w:rPr>
      </w:pPr>
    </w:p>
    <w:p>
      <w:pPr>
        <w:jc w:val="both"/>
        <w:ind w:left="1000" w:right="20" w:hanging="317"/>
        <w:spacing w:after="0" w:line="261"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Contextual analysis engine — </w:t>
      </w:r>
      <w:r>
        <w:rPr>
          <w:rFonts w:ascii="Times New Roman" w:cs="Times New Roman" w:eastAsia="Times New Roman" w:hAnsi="Times New Roman"/>
          <w:sz w:val="18"/>
          <w:szCs w:val="18"/>
          <w:color w:val="auto"/>
        </w:rPr>
        <w:t>Our contextual analysis engine parses all data properties to understand the context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which audiences are 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Natural language processing (NLP) algorithms — </w:t>
      </w:r>
      <w:r>
        <w:rPr>
          <w:rFonts w:ascii="Times New Roman" w:cs="Times New Roman" w:eastAsia="Times New Roman" w:hAnsi="Times New Roman"/>
          <w:sz w:val="18"/>
          <w:szCs w:val="18"/>
          <w:color w:val="auto"/>
        </w:rPr>
        <w:t>Our NLP algorithms are important elements of our contextual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 We use these algorithms to extract structure from unstructured data, so that it can be processed and analyzed effectively. Our NLP algorithms are 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Predictive Analytics</w:t>
      </w:r>
    </w:p>
    <w:p>
      <w:pPr>
        <w:spacing w:after="0" w:line="227" w:lineRule="exact"/>
        <w:rPr>
          <w:sz w:val="20"/>
          <w:szCs w:val="20"/>
          <w:color w:val="auto"/>
        </w:rPr>
      </w:pPr>
    </w:p>
    <w:p>
      <w:pPr>
        <w:jc w:val="both"/>
        <w:ind w:left="1000" w:hanging="317"/>
        <w:spacing w:after="0" w:line="261"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User profiling engine — </w:t>
      </w:r>
      <w:r>
        <w:rPr>
          <w:rFonts w:ascii="Times New Roman" w:cs="Times New Roman" w:eastAsia="Times New Roman" w:hAnsi="Times New Roman"/>
          <w:sz w:val="18"/>
          <w:szCs w:val="18"/>
          <w:color w:val="auto"/>
        </w:rPr>
        <w:t>Combining the data collected through, and processed by, our contextual analysis engine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audience tracking engine, our 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Profile Segmentation Algorithms — </w:t>
      </w:r>
      <w:r>
        <w:rPr>
          <w:rFonts w:ascii="Times New Roman" w:cs="Times New Roman" w:eastAsia="Times New Roman" w:hAnsi="Times New Roman"/>
          <w:sz w:val="18"/>
          <w:szCs w:val="18"/>
          <w:color w:val="auto"/>
        </w:rPr>
        <w:t>We use various algorithms to organize user profiles, which are generated and updated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dynamically in real time, responding to real time changes in user interests and needs. This allows for accurate and detailed segmentation of user interests through multiple dimensions, e.g. by user interest keywords and user interest categories.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Real-Time Matching Technologies</w:t>
      </w:r>
    </w:p>
    <w:p>
      <w:pPr>
        <w:spacing w:after="0" w:line="227" w:lineRule="exact"/>
        <w:rPr>
          <w:sz w:val="20"/>
          <w:szCs w:val="20"/>
          <w:color w:val="auto"/>
        </w:rPr>
      </w:pPr>
    </w:p>
    <w:p>
      <w:pPr>
        <w:jc w:val="both"/>
        <w:ind w:left="1000" w:hanging="317"/>
        <w:spacing w:after="0" w:line="258"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Real-time user engagement algorithms — </w:t>
      </w:r>
      <w:r>
        <w:rPr>
          <w:rFonts w:ascii="Times New Roman" w:cs="Times New Roman" w:eastAsia="Times New Roman" w:hAnsi="Times New Roman"/>
          <w:sz w:val="18"/>
          <w:szCs w:val="18"/>
          <w:color w:val="auto"/>
        </w:rPr>
        <w:t>Our real time user engagement algorithms execute marketing decisions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wide range of 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continuous real-time bid optimization algorithms — </w:t>
      </w:r>
      <w:r>
        <w:rPr>
          <w:rFonts w:ascii="Times New Roman" w:cs="Times New Roman" w:eastAsia="Times New Roman" w:hAnsi="Times New Roman"/>
          <w:sz w:val="18"/>
          <w:szCs w:val="18"/>
          <w:color w:val="auto"/>
        </w:rPr>
        <w:t>Our online continuous real-time bid optimization algorithms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a wide range of 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collect data solely to analyze audience and campaign performance. In order to identify each user profile and to protect data privacy, we develop an approach to assign each profile to a corresponding unique profile number based on our proprietary indexing methodology. We then use that number as the anonymous identification for the profile and associate it with all related data. In general, we do not collect personally identifiable information. If such information is inadvertently obtained by us, our policy is to immediately delete such information.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treat all information we collect as confidential. We have set up proper control such as encryption and access right on these information. We do not disclose any information we gather from a marketer or any third party data partner unless such disclosure is approved by it, which in turn has obtained end user consent.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put in place appropriate physical, electronic and managerial procedures to safeguard and secure our data assets, including to prevent and detect any unauthorized access and data breach, to preserve their integrity and to ensure their appropriate use.</w:t>
      </w:r>
    </w:p>
    <w:p>
      <w:pPr>
        <w:spacing w:after="0" w:line="162" w:lineRule="exact"/>
        <w:rPr>
          <w:sz w:val="20"/>
          <w:szCs w:val="20"/>
          <w:color w:val="auto"/>
        </w:rPr>
      </w:pPr>
    </w:p>
    <w:p>
      <w:pPr>
        <w:jc w:val="both"/>
        <w:ind w:left="1000" w:hanging="317"/>
        <w:spacing w:after="0" w:line="258"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software level, we maintain login information across all our computer systems to control access, and individuals with different levels or job duties are assigned different levels of access permissions. For example, only high-level technology personnel, including head of system operations and certain other technical developments leaders have root access to our operation system; and only database managers have access to the relevant database. We have central controls to govern user roles and permissions.</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hardware levels, our servers are located at our offices and IDCs, and only system operation personnel have access to our servers. In addition, we have established hardware firewall where all traffic is inspected and filtered according to a comprehensive set of rules. We conduct comprehensive security reviews of our data assets on a regular basis and ad hoc security reviews from time to time as special needs arise.</w:t>
      </w:r>
    </w:p>
    <w:p>
      <w:pPr>
        <w:spacing w:after="0" w:line="17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perform the monitoring and maintenance of our data privacy and security mechanism on a regular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 regular vulnerability scanning on website or web application to identify any weak configuration or vulnerabilities. We apply patch regularly and fix any configuration issues.</w:t>
      </w:r>
    </w:p>
    <w:p>
      <w:pPr>
        <w:spacing w:after="0" w:line="16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monitor any suspicious network traffic regularly including unexpected outgoing traffic such as huge data exfiltration volume and suspicious DNS query. We gather any events or alerts from servers and endpoints with security information and event management facility to set up alerts for any abnormal events or potential security breach.</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secure and monitor privileged access, particularly on Internet accessible accounts such as web or cloud hosting, and implement multi-factor authentication on these accounts.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give sufficient priority to develop and upgrade our mechanism to protect data and prevent data leakage. We also endeavor to build up cyber threat intelligence capability to complement the detection mechanisms. As a testament to our dedication to data security and protection, we are not only in compliance with General Data Protection Regulation (“GDPR”), agreed upon by the European Parliament and Council in April 2016 but also qualified for the third level of information system security in mainland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Infrastructure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platform is built on a highly scalable and reliable cloud-based technology architecture. This allows us to harness large quantities of real-time data and ensures high speed performance at a large scale to accommodate more clients and increased complexity of their online marketing campaigns.</w:t>
      </w:r>
    </w:p>
    <w:p>
      <w:pPr>
        <w:spacing w:after="0" w:line="174" w:lineRule="exact"/>
        <w:rPr>
          <w:sz w:val="20"/>
          <w:szCs w:val="20"/>
          <w:color w:val="auto"/>
        </w:rPr>
      </w:pPr>
    </w:p>
    <w:p>
      <w:pPr>
        <w:jc w:val="both"/>
        <w:ind w:left="1000" w:hanging="317"/>
        <w:spacing w:after="0" w:line="25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Real-time analytics — </w:t>
      </w:r>
      <w:r>
        <w:rPr>
          <w:rFonts w:ascii="Times New Roman" w:cs="Times New Roman" w:eastAsia="Times New Roman" w:hAnsi="Times New Roman"/>
          <w:sz w:val="18"/>
          <w:szCs w:val="18"/>
          <w:color w:val="auto"/>
        </w:rPr>
        <w:t>Our cloud-based technology architecture is built to be fully distributed while having a single unified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layer. Large 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 time to our data, providing the most up-to-date and accurate representations of a user’s traits and online behavior.</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57"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 </w:t>
      </w:r>
      <w:r>
        <w:rPr>
          <w:rFonts w:ascii="Times New Roman" w:cs="Times New Roman" w:eastAsia="Times New Roman" w:hAnsi="Times New Roman"/>
          <w:sz w:val="18"/>
          <w:szCs w:val="18"/>
          <w:color w:val="auto"/>
        </w:rPr>
        <w:t>With modular architecture that is built to be horizontally scalable, our platform can be easily expanded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storage requirements and client base increase. Our data repositories are clustered and our data processing architecture is distributed in several cities in mainland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182" w:lineRule="exact"/>
        <w:rPr>
          <w:rFonts w:ascii="Times New Roman" w:cs="Times New Roman" w:eastAsia="Times New Roman" w:hAnsi="Times New Roman"/>
          <w:sz w:val="18"/>
          <w:szCs w:val="18"/>
          <w:color w:val="auto"/>
        </w:rPr>
      </w:pPr>
    </w:p>
    <w:p>
      <w:pPr>
        <w:jc w:val="both"/>
        <w:ind w:left="1000" w:right="20" w:hanging="317"/>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Reliability — </w:t>
      </w:r>
      <w:r>
        <w:rPr>
          <w:rFonts w:ascii="Times New Roman" w:cs="Times New Roman" w:eastAsia="Times New Roman" w:hAnsi="Times New Roman"/>
          <w:sz w:val="18"/>
          <w:szCs w:val="18"/>
          <w:color w:val="auto"/>
        </w:rPr>
        <w:t>Our technology layers have built hardware redundancy and will switch if errors are detected. We built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on a distributed computing architecture. 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Distribution Channels and Social Medial Platform Partners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our marketing solutions, we provide marketers with one-stop access to a wide variety of cross-channel content distribution opportunities in China through our deep relationship with content distribution channel partners, which primarily include mobile and online publishers, major search engines and ad exchanges. For example, we purchase or promote content distribution opportunities on content distribution channels, including premium channels such as Tencent, Baidu, Google and Alibaba. Media cost for content distribution opportunities on Tencent, Baidu, Google and Alibaba channels in aggregate accounted for 55.5%, 56.0% and 83.1% of our media costs in 2021, 2022 and 2023, respectively. Media cost for content distribution opportunities on our largest and second largest channel partners accounted for 76.2% and 7.0% of our media cost in 2023,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our enterprise solutions, we currently collaborate with Tencent and other social media platforms for the operating environment of our enterprise solutions. We primarily deliver our enterprise products on WeChat in the form of WeChat Mini Programs and WeChat Official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sell our solutions primarily by entering into sales contracts with marketers, marketing agencies or other merchants. We enter into marketing campaign contracts with marketers and marketing agencies for our marketing solutions and service contracts with merchants, many of who are also our marketers for our enterprise solutions. We treat entities which enter into sales contracts with us and incur spending during the relevant period as our clients. Therefore, we count specific sub-brands or divisions within the same brand or holding company as distinct clients so long as we have signed campaign contracts with different entities. For our marketing solutions, our clients include both marketers who have direct contractual relationships with us, or direct marketer clients, and marketing agency clients. Our “end marketers,” or “marketers” comprise marketers we serve, either directly or through marketing agencies, regardless if they have direct contractual relationship with us. In 2023, we had 1,838 marketers, including 965 marketers represented by our marketing agency clients.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marketers span a diverse array of industry segments, with gaming, entertainment and media, personal care and beauty, e-commerce, education &amp; training, and automobile and petroleum being among the top five in terms of gross billing contribution in 2023. They also feature companies of different sizes. Our marketers come from a variety of regions, with headquarters in Europe, North America, or Asia. In determining the geographic classification of revenue, we look at the geographic location of our subsidiaries or the VIE entities which executed the marketing campaign contract. Our subsidiaries or the VIE entities in mainland China generally are our signing entities for marketing campaign contracts with clients which are based in mainland China. Our Singapore subsidiary generally is our signing entity for marketing campaign contracts with clients based in Southeast Asia. Our Hong Kong subsidiaries generally are our signing entities for marketing campaign contracts with other clients.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gross billing per client decreased by US$177,052, or 54%, from US$328,870 in 2021 to US$151,818 in 2022, while slightly decreased by US$2,205, or 1%, from US$151,818 in 2022 to US$149,613 in 2023. Relatedly, the total number of clients that we served decreased by 23% from 2,423 in 2021 to 1,859 in 2022, and decreased by 27% from 1,859 in 2022 to 1,350 in 2023. The decreases in gross billing per client and the total number of clients from 2022 to 2023 were primarily due to our continued strategy of reducing lower-margin and higher-risk businesses in the marketing solutions segment.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2021 and 2022, we did not derive over 10% of our net revenues from a marketer. In 2023, we derived 11% of our net revenues from a marketer in the banking and finance industry.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Business Development and Account Management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sales and business development workforce is mainly focused on attracting more clients for our marketing solutions and enterprise solutions, and optimizing the client base to focus on profitability and liquidity. Leveraging our existing positions and reputations in industry sectors where we already have a strong presence, we are able to attract more clients in those sectors. With marketing solutions as our entry point, we drive customer retention and loyalty with our data-driven enterprise solutions and growing customer lifetime value with our smart retail enterprise solutions. Our full-stack marketing and enterprise solutions allow cost-effective conversion of clients of our marketing solutions into clients of our enterprise solutions and vice versa, enabling us to lower our client acquisition costs compared to acquiring new clients separately.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are focused on diversifying our client base. We have partnered with local marketing agencies at selected first and second-tier cities in mainland China to expand our client base in industry segments where we have relatively less presence, as well as to attract and retain high quality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sales and business development team is organized by geographic region, and is further divided into groups that focus on sales to marketers or to marketing agencies in each geographic region.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Supporting our sales and business development team are our account managers under our operational support team, who help maintain and grow the accounts of our clients. While our intuitive user interfaces are designed to enable clients to easily deploy and utilize our solutions themselves with minimal customer support, we make online and telephonic helpdesk facilities available and provide onsite engineering support to clients and also assign account managers for our direct marketer clients and some of our marketing agency clients. Our account managers provide consultative services on the use of our solutions, and in addition, for our managed service clients, more in-depth servicing on campaign planning, execution and result measurement and analysis. As of December 31, 2023, we had 488 employees for sales, business development and account management.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use a variety of traditional and web-based channels to drive our brand awareness and generate demand, including through direct marketing, print advertising in trade journals, offline sales efforts and client referrals. We regularly attend trade shows and industry conferences,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continually enhancing and innovating our solutions, technologies and technical infrastructure. Our current R&amp;D initiatives include leveraging our technology from our marketing solutions to provide the consumer in-depth analysis, forming 360-degree consumer profiles and marketing automation to enhance our integrated solutions.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continuous R&amp;D resources devoted to the customization requirements from key account clients, we have launched a number of standard off-the-shelf products to cater to the strong needs of mid-end enterprises for our enterprises solutions. 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we had 2 patents and 258 computer software copyrights in China, and 98 registered trademarks in mainland China, Hong Kong, Singapore, Japan, Thailand and South Korea.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China’s independent online marketing technology market is highly competitive, fragmented and rapidly changing. We mainly compete with independent online marketing technology companies in China that offer marketing solutions through demand side platform and use advanced technologies to optimize marketing campaigns for marketers.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client base, deep knowledge and familiarity with China’s online marketing industry, and visionary leadership enable us to remain competitive.</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client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marketing solutions the way we do, they are major players in the online marketing technology industry as they provide online marketing technology and offer services and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our SaaS-based enterprise solutions, our competitors include local cloud-based commerce and marketing service providers, as well as WeChat-based third-party service providers in China. We may also face competition from international SaaS companies, which have longer operating histories, greater financial, technical, marketing, distribution, professional services or other resources and greater name recognition. In addition, many of our prospective competitors may have close relationship with our existing and new clients and bear an extensive knowledge of this industry. As a result, they may be able to respond more quickly to new or emerging technologies and changes in clients’ requirements, or devote greater resources to the development, promotion and sale of their products. We believe the principal competitive factors in our industries include the functionality of the products and services, user experience, technology capabilities, sale capabilities, pricing, brand recognition and reputation. In addition, new and enhanced technologies may further increase competition in our industries.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section sets forth a summary of the most significant regulations or requirements that affect our business activities in the PRC or our shareholders’ right to receive dividends and other distributions from 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Advertising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Advertising Law of the People’s Republic of China, promulgated by the Standing Committee of the National People’s Congress on April 24, 2015 and became effective on September 1, 2015 and was amended on October 27, 2018,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to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4, 2016, the State Administration for Industry and Commerce, or the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 them from designing, producing, providing services or publishing any advertisement if the content and the supporting documents do not match each other or the documentary evidence thereof are insufficient.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have developed certain advertising business management rules containing these mandatory content review and conduct requirements, and are establishing internal mechanisms to implement these rules.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Prior to June 29, 2015, we were regulated by the Regulations for the Administration of Foreign-Invested Advertising Enterprises, promulgated by the SAIC and MOFCOM, which prescribed certain conditions on foreign investors that invest in companies in advertising business in China. Among other things, such foreign investors shall have at least three years’ track record primarily engaging in advertising business and shall have obtained an Opinion on the Approval of Foreign-invested Advertising Enterprise Project, which is issued by the SAIC or its local counterparts. The Regulations for the Administration of Foreign-Invested Advertising Enterprises were abolished on June 29, 2015 by the SAIC after consultation with MOFCOM.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Information Service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and most recently amended on January 8, 2011, or the Internet Measures, and (iii) the Catalogue of Telecommunication Services, issued by the State Council on September 25, 2000, and most recently amended by the MIIT on June 6, 2019. According to the Internet Measures, “internet information services” include provision of information services through the internet to internet users. Since we have websites that provide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 certain restrictions on 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Value-added Telecommunication Services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September 25, 2000, the State Council promulgated the Telecommunications Regulations of the People’s Republic of China, or the Telecom Regulations, which was amended on July 29, 2014 and February 6, 2016. The Telecom Regulations is the primary PRC law governing telecommunication services and sets out the general regulatory framework for telecommunication services provided by PRC companies. The Telecom Regulations distinguishes between “basic telecommunication services” and “value-added telecommunication services.” The Telecom Regulations defines value-added telecommunications services as telecommunications and information services provided through public network infrastructures. Pursuant to the Telecom Regulations, commercial operators of value-added telecommunications services must first obtain an operating license from the MIIT, or its provincial level counterparts.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Catalog of Telecommunications Business, or the Catalog, which was issued as an attachment to the Telecom Regulations and updated on June 11, 2001, February 21, 2003, December 28, 2015 and June 6, 2019, further categorizes value-added telecommunication services into two classes: Class 1 value-added telecommunication services and Class 2 value-added telecommunication services. Information services provided via cable networks, mobile networks or internet fall within Class 2 value-added telecommunications services.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3, 2017, the MIIT issued the Administrative Measures for the Licensing of Telecommunications Business, or the Telecom Licensing Measures, which became effective on September 1, 2017, to supplement the Telecom Regulations. The Telecom Licensing Measures sets forth the types of licenses required to operate value-added telecommunications services and the qualifications and procedures for obtaining such licenses. The Telecom Licensing Measures also provides that an operator providing value-added services in multiple provinces is required to obtain an inter-regional license, whereas an operator providing value-added services in one province is required to obtain an intra-provincial license. Any telecommunication services operator must conduct its business in accordance with the specifications in its license.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Direct Investment in Value-Added Telecommunications Companies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Foreign direct investment in telecommunications companies in mainland China is governed by the Provisions on the Administration of Foreign-Invested Telecommunications Enterprises, which was promulgated by the State Council on December 11, 2001 and amended on September 10, 2008 and February 6, 2016. These regulations require that foreign-invested value-added telecommunications enterprises in mainland China must be established as Sino-foreign equity joint ventures and that the foreign investors may acquire up to 50% equity interests in such joint ventures. In addition, a major foreign investor in a value-added telecommunications business in mainland China must demonstrate a good track record and experience in operating value-added telecommunications businesses. Moreover, foreign investors that meet these requirements must obtain approvals from the MIIT and MOFCOM, to provide value-added telecommunication services in mainland China and the MIIT and MOFCOM retain considerable discretion in granting such approvals.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July 13, 2006, the Ministry of Information Industry, or the MII, released the Notice on Strengthening the Administration of Foreign Investment in the Operation of Value-added Telecommunications Business, or the MII Notice, pursuant to which, for any foreign investor to invest in telecommunications businesses in mainland China, a foreign-invested telecommunications enterprise must be established and such enterprise must apply for the relevant telecommunications business operation licenses. Furthermore, under the MII Notice, domestic telecommunications enterprises may not rent, transfer or sell a telecommunications business operation license to foreign investors in any form, and they may not provide any resources, premises, facilities and other assistance in any form to foreign investors for their illegal operation of any telecommunications business in mainland China. In addition, under the MII Notice, the internet domain names and registered trademarks used by a value-added telecommunication service operator shall be legally owned by such operator or its shareholders.</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Furthermore, the Guidance Catalog of Industries for Foreign Investment, or the Foreign Investment Catalog, the latest version of which was promulgated jointly by MOFCOM and the National Development and Reform Commission, or the NDRC, on June 28, 2017 and became effective on July 28, 2017, classifies businesses into three categories with regard to foreign investment:</w:t>
      </w:r>
    </w:p>
    <w:p>
      <w:pPr>
        <w:spacing w:after="0" w:line="1" w:lineRule="exact"/>
        <w:rPr>
          <w:sz w:val="20"/>
          <w:szCs w:val="20"/>
          <w:color w:val="auto"/>
        </w:rPr>
      </w:pPr>
    </w:p>
    <w:p>
      <w:pPr>
        <w:jc w:val="both"/>
        <w:ind w:firstLine="8"/>
        <w:spacing w:after="0" w:line="252" w:lineRule="auto"/>
        <w:tabs>
          <w:tab w:leader="none" w:pos="22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”encouraged,” (ii) ”restricted,” and (iii) ”prohibited.” The latter two categories are included in the negative list (Negative List, which was most recently amended on December 27, 2021), which was first introduced into the Foreign Investment Catalog in 2017, and listed, in a unified manner, the restrictive measures for the entry of foreign investment. Industries that are not listed in the Foreign Investment Catalog or the Special Administrative Measures are permitted areas for foreign investments, and are generally open to foreign investment unless specifically restricted by other PRC regulations. Our business falls under value-added telecommunications services, which are listed under the Special Administrative Measures.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view of these restrictions on foreign direct investment in value-added telecommunications services and certain other types of businesses under which our business may fall, we have established domestic consolidated affiliated entities to engage in value- added telecommunications services. For a detailed discussion of our consolidated affiliated entities, see “Item 4. Information on the Company— C. Organizational Structure.” Due to the lack of interpretative guidance from the relevant PRC governmental authorities, there are uncertainties regarding whether PRC governmental authorities would consider our corporate structure and contractual arrangements to constitute foreign ownership of a value-added telecommunications business. In order to comply with PRC regulatory requirements, we operate a substantial portion of our business through our consolidated affiliated entities, which we have contractual relationships with but we do not have actual ownership interests in. If our current ownership structure is found to be in violation of current or future PRC laws, rules or regulations regarding the legality of foreign investment in value-added telecommunications services and other types of businesses on which foreign investment is restricted or prohibited, we could be subject to severe penalties.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Content Providers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Administrative Measures on Internet Information Services, or the Internet Content Measures, which was promulgated by the State Council on September 25, 2000 and amended on January 8, 2011, set out guidelines on the provision of internet information services. The Internet Content Measures specifies that internet information services regarding news, publications, education, medical and health care, pharmacy and medical appliances, among other things, are required to be examined, approved and regulated by the relevant authorities. The Internet Content Measures specifies a list of prohibited content. Internet information providers are prohibited from producing, copying, publishing or distributing information that is humiliating or defamatory to others or that infringes the legal rights of others. Internet information providers that violate such prohibition may face criminal charges or administrative sanctions. If any prohibited content is found, they must remove the content immediately, keep a record of such content and report to the relevant authorities. In accordance with Provisions on the Governance of Network Information Content Ecology promulgated by the CAC on December 15, 2019, which became effective on March 15, 2020, the utilization of personalized algorithm recommendation technology taken in internet content provision service shall be in compliance with all the requirements as stated above as well.</w:t>
      </w:r>
    </w:p>
    <w:p>
      <w:pPr>
        <w:spacing w:after="0" w:line="19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Internet Content Measures classifies internet information services into commercial internet information services and non-commercial internet information services. Commercial internet information services refer to services that provide information or services to internet users with charge. A provider of commercial internet information services must obtain the value-added telecommunications business operation license.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Privacy Protection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2012, the Decision on Strengthening Network Information Protection promulgated by the Standing Committee of the National People’s Congress emphasized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Personal Information Protection Law of the PRC (the “Personal Information Protection Law”), issued on August 20, 2021 by the SCNPC, provided a comprehensive personal information protection system, under which in case of any personal information processing, individual prior consent must be obtained except in other circumstances stipulated therein to the contrary. Further, any data processing activities in relation to sensitive personal information including biometrics, religious beliefs, specific identities, medical health, financial accounts, whereabouts, personal information of teenagers under fourteen years old and other personal information once leaked or illegally used might easily lead to the infringement of personal dignity or harm of personal and property safety, are only allowed provided such activities are purpose-specified, highly necessary and strictly protected. Personal information processors who use personal information on automated decision-making must ensure the transparency of decision-making and the fairness and impartiality of the results and may not impose unreasonable differential treatment in terms of transaction prices and other transaction conditions. In addition, cross-border personal information transmission is restricted unless certain requirements in the Personal Information Protection Law have been satisfied, including security review organized by the national cyberspace department and other conditions specified by the laws, regulations and the national cyberspace department.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13, 2022, the MIIT released the Administrative Measures for Data Security in Industry and Information Technology Sectors (Trial), or the Data Security Measures, which came into effect on January 1, 2023. The measures apply to data management in certain industries, including telecommunication sectors, where certain data we process is generated from. The Data Security Measures set out three categories of data: ordinary data, important data and core data. The processing of important data and core data is subject to certain filing and reporting obligations. Since the specific catalogues of important data and core data have not been released, it is uncertain how the measures will be interpreted and implemented. We have sorted and cataloged data we process and will take further measures as required.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Information Security, Censorship and Privacy</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Standing Committee of the National People’s Congress, China’s national legislative body, enacted the Decisions on the Maintenance of Internet Security on December 28, 2000 and amended them on August 27, 2009 that may subject persons to criminal liabilities in China for any attempt to use the internet to: (i) gain improper entry to a computer or system of strategic importance;</w:t>
      </w:r>
    </w:p>
    <w:p>
      <w:pPr>
        <w:spacing w:after="0" w:line="1" w:lineRule="exact"/>
        <w:rPr>
          <w:sz w:val="20"/>
          <w:szCs w:val="20"/>
          <w:color w:val="auto"/>
        </w:rPr>
      </w:pPr>
    </w:p>
    <w:p>
      <w:pPr>
        <w:jc w:val="both"/>
        <w:ind w:firstLine="8"/>
        <w:spacing w:after="0" w:line="250" w:lineRule="auto"/>
        <w:tabs>
          <w:tab w:leader="none" w:pos="27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disseminate politically disruptive information; (iii) leak state secrets; (iv) spread false commercial information or (v) infringe upon intellectual property rights. In 1997, the Ministry of Public Security issued the Administration Measures on the Security Protection of Computer Information Network with International Connections which was amended in 2011 and prohibits using the internet to leak state secrets or to spread socially destabilizing materials. If an ICP license holder violates these measures, the PRC government may revoke its ICP license and shut down its websites. Pursuant to the Ninth Amendment to the Criminal Law issued by the Standing Committee of the National People’s Congress on August 29, 2015, effective on November 1, 2015, any ICP provider that fails to fulfill the obligations related to internet information security as required by applicable laws and refuses to take corrective measures, will be subject to criminal liability for (i) any large-scale dissemination of illegal information; (ii) any severe effect due to the leakage of users’ personal information; (iii) any serious loss of evidence of criminal activities; or (iv) other severe situations, and any individual or entity that</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21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or provides personal information to others unlawfully or (ii) steals or illegally obtains any personal information will be subject to criminal liability in severe situations.</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Cybersecurity Law of the PRC, or the Cybersecurity Law, which was promulgated on November 7, 2016 by the Standing Committee of the National People’s Congress and came into effect on June 1, 2017, provides that network operators shall meet their cyber security obligations and shall take technical measures and other necessary measures to protect the safety and stability of their networks. Under the Cybersecurity Law, network operators are subject to various security protection-related obligations, including: (i) network operators shall comply with certain obligations regarding maintenance of the security of internet systems; (ii) network operators shall verify users’ identities before signing agreements or providing certain services such as information publishing or real-time communication services; (iii) when collecting or using personal information, network operators shall clearly indicate the purposes, methods and scope of the information collection, the use of information collection, and obtain the consent of those from whom the information is collected; (iv) network operators shall strictly preserve the privacy of user information they collect, and establish and maintain systems to protect user privacy; (v) network operators shall strengthen management of information published by users, and when they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December 28, 2021, the CAC, jointly with the relevant authorities, published the Measures for Cybersecurity Review which stipulates that a critical information infrastructure operator purchases network products and services or an online platform operator conducts data processing, either of which affects or may affect national security shall conduct a cybersecurity review.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SCNPC promulgated the Data Security Law of the PRC (the “Data Security Law”), on June 10, 2021, which came into effect on 1 September 2021. The Data Security Law applies to data processing activities, including the collection, storage, use, processing, transmission, availability and disclosure of data, and security supervision of such activities within the territory of the PRC. Where data processing activities outside the territory of the PRC damage national security, public interests or the legitimate rights and interests of PRC citizens and organizations, such activities shall be subject to legal liabilities. The PRC would also establish a data security review system, under which data processing activities that affect or may affect national security shall be reviewed. According to the Data Security Law, whoever carries out data processing activities shall establish a sound data security management system throughout the whole process, organize data security education and training, and take corresponding technical measures and other necessary measures to ensure data security. Important data shall also be categorized and protected more strictly. The Data Security Law also requires formulating the important data catalogues to enhance the protection of important data.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Foreign-related Surveys Measures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According to the Foreign-related Surveys Measures, foreign-related surveys include: (i) market and social surveys conducted under the entrustment or financial aid of any overseas organization, individual, or the agency of any overseas organization in China;</w:t>
      </w:r>
    </w:p>
    <w:p>
      <w:pPr>
        <w:jc w:val="both"/>
        <w:ind w:firstLine="8"/>
        <w:spacing w:after="0" w:line="251" w:lineRule="auto"/>
        <w:tabs>
          <w:tab w:leader="none" w:pos="29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Negative List, only a domestic enterprise or a sino-foreign enterprise which meet the several requirements stipulated in the Foreign-related Surveys Measures can apply for license for the foreign- related survey. Industries that are not listed in the Negative List are permitted areas for foreign investments, and are generally open to foreign investment unless specifically restricted by other PRC regulations.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collect data of multiple kinds and from multiple sources through our consolidated subsidiaries in the mainland China and Hong Kong. These data include users’ search, browse, E-commerce and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VIE, applied for and were granted the foreign-related survey license on June 6, 2017 by the Chinese National Bureau of Statistics.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Mainland 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Computer Software Copyright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1, 2013, the Regulations for the Protection of Computer Software promulgated by the State Council came into effect. These regulations are formulated for protecting the rights and interests of computer software copyright owners, encouraging the development and application of computer software and promoting the development of software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Patents in the PRC are principally protected under the Patent Law of the People’s Republic of China, which was amended by the Standing Committee of the National People’s Congress in 2008 and further amended on 17 October 2020 and effective on 1 June 2021.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PRC Trademark Law, promulgated in 1983 and most recently amended in 2019, which such amendments became effective on November 1, 2019, protects the proprietary rights with respect to registered trademarks. The Trademark Office under the SAIC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Domain Name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MIIT promulgated the Measures on Administration of Internet Domain Names, or the Domain Name Measures, on August 24, 2017, which took effect on November 1, 2017 and replaced the Administrative Measures on China Internet Domain Name promulgated by MIIT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identities to domain name registration service institutions. The applicants will become the holders of such domain names upon the completion of the registration procedure.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amended and became effective on December 29, 2018,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amended and became effective on December 29, 2018, or the Social Insurance Law, which was, and (iv) the Regulations on the Management of Housing Provident Fund, promulgated by the State Council on March 24, 2002 and amended and became effective on March 4, 2019.</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Labor Contract Law and its implementation rules also require compensation to be paid upon certain terminations, which significantly affects the cost of reducing workforce for employers. Employers in most cases are required to provide a severance payment to their employees after their employment relationships are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 Enterprise Income Tax</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PRC enterprise income tax is calculated based on taxable income, which is determined under (i) the PRC Enterprise Income Tax Law, promulgated by the National People’s Congress of China and implemented on January 1, 2008, amended and became effective on December 29, 2018, or the EIT Law, and (ii) the implementation rules to the EIT Law promulgated by the State Council and implemented on January 1, 2008 and amended on April 23, 2019.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for Share Transfers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According to the Notice on Strengthening Administration of Enterprise Income Tax for Share Transfers by Non-Resident Enterprises, or Circular 698, promulgated by the SAT on December 10, 2009, which is replaced by the Circular on Issues of Tax Withholding regarding Non-PRC Resident Enterprise Income Tax, or Circular 37, promulgated by the SAT on October 17, 2017, and the SAT’s Announcement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 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uncertainty as to the application of Circular 37 and Circular 7. Circular 37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37 and Circular 7, and we may be required to expend valuable resources to comply with Circular 37 and Circular 7 or to establish that we should not be taxed under the general anti-avoidance rule of the EIT Law, which may have a material adverse effect on our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Value Added Tax</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 On November 19, 2017, the State Council promulgated The Decisions on Abolishing the Provisional Regulations of the PRC on Business Tax and Amending the Provisional Regulations of the PRC on Value-added Tax, or Order 691. According to the VAT Law and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17%, 11%, 6% and 0%, and the VAT tax rate applicable to the small-scale taxpayers is 3%. The Notice of the Ministry of Finance and the SAT on Adjusting Value-added Tax Rates, or the Notice, was promulgated on April 4, 2018 and came into effect on May 1, 2018. According to the Notice, the VAT tax rate of 17% and 11% are changed into 16% and 10%, respectively. On March 20, 2019, the Ministry of Finance, State Taxation Administration and General Administration of Customs jointly promulgated the Relevant Policies Notice on Deepening Reform of VAT Tax, or the Notice 39, effective on April 1, 2019, which lowers the VAT tax rate of 16% and 10% to 13% and 9%,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Withholding Tax</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SAT’s Notice on the Issues concerning the Application of the Dividend Clauses of Tax Agreements, or Circular 81, a Hong Kong resident enterprise must meet the following conditions, among others, in order to benefit from the reduced withholding tax rate: (i) it must be is a company; (ii) it must directly own the required percentage of equity interests and voting rights in the PRC resident enterprise; and (iii) it must have directly owned such required percentage in the PRC resident enterprise throughout the 12 months prior to receiving the dividends. Furthermore, the Announcement of the State Taxation Administration on Issuing the Administrative Measures for Entitlement to Treaty Benefits for Non-resident Taxpayers, or Non-Resident Tax Treatments Measures, which became effective on October 14, 2019, require that non-resident taxpayers collect, gather and retain relevant materials for future reference in accordance with the provisions of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Exchange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SAFE.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Settlement and Overseas Remittance of Foreign-Invested Enterprises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May 13, 2013,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9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SAFE, Ministry of Finance, the NDRC, effective on March 1, 2003, PRC foreign-invested companies may not procure loans which exceed the difference between its registered capital and its total investment amount as recorded in FICMIS.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12, 2017, the People’s Bank of China promulgated the Circular on Management of Cross-border Financing. According to this circular, an enterprise shall file the cross-border financing contracts for the record with the Capital Project Information System of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Outbound Investment and Financing and Roundtrip Investment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4, 2014, the Circular on the Relevant Issues Concerning Foreign Exchange Control on Domestic Residents Outbound Investment and Financing and Roundtrip Investment though Special Purpose Vehicles promulgated by SAFE came into effect. This circular prescribes operational procedures and registration requirements for roundtrip investment through special purpose companies and others. In particular, it states that a domestic resident shall apply to the relevant local branch of SAFE for foreign exchange registration of overseas investment, prior to making contribution to a special purpose company with legitimate domestic or overseas assets or interests.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principal legislation with respect to payment or distribution of dividends by wholly foreign-owned enterprises include</w:t>
      </w:r>
    </w:p>
    <w:p>
      <w:pPr>
        <w:spacing w:after="0" w:line="27" w:lineRule="exact"/>
        <w:rPr>
          <w:sz w:val="20"/>
          <w:szCs w:val="20"/>
          <w:color w:val="auto"/>
        </w:rPr>
      </w:pPr>
    </w:p>
    <w:p>
      <w:pPr>
        <w:jc w:val="both"/>
        <w:ind w:firstLine="8"/>
        <w:spacing w:after="0" w:line="252" w:lineRule="auto"/>
        <w:tabs>
          <w:tab w:leader="none" w:pos="23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Law of the People’s Republic of China, most recently amended by the Standing Committee of the National People’s Congress as of October 26, 2018, and (ii) Foreign Investment Law of the People’s Republic of China, which was promulgated on March 15, 2019 and effective from January 1, 2020.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the Negative List,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According to the Negative List, market survey falls into the catalogue of restrictions, which means foreign investors can engage in businesses in this industry only through a sino-foreign enterprise, while social survey falls into the catalogue of prohibitions.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15, 2019, the National People’s Congress approved the Foreign Investment Law, which came into effect on January 1, 2020 and on December 26, 2019, the State Council adopted Implementing Rules for the Foreign Investment Law of the People’s Republic of China which took effect from January 1, 2020, to interpret and implement the Foreign Investment Law. These rules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organization form and activities of foreign-invested enterprises shall be governed by the laws of the Company Law of the People’s Republic of China and the Partnership Enterprise Law of the People’s Republic of China. Foreign-invested enterprises established before the implementation of the Foreign Investment Law may retain the original business organization and so on within five years after the implementation of the Foreign Investment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Foreign Investment Law is formulated to further expand opening-up, promote foreign investment and protect the legitimate rights and interests of foreign investors. According to the Foreign Investment Law, foreign investments are entitled to pre-entry national treatment and are subject to negative list management system. The pre-entry national treatment means that the treatment given to foreign investors and their investments at the stage of investment access shall not be less favorable than that of domestic investors and their investments. The negative list management system means that the state implements special administrative measures for access of foreign investment in specific fields. Foreign investors shall not invest in any forbidden fields stipulated in the negative list effective on June 2018 and shall meet the conditions stipulated in the negative list before investing in any restricted fields.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Foreign Investment Law does not mention the relevant concept and regulatory regime of VIE structures, since it is relatively new, uncertainties still exist in relation to its interpretation and implementation. 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VIE structure may be regarded as invalid and illegal. As a result, we would not be able to</w:t>
      </w:r>
    </w:p>
    <w:p>
      <w:pPr>
        <w:spacing w:after="0" w:line="1" w:lineRule="exact"/>
        <w:rPr>
          <w:sz w:val="20"/>
          <w:szCs w:val="20"/>
          <w:color w:val="auto"/>
        </w:rPr>
      </w:pPr>
    </w:p>
    <w:p>
      <w:pPr>
        <w:jc w:val="both"/>
        <w:ind w:firstLine="8"/>
        <w:spacing w:after="0" w:line="250" w:lineRule="auto"/>
        <w:tabs>
          <w:tab w:leader="none" w:pos="22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business in China through our contractual arrangements with the VIE and shareholder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cope with any of these or similar regulatory compliance challenges could materially and adversely affect our current corporate structure, corporate governance and business operations.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Structure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illustrates our company’s organizational structure, including our principal subsidiaries and consolidated affiliated entities as of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114300</wp:posOffset>
            </wp:positionV>
            <wp:extent cx="5288915" cy="6103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88915" cy="6103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shareholder of OptAim Network is Mr. Jian Tang, who is our co-founder, chairman of the board and chief executive officer.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conduct substantially all our operations through the following consolidated subsidiaries:</w:t>
      </w:r>
    </w:p>
    <w:p>
      <w:pPr>
        <w:spacing w:after="0" w:line="225" w:lineRule="exact"/>
        <w:rPr>
          <w:sz w:val="20"/>
          <w:szCs w:val="20"/>
          <w:color w:val="auto"/>
        </w:rPr>
      </w:pPr>
    </w:p>
    <w:p>
      <w:pPr>
        <w:ind w:left="1000" w:right="20" w:hanging="31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Asia Limited: primarily focusing on providing online advertising, SaaS products and services to Hong Kong and overseas clients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Tetris Media Limited and Tetris Information Technology (Shanghai) Co., Ltd.: primarily focusing on providing online advertising, SaaS products and services. The business in Tetris Media Limited to Hong Kong and overseas clients are gradually being transferred to iClick Interactive Asia Limited</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Media Group Limited: primarily focusing on providing online advertising services to Hong Kong clients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Tetris (Shanghai) Data Technology Co., Ltd.: primarily focusing on providing online advertising, SaaS products and services to PRC clients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Search (Asia) Limited and its subsidiary: promoting content distribution opportunities for the publisher under our sales agency arrangement</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(Singapore) Pte. Ltd: primarily focusing on providing online advertising services to Singapore and other overseas clients</w:t>
      </w:r>
    </w:p>
    <w:p>
      <w:pPr>
        <w:spacing w:after="0" w:line="16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Data Technology (Beijing) Limited (previously named iClick Interactive (Beijing) Advertisement Co., Ltd.): primarily focusing on providing our online advertising, SaaS products and services to PRC clients, through itself, and the VIE entities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Anhui Zhiyunzhong Information Technology Co., Ltd.: primarily focusing on providing mobile online advertising to PRC clients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OptAim (Beijing) Information Technology Co., Ltd.: primarily focusing on providing mobile online advertising, SaaS products and services to PRC clients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OptAim Network Technology Co., Ltd., the VIE, and its subsidiaries, Shanghai Myhayo Technology Co., Ltd. and Anhui Myhayo Technology Co., Ltd.: primarily focusing on providing mobile online advertising services and mobile content distributions to PRC clients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Changyi (Shanghai) Information Technology, Ltd. and its subsidiaries: primarily focusing on providing SaaS products and services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Optimal Power Limited and its subsidiaries: primarily focusing on providing online advertising</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CMRS Group Holding Limited and its subsidiaries: primarily focusing on promoting online advertising, social media, KOLs and smart content generation services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After the abolishment of the foreign ownership restriction in advertising business, we had been transferring the advertising business previously operated by the VIE, OptAim Network, primarily consisted of our mobile marketing solution business, to our wholly-owned subsidiaries. As of December 31, 2018, our wholly-owned subsidiaries had replaced OptAim Network as contracting party for all our mobile marketing solution business. OptAim Network acquired Shanghai Myhayo Technology Co., Ltd. and Anhui Myhayo Technology Co., Ltd. in November 2018 and March 2019 respectively, providing a content distribution channel and a mobile content aggregator of articles and short videos in the PRC, which presents customized feeds to users via its mobile application.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OptAim Network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iClick Beijing, its PRC subsidiary, is considered an FIE. To comply with the then-effective PRC laws and regulations, including the Administrative Provisions on Foreign-Invested Advertising Enterprises, iClick Beijing entered into a set of contractual arrangements with OptAim Network and its shareholder. The laws and regulations that imposed restrictions on foreign ownership in advertising companies, including the Administrative Provisions on Foreign-Invested Advertising Enterprises were abolished in June 2015.</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the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iClick Beijing’s contractual arrangements with OptAim Network and its shareholder to conduct certain of our operations in China, including to transfer such operations to VIE to the extent they are deemed foreign-related survey. See “Item 3 Key Information—D. Risk Factors—Risk Related to Our Corporate Structure—We rely on the contractual arrangements that establish the structure for certain of our operations in China.”</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“Regulations -Regulations on Value-added Telecommunication Services” and “—Regulations on Internet Content Providers.” It is unclear whether Myhayo’s business model would render it a commercial operator of value-added telecommunication services under the relevant PRC laws, in which case Myhayo would be required to hold a value-added telecommunication license. Pursuant to the Negative List, jointly promulgated by MOFCOM and the NDRC on October 24, 2019, foreign investment in value-added telecommunication services is subject to certain restrictions. See “— Regulations—Regulations on Foreign Direct Investment in Value-Added Telecommunications Companies”. As a result, we acquired Myhayo through OptAim Network, the VIE. In August 2019, Myhayo obtained the value-added telecommunication business operation license from the relevant local counterpart of MIIT.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contractual arrangements between iClick Beijing, OptAim Network and the shareholder of OptAim Network allow us to:</w:t>
      </w:r>
    </w:p>
    <w:p>
      <w:pPr>
        <w:spacing w:after="0" w:line="225" w:lineRule="exact"/>
        <w:rPr>
          <w:sz w:val="20"/>
          <w:szCs w:val="20"/>
          <w:color w:val="auto"/>
        </w:rPr>
      </w:pPr>
    </w:p>
    <w:p>
      <w:pPr>
        <w:ind w:left="1000" w:hanging="31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Network and its subsidiaries;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OptAim Network and its subsidiaries;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and assets in OptAim Network.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these contractual agreements, we control and receive the economic benefits of the business operations of the VIE entities, which is not equivalent to equity ownership in the VIE entities. Accordingly, under the U.S. GAAP, the financial statements of the VIE entities are consolidated as part of our financial statements. Accordingly, we are the primary beneficiary of the VIE entities for accounting purposes and consolidate the financial results of the VIE entities in our consolidated financial statements in accordance with the U.S. GAAP. Neither we nor our investors own any equity ownership in, direct foreign investment in, or control of VIE as a result of the contractual agreements with the VIE, its nominee shareholder and our subsidiary, and these agreements have not been tested in a court of law in the PRC.</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contractual arrangements may not be as effective as direct ownership in providing us with control over the VIE. If the VIE or its shareholder fails to perform their respective obligations under these contractual arrangements, our recourse to the assets held by the VIE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 in VIE, including such equity interest, may be put under court custody. As a consequence, we cannot be certain that the equity interest will be disposed pursuant to the contractual arrangement or ownership by the record holder of the equity interest.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currently effective contractual arrangements by and among iClick Data Technology (Beijing) Limited, our wholly-owned subsidiary, OptAim Network, our consolidated VIE, the shareholder of OptAim Network.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Effective Control over OptAim Network Third Amended and Restated Equity Pledge Agreement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iClick Beijing, OptAim Network and the shareholder of OptAim Network entered into the third amended and restated equity pledge agreement on November 1, 2021. Pursuant to the third amended and restated equity pledge agreement, the shareholder of OptAim Network has pledged all of his equity interest in OptAim Network to iClick Beijing to guarantee the performance by such shareholder and OptAim Network of his obligations under the exclusive business cooperation agreement, power of attorney and the third amended and restated exclusive call option agreement as well as his liabilities arising from any breach. If OptAim Network or its shareholder breaches any obligations under these agreements, iClick Beijing, as pledgee, will be entitled to dispose of the pledged equity and have priority to be compensated by the proceeds from the disposal of the pledged equity. The shareholder of OptAim Network agrees that before his obligations under the contractual arrangements are discharged, 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iClick Beijing. The third amended and restated equity pledge agreement will remain effective until OptAim Network and its shareholder discharge all their obligations under the contractual arrangements and pay out all consulting and services fees under the exclusive business cooperation agreement. We have completed the registration of the equity pledge with the relevant office of the State Administration for Market Regulation in accordance with PRC Property Rights Law on December 15, 2021.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Through power of attorney dated November 1, 2021, the shareholder of OptAim Network irrevocably authorizes iClick Beijing or any person(s) designated by iClick Beijing to act as his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 of attorney will remain in force unless iClick Beijing gives out any instruction in writing otherwise. Once the power of attorney are terminated in whole or in part, each shareholder shall revoke his/her power of attorney to iClick Beijing and immediately sign another power of attorney with the person(s) designated by iClick Beijing.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Spousal Consent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spouse of Mr. Jian Tang signed a spousal consent letter on November 1, 2021. Mr. Jian Tang holds 100% equity interest in OptAim Network. Under the spousal consent letter, the signing spouse unconditionally and irrevocably agreed that she was aware of the disposal of OptAim Network shares held by Mr. Jian Tang in the following third amended and restated exclusive call option agreement, the abovementioned power of attorney, and the third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 that Allows Us to Receive Economic Benefits from OptAim Network Exclusive Business Cooperation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iClick Beijing, OptAim Network and Zhiyunzhong entered into an exclusive business cooperation agreement on November 1, 2021. Pursuant to this agreement, iClick Beijing or its designated party has the exclusive right to provide OptAim Network and Zhiyunzhong with technical support, consulting services and other services. Without iClick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iClick Beijing owns the intellectual property rights arising out of the provisions of services under this agreement. OptAim Network and Zhiyunzhong shall grant an irrevocable call option to iClick Beijing to purchase all or any of their assets or business with the lowest price allowed by PRC law. Unless iClick Beijing terminates this agreement, this agreement will remain effective until any party thereto is dissolved in accordance with PRC law.</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Agreement that Provides Us with the Option to Purchase the Equity Interest in OptAim Network Third Amended and Restated Exclusive Call Option Agreement</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iClick Beijing, OptAim Network and the shareholder of OptAim Network entered into a third amended and restated exclusive call option agreement on November 1, 2021. Pursuant to the third amended and restated exclusive call option agreement, the shareholder of OptAim Network has irrevocably granted iClick Beijing or any third party designated by iClick Beijing a third amended and restated exclusive call option to purchase all or part of his respective equity interests in OptAim Network. Until there is any evaluation request by PRC law, the purchase price is equal to RMB100 or the lowest price allowed by PRC law. Unless otherwise agreed, the shareholder of OptAim Network will immediately gift iClick Beijing or any third party designated by iClick Beijing with the purchase price after iClick Beijing or any third party designated by iClick Beijing exercises the option. iClick Beijing may transfer all or part of its option under this agreement to a third party under the approval of the shareholder of iClick Beijing. Without iClick Beijing’s prior written consent, the shareholder of OptAim Network shall not, among other things, amend its articles of association, increase or 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 of OptAim Network also undertakes that he will not sale, transfer, pledge, or otherwise dispose of his equity interests in OptAim Network to any third party or create or allow any encumbrance on his equity interests. This agreement will remain effective until iClick Beijing or any third party designated by iClick Beijing has acquired all equity interest of OptAim Network from its shareholder.</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opinion of Jingtian &amp; Gongcheng, our PRC legal counsel:</w:t>
      </w:r>
    </w:p>
    <w:p>
      <w:pPr>
        <w:spacing w:after="0" w:line="225" w:lineRule="exact"/>
        <w:rPr>
          <w:sz w:val="20"/>
          <w:szCs w:val="20"/>
          <w:color w:val="auto"/>
        </w:rPr>
      </w:pPr>
    </w:p>
    <w:p>
      <w:pPr>
        <w:ind w:left="1000" w:hanging="317"/>
        <w:spacing w:after="0" w:line="28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iClick Beijing and OptAim Network do not contravene any applicable PRC laws or regulations currently in effect;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among iClick Beijing, OptAim Network, the shareholder of OptAim Network and Zhiyunzhong governed by PRC law are valid, binding and enforceable, and do not contravene any PRC laws or regulations currently in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“Item 3. Key Information—D. Risk Factors— Risks Related to Our Corporate Structure—We rely on the contractual arrangements that establish the structure for certain of our operations in China,” and “—Substantial uncertainties exist with respect to the newly enacted PRC Foreign Investment Law and how it may impact the viability of our current corporate structure, corporate governance and business operations.”</w:t>
      </w:r>
    </w:p>
    <w:p>
      <w:pPr>
        <w:spacing w:after="0" w:line="188"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Plant and Equipment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headquarters, principal executive office and some subsidiaries are located in Hong Kong, in an approximately 2,300 square-meter facility, under certain lease agreements expiring on or before August 1, 2025. As of December 31, 2023, we leased approximately 8,500 square-meter office space in China located in Beijing, Shanghai, Shenzhen, Hefei, Xi’an and Guangzhou which primarily carry out the functions of technology and data engineering, sales and business development and operation support. Outside of mainland China and Hong Kong, we also have subsidiaries or sales offices in Singapore, Taiwan, Thailand and London.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Our leases will expire from 2024 to 2026, and we have renewed leases that expired on or before the date of this annual report. We believe that our current facilities are suitable and adequate to meet our current needs. If we require additional space, we expect to be able to obtain additional facilities on commercially reasonable terms.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5A.</w:t>
      </w:r>
      <w:r>
        <w:rPr>
          <w:sz w:val="20"/>
          <w:szCs w:val="20"/>
          <w:color w:val="auto"/>
        </w:rPr>
        <w:tab/>
      </w:r>
      <w:r>
        <w:rPr>
          <w:rFonts w:ascii="Times New Roman" w:cs="Times New Roman" w:eastAsia="Times New Roman" w:hAnsi="Times New Roman"/>
          <w:sz w:val="17"/>
          <w:szCs w:val="17"/>
          <w:b w:val="1"/>
          <w:bCs w:val="1"/>
          <w:color w:val="auto"/>
        </w:rPr>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the key factors affecting our financial condition and results of operations include the following:</w:t>
      </w:r>
    </w:p>
    <w:p>
      <w:pPr>
        <w:spacing w:after="0" w:line="185" w:lineRule="exact"/>
        <w:rPr>
          <w:sz w:val="20"/>
          <w:szCs w:val="20"/>
          <w:color w:val="auto"/>
        </w:rPr>
      </w:pPr>
    </w:p>
    <w:p>
      <w:pPr>
        <w:ind w:left="1000" w:hanging="31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lower-risk, higher-margin business within marketing solutions and enterprise solutions segments;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“SaaS+X” model;</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funds from financing activities to support business;</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models;</w:t>
      </w:r>
    </w:p>
    <w:p>
      <w:pPr>
        <w:spacing w:after="0" w:line="19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client base and increase client spending;</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enlarge audience data set, strengthen data analytics capabilities and innovate technologies; and</w:t>
      </w:r>
    </w:p>
    <w:p>
      <w:pPr>
        <w:spacing w:after="0" w:line="184"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Lower-Risk, Higher-Margin Businesses within Marketing Solutions and Enterprise Solutions Segments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future profitability depends on capturing marketing spend in China from lower-risk and higher-margin clients. We depend on third-party content distribution channels to access distribution opportunities. To expand our content network, we must develop and enhance partnership with distribution channels, which requires generating sufficient client marketing spend on these channels. We complement these efforts with our extensive data, sophisticated analytics, and cutting-edge technologies.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future profitability also depends on our ability to expand our enterprise solutions with higher-margin clients. Since May 2018, we started to offer enterprise solutions and have gradually scaled up our enterprise solution business. In 2023, net revenues from enterprise solutions accounted for 35% of our total net revenues, compared with 37% in 2022 and 21% in 2021. The markets for certain of our offerings remain relatively new and it is uncertain whether our efforts, and related investments, will ever result in significant profits for us. Also, if we are unable to develop enhancements to and new features for our existing services that keep pace with rapid technological developments, our business could be impacted. The budget and spending from clients on SaaS products and services could be impacted by macro-economic environment The success of our development, and implementation of new features and services depends on several factors, including the timely completion, introduction and market acceptance of the feature, service or enhancement by customers, administrators and developers, as well as our ability to integrate all of our service offerings and develop adequate selling capabilities in this new market. Failure in this regard may significantly impair our revenue growth as well as negatively impact our operating results if additional costs are not offset by additional revenues.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Implement “SaaS+X” Model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effectively leveraged the digitalization of China’s economy in the recent years as we accelerate the evolution of our SaaS product matrix. We have also continued to gain practical operational experience in establishing our “SaaS+X” business model. The “SaaS+X” business model that we have established aims to help companies strengthen their productivity and enhance their private domains through effective KOL recommendations, efficient targeted marketing and e-commerce partnerships while integrating and digitalizing data assets and managing and solidifying their brand profiles.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released our “SaaS+X 2022 White Paper on Digital Operations” in March 2022. Combining our in-depth understanding of China’s digital landscape and abundant experience working with more than 1,000 leading banks brands to power sales growth. The white paper is an authoritative resource for companies looking to take their marketing and business development in China to the next level. This white paper combines the theoretical research results and operation methodology that we have developed over the past years since we launched our comprehensive digital transformation strategy in 2019. In the paper we introduce a methodology for implementing digital operation concepts and applying them to all aspects of organization and team collaboration.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Funds from Financing Activities to Support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also depends on our ability to raise funds for operations and expansion by broadening our business scope as well as penetration into new markets. External funding also strengthening our capabilities and competitiveness through resources for innovation and promotional activities.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been raising funds through different channels such as bank borrowings, IPO, follow-on securities offering and issuance of convertible notes. As a Chinese concept stock with a small market capitalization, we faced significant challenges in obtaining additional equity financing from the capital market. We will continue to manage our own cash positions prudently, including but not limited to close monitoring of cash collection and payment capabilities of clients, balancing the working capital management versus. clients’ demand and business growth opportunities. Meanwhile, we will continue to strategically shift the focus to the higher growth potential of enterprise solutions segment and implement a larger scale of strategic unwind lower margin, higher risk clients under marketing solutions segment.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Models/ Solution Mix</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derive revenue primarily from four sources and report them on either the net or gross basis. For our marketing solutions, we derive revenue from (i) incentives earned from the website publishers, for which we act as a sales agent for their content distribution opportunities, or the sales agency arrangement, which is reported on a net basis, (ii) performing cost-plus marketing campaigns, which is reported on a net basis, (iii) performing specified actions marketing campaigns (i.e., a CPM and CPC basis), which is reported on a gross basis. For our enterprise solutions, we derive revenue from the offering of SaaS products and services, which is reported on a gross basis and a net basis. Please see “—Key Components of Results of Operations—Net Revenues” above for more details.</w:t>
      </w:r>
    </w:p>
    <w:p>
      <w:pPr>
        <w:spacing w:after="0" w:line="14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With respect to our marketing solutions, the gross profit margins for our sales agency arrangement and cost-plus marketing campaigns are higher than that for our specified action marketing campaigns as cost of revenues for our sales agency arrangement and cost-plus marketing campaigns does not include media cost. As a result,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w:t>
      </w:r>
    </w:p>
    <w:p>
      <w:pPr>
        <w:spacing w:after="0" w:line="14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marketing solutions and enterprise solutions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proportion of our gross billing recognized as net revenues on a gross basis and a net basis. The relative proportions of gross billing recognized as net revenues on a gross basis and a net basis are affected by a variety of factors, in particular, the terms of the arrangements with our clients, including whether to conduct their marketing campaigns on a specified-action (i.e., gross) or cost-plus (i.e., net) basis in a particular period, which in turn depends on clients’ needs and goals.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enterprise solutions generally have higher margin than marketing solutions. Within our enterprise solutions, since the margin of providing services is generally lower than providing pure SAAS product as it involves additional labor costs, our overall margin may be impacted as we ramp up our “SaaS+X” model.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Optimize Client Base and Increase Client Spending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growth and profitability are dependent upon our ability to optimize our client base and increase our clients’ spending related to marketing and customer management. Since 2022, we have been strategically reducing lower margin and higher risk businesses and continued to perform comprehensive review of our client base to improve liquidity. The budget and spending from clients on SaaS products and services have been significantly impacted by COVID-19 pandemic and macro-economic environment.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ability to increase clients’ spending on our platform depends on whether our solutions can effectively address marketers’ evolving and diverse needs in a cost-efficient manner. To that end, we plan to develop and offer more tailored, innovative and user-friendly solutions and services and enhance our sales, marketing and account servicing efforts. For example, we strive to promote our newly launched enterprise solutions to clients by enhancing our ability to effectively identify and address clients’ needs on CRM and comprehensive and customized data acquisition, mining and analytics for real-time, data-driven and more accurate decision making.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Enlarge Audience Data Set, Strengthen Data Analytics Capabilities and Innovate Technologies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performance is significantly dependent on our ability to enlarge audience data set, strengthen data analytics capabilities and innovate technologies. This helps clients achieve more precise audience targeting and enables us to retain clients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clients’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clients’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plan to continue collaborating with clients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Billing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500" w:type="dxa"/>
            <w:vAlign w:val="bottom"/>
            <w:gridSpan w:val="3"/>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60" w:type="dxa"/>
            <w:vAlign w:val="bottom"/>
            <w:gridSpan w:val="4"/>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1520" w:type="dxa"/>
            <w:vAlign w:val="bottom"/>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16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6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160" w:type="dxa"/>
            <w:vAlign w:val="bottom"/>
          </w:tcPr>
          <w:p>
            <w:pPr>
              <w:spacing w:after="0"/>
              <w:rPr>
                <w:sz w:val="10"/>
                <w:szCs w:val="10"/>
                <w:color w:val="auto"/>
              </w:rPr>
            </w:pPr>
          </w:p>
        </w:tc>
        <w:tc>
          <w:tcPr>
            <w:tcW w:w="820" w:type="dxa"/>
            <w:vAlign w:val="bottom"/>
            <w:tcBorders>
              <w:top w:val="single" w:sz="8" w:color="auto"/>
            </w:tcBorders>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7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 total</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82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billing)</w:t>
            </w:r>
          </w:p>
        </w:tc>
        <w:tc>
          <w:tcPr>
            <w:tcW w:w="16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billing)</w:t>
            </w: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billing)</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Gross billing from marketing solutions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727,340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217,364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154,077</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billing from enterprise solutions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796,852</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282,229</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201,978</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gross billing decreased to US$282.2 million in 2022 and decreased from US$282.2 million in 2022 to US$202.0 million in 2023. The decrease in 2023 was primarily due to our ongoing strategic scale-down of the marketing solutions businesses and uncertainties in macro-economic environment.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billing derived from our sales agency arrangement was US$16.8 million, US$11.1 million and US$9.0 million in 2021, 2022 and 2023, respectively, none of which was recognized as net revenues for the respective periods.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billing derived from our cost-plus marketing campaigns was US$498.2 million, US$111.8 million and US$65.2 million in 2021, 2022 and 2023, respectively, out of which US$26.1 million, US$8.9 million and US$4.8 million was recognized as net revenues for the respective periods.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billing derived from our specified action marketing campaigns was US$212.4 million, US$94.5 million and US$79.9 million in 2021, 2022 and 2023, respectively, all of which was recognized as net revenues for the respective periods.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billing derived from our enterprise solutions was US$69.5 million, US$64.9 million and US$47.9 million in 2021, 2022 and 2023, respectively, out of which US$65.1 million, US$63.1 million and US$46.7 million was recognized as net revenues for the respective periods.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gross billing per client decreased by US$177,052, or 54%, from US$328,870 in 2021 to US$151,818 in 2022, while slightly decreased by US$2,205, or 1%, from US$151,818 in 2022 to US$149,613 in 2023. The total number of our clients decreased by 23% from 2,423 in 2021 to 1,859 in 2022 and decreased to 1,350 in 2023. The decreases in gross billing per client and the total number of clients from 2022 to 2023 were primarily due to our continued strategy of reducing lower-margin, higher-risk businesses in marketing solutions segment.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 and the period-to-period comparisons discussed below may not be meaningful and are not indicative of our future trends.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9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4"/>
        </w:trPr>
        <w:tc>
          <w:tcPr>
            <w:tcW w:w="4960" w:type="dxa"/>
            <w:vAlign w:val="bottom"/>
          </w:tcPr>
          <w:p>
            <w:pPr>
              <w:spacing w:after="0"/>
              <w:rPr>
                <w:sz w:val="15"/>
                <w:szCs w:val="15"/>
                <w:color w:val="auto"/>
              </w:rPr>
            </w:pPr>
          </w:p>
        </w:tc>
        <w:tc>
          <w:tcPr>
            <w:tcW w:w="9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of net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net</w:t>
            </w:r>
          </w:p>
        </w:tc>
        <w:tc>
          <w:tcPr>
            <w:tcW w:w="180" w:type="dxa"/>
            <w:vAlign w:val="bottom"/>
          </w:tcPr>
          <w:p>
            <w:pPr>
              <w:spacing w:after="0"/>
              <w:rPr>
                <w:sz w:val="15"/>
                <w:szCs w:val="15"/>
                <w:color w:val="auto"/>
              </w:rPr>
            </w:pPr>
          </w:p>
        </w:tc>
        <w:tc>
          <w:tcPr>
            <w:tcW w:w="900" w:type="dxa"/>
            <w:vAlign w:val="bottom"/>
            <w:tcBorders>
              <w:top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net</w:t>
            </w:r>
          </w:p>
        </w:tc>
        <w:tc>
          <w:tcPr>
            <w:tcW w:w="20" w:type="dxa"/>
            <w:vAlign w:val="bottom"/>
          </w:tcPr>
          <w:p>
            <w:pPr>
              <w:spacing w:after="0"/>
              <w:rPr>
                <w:sz w:val="15"/>
                <w:szCs w:val="15"/>
                <w:color w:val="auto"/>
              </w:rPr>
            </w:pPr>
          </w:p>
        </w:tc>
      </w:tr>
      <w:tr>
        <w:trPr>
          <w:trHeight w:val="174"/>
        </w:trPr>
        <w:tc>
          <w:tcPr>
            <w:tcW w:w="496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revenues)</w:t>
            </w: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307,702</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169,080</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(218,549)</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(173,212)</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(102.4)</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(98,375)</w:t>
            </w: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Pr>
          <w:p>
            <w:pPr>
              <w:spacing w:after="0"/>
              <w:rPr>
                <w:sz w:val="18"/>
                <w:szCs w:val="18"/>
                <w:color w:val="auto"/>
              </w:rPr>
            </w:pP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profit/(loss)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89,153</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(9,527)</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(9,216)</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(7,548)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(52,872)</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(44,613)</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(37,213)</w:t>
            </w: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(39,643)</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(51,668)</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(28,055)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(4,403)</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(2,837)</w:t>
            </w: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(80,137)</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(47.4)</w:t>
            </w:r>
          </w:p>
        </w:tc>
        <w:tc>
          <w:tcPr>
            <w:tcW w:w="9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18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(190,037)</w:t>
            </w:r>
          </w:p>
        </w:tc>
        <w:tc>
          <w:tcPr>
            <w:tcW w:w="2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(75,653)</w:t>
            </w: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(12,889)</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(194,169)</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(114.8)</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(40,811)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(4,089)</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(2,057)</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(19,165)</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r>
      <w:tr>
        <w:trPr>
          <w:trHeight w:val="178"/>
        </w:trPr>
        <w:tc>
          <w:tcPr>
            <w:tcW w:w="49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 before share of loss from an equity investee and income tax</w:t>
            </w: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(13,951)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(213,913)</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(38,162)</w:t>
            </w: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20"/>
                <w:szCs w:val="20"/>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(2,540)</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8"/>
                <w:szCs w:val="18"/>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(202,806)</w:t>
            </w:r>
          </w:p>
        </w:tc>
        <w:tc>
          <w:tcPr>
            <w:tcW w:w="2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20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0" w:type="dxa"/>
            <w:vAlign w:val="bottom"/>
            <w:tcBorders>
              <w:bottom w:val="single" w:sz="8" w:color="auto"/>
            </w:tcBorders>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generate revenue primarily from clients’ marketing spend through our platform as they utilize our solutions in cost-plus and specified action marketing campaigns, and to a less extent from incentives granted by the publishers under our sales agency arrangement. We derive revenue primarily from four sources and report them on either the net or gross basis. For our marketing solutions, we derive revenue from (i) incentives earned from the website publishers, for which we act as a sales agent for their content distribution opportunities, or the sales agency arrangement, which is reported on a net basis, (ii) performing cost-plus marketing campaigns, which is reported on a net basis, (iii) performing specified actions marketing campaigns (i.e., a CPM and CPC basis), which is reported on a gross basis. For our enterprise solutions, we derive revenue from the offering of SaaS products and services, which is reported on a gross basis and a net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We record incentives from the publishers under the sales agency arrangement as net revenues. We consider the publishers to be our customers under the sales agency arrangement. The amount of such incentives is determined based on a variety of factors, including yearly market spending at the publishers’ platforms. Under our sales agency arrangement, we do not receive any rebate from the publishers. Net revenues from our sales agency arrangement, which equal the incentives received from the publishers under the sales agency arrangement were US$4.2 million, US$2.6 million and US$1.8 million, in 2021, 2022 and 2023, respectively.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US$26.0 million, US$8.9 million and US$4.8 million, in 2021, 2022 and 2023, respectively.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US$212.4 million, US$94.5 million and US$79.9 million, in 2021, 2022 and 2023, respectively.</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In all other circumstances, rebates and discounts we grant are recorded as reduction of revenue.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Starting from 2019, we also generate revenue from SaaS products which are cloud-hosted software offering enterprise solutions to customers through provision of software licenses and retail and CRM solutions.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and (iii) various combinations of technical support, maintenance services and digitalized operational services provided by us. Net revenues from our enterprise solutions were US$65.1 million, US$63.1 million and US$46.7 million, in 2021, 2022 and 2023, respectively.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shows our net revenues breakdown for our marketing solutions, and enterprise solutions for the periods presented.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1600" w:type="dxa"/>
            <w:vAlign w:val="bottom"/>
            <w:tcBorders>
              <w:bottom w:val="single" w:sz="8" w:color="auto"/>
            </w:tcBorders>
            <w:gridSpan w:val="3"/>
          </w:tcPr>
          <w:p>
            <w:pPr>
              <w:jc w:val="right"/>
              <w:ind w:right="57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2"/>
                <w:szCs w:val="12"/>
                <w:color w:val="auto"/>
              </w:rPr>
            </w:pPr>
          </w:p>
        </w:tc>
      </w:tr>
      <w:tr>
        <w:trPr>
          <w:trHeight w:val="117"/>
        </w:trPr>
        <w:tc>
          <w:tcPr>
            <w:tcW w:w="4680" w:type="dxa"/>
            <w:vAlign w:val="bottom"/>
          </w:tcPr>
          <w:p>
            <w:pPr>
              <w:spacing w:after="0"/>
              <w:rPr>
                <w:sz w:val="10"/>
                <w:szCs w:val="10"/>
                <w:color w:val="auto"/>
              </w:rPr>
            </w:pPr>
          </w:p>
        </w:tc>
        <w:tc>
          <w:tcPr>
            <w:tcW w:w="9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700" w:type="dxa"/>
            <w:vAlign w:val="bottom"/>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80" w:type="dxa"/>
            <w:vAlign w:val="bottom"/>
          </w:tcPr>
          <w:p>
            <w:pPr>
              <w:spacing w:after="0"/>
              <w:rPr>
                <w:sz w:val="10"/>
                <w:szCs w:val="10"/>
                <w:color w:val="auto"/>
              </w:rPr>
            </w:pPr>
          </w:p>
        </w:tc>
        <w:tc>
          <w:tcPr>
            <w:tcW w:w="96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80" w:type="dxa"/>
            <w:vAlign w:val="bottom"/>
          </w:tcPr>
          <w:p>
            <w:pPr>
              <w:spacing w:after="0"/>
              <w:rPr>
                <w:sz w:val="10"/>
                <w:szCs w:val="10"/>
                <w:color w:val="auto"/>
              </w:rPr>
            </w:pPr>
          </w:p>
        </w:tc>
        <w:tc>
          <w:tcPr>
            <w:tcW w:w="96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80" w:type="dxa"/>
            <w:vAlign w:val="bottom"/>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r>
      <w:tr>
        <w:trPr>
          <w:trHeight w:val="173"/>
        </w:trPr>
        <w:tc>
          <w:tcPr>
            <w:tcW w:w="46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marketing solutions</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242,610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105,956</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86,481</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1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revenues from enterprise solutions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65,092</w:t>
            </w: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63,124</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46,736</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0"/>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307,702</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169,080</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133,217</w:t>
            </w: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2021, 2022 and 2023, US$77.5 million, US$18.6 million and US$6.5 million rebates were received from publishers under cost-plus marketing campaigns, respectively, which were recognized as net revenues for our marketing solutions, representing 31.9%, 17.5% and 7.6%, of our net revenues in respective periods. Of these rebates, US$0.2 million, US$45 thousand and US$18 thousand were received under cost-plus marketing campaigns from the publisher for which we acted as its sales agent under our sales agency arrangement in respective periods.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2021, 2022 and 2023, US$5.1 million, US$3.4 million and US$2.6 million incentive revenues were received from publishers under our sales agency arrangement, respectively, which were recognized as net revenues for our marketing solutions, representing 2.1%, 3.2% and 3.0% of our net revenues in respective periods. These exclude US$0.2 million, US$45 thousand and US$18 thousand rebates that were received under cost-plus marketing campaigns from the publisher for which we acted as its sales agent under our sales agency arrangement in respective periods.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2021, 2022 and 2023, we granted rebates and discounts of US$76.2 million, US$15.6 million and US$7.5 million, respectively, to marketers and marketing agencies under our cost-plus and specified action marketing campaigns for our marketing solutions, which were recognized as reduction of revenue in respective periods, representing 31.4%, 14.7% and 8.7% of our net revenues in respective periods. Of these rebates and discounts we granted, US$15.1 million, US$2.9 million and US$4.1 million was in connection with our specified action (i.e., gross) marketing campaigns in respective periods, and US$61.1 million, US$12.7 million and US$3.4 million, were in connection with our cost-plus (i.e., net) marketing campaigns in respective periods.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diverse client base in terms of the geographic location of our clients’ or marketers’ headquarters as we help them, especially multinational marketers, navigate through the fragmented online marketing landscapes in mainland China to identify and reach their potential audience. In determining the geographic classification of our revenue, we look at the geographic location of our subsidiary or the VIE entities which executed the marketing campaign contract. Our subsidiaries or the VIE entities in mainland China generally are our signing entities for marketing campaign contracts with clients which are based in mainland China. Our Singapore subsidiary generally is our signing entity for marketing campaign contracts with clients based in Southeast Asia. Our Hong Kong subsidiaries generally are our signing entities for the other clients. Our clients are primarily based in mainland China. Our net revenues from clients in mainland China decreased from 2021 to 2022, and decreased to 2023 as a result of our strategic move to unwind lower-margin, higher-risk marketing solutions businesses, uncertainties around the macro-economic environment after the pandemic, and increased competition in the SaaS market. In 2021, 2022 and 2023, we derived 17.2%, 17.1% and 17.6% of our net revenues from outside mainland China, respectively. The table below shows our net revenues breakdown by geographic region for the periods presented.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4680" w:type="dxa"/>
            <w:vAlign w:val="bottom"/>
          </w:tcPr>
          <w:p>
            <w:pPr>
              <w:spacing w:after="0"/>
              <w:rPr>
                <w:sz w:val="12"/>
                <w:szCs w:val="12"/>
                <w:color w:val="auto"/>
              </w:rPr>
            </w:pPr>
          </w:p>
        </w:tc>
        <w:tc>
          <w:tcPr>
            <w:tcW w:w="96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2"/>
                <w:szCs w:val="12"/>
                <w:color w:val="auto"/>
              </w:rPr>
            </w:pPr>
          </w:p>
        </w:tc>
      </w:tr>
      <w:tr>
        <w:trPr>
          <w:trHeight w:val="117"/>
        </w:trPr>
        <w:tc>
          <w:tcPr>
            <w:tcW w:w="4680" w:type="dxa"/>
            <w:vAlign w:val="bottom"/>
          </w:tcPr>
          <w:p>
            <w:pPr>
              <w:spacing w:after="0"/>
              <w:rPr>
                <w:sz w:val="10"/>
                <w:szCs w:val="10"/>
                <w:color w:val="auto"/>
              </w:rPr>
            </w:pPr>
          </w:p>
        </w:tc>
        <w:tc>
          <w:tcPr>
            <w:tcW w:w="96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80" w:type="dxa"/>
            <w:vAlign w:val="bottom"/>
          </w:tcPr>
          <w:p>
            <w:pPr>
              <w:spacing w:after="0"/>
              <w:rPr>
                <w:sz w:val="10"/>
                <w:szCs w:val="10"/>
                <w:color w:val="auto"/>
              </w:rPr>
            </w:pPr>
          </w:p>
        </w:tc>
        <w:tc>
          <w:tcPr>
            <w:tcW w:w="980" w:type="dxa"/>
            <w:vAlign w:val="bottom"/>
            <w:gridSpan w:val="3"/>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80" w:type="dxa"/>
            <w:vAlign w:val="bottom"/>
          </w:tcPr>
          <w:p>
            <w:pPr>
              <w:spacing w:after="0"/>
              <w:rPr>
                <w:sz w:val="10"/>
                <w:szCs w:val="10"/>
                <w:color w:val="auto"/>
              </w:rPr>
            </w:pPr>
          </w:p>
        </w:tc>
        <w:tc>
          <w:tcPr>
            <w:tcW w:w="96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r>
      <w:tr>
        <w:trPr>
          <w:trHeight w:val="173"/>
        </w:trPr>
        <w:tc>
          <w:tcPr>
            <w:tcW w:w="468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9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254,874</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109,726</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307,702</w:t>
            </w: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169,080</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133,217</w:t>
            </w:r>
          </w:p>
        </w:tc>
        <w:tc>
          <w:tcPr>
            <w:tcW w:w="1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6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a breakdown of our cost of revenues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300" w:type="dxa"/>
            <w:vAlign w:val="bottom"/>
            <w:tcBorders>
              <w:bottom w:val="single" w:sz="8" w:color="auto"/>
            </w:tcBorders>
            <w:gridSpan w:val="6"/>
          </w:tcPr>
          <w:p>
            <w:pPr>
              <w:jc w:val="center"/>
              <w:ind w:left="57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8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9"/>
        </w:trPr>
        <w:tc>
          <w:tcPr>
            <w:tcW w:w="6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Marketing solutions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(194,912)</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(138,140)</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(67,115)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Enterprise solutions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(23,637)</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(35,072)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(31,260)</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(173,212)</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(98,375)</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revenues for our marketing solutions primarily consists of:</w:t>
      </w:r>
    </w:p>
    <w:p>
      <w:pPr>
        <w:spacing w:after="0" w:line="223" w:lineRule="exact"/>
        <w:rPr>
          <w:sz w:val="20"/>
          <w:szCs w:val="20"/>
          <w:color w:val="auto"/>
        </w:rPr>
      </w:pPr>
    </w:p>
    <w:p>
      <w:pPr>
        <w:jc w:val="both"/>
        <w:ind w:left="1000" w:hanging="317"/>
        <w:spacing w:after="0" w:line="261"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Media cost in connection with specified-action marketing campaigns</w:t>
      </w:r>
      <w:r>
        <w:rPr>
          <w:rFonts w:ascii="Times New Roman" w:cs="Times New Roman" w:eastAsia="Times New Roman" w:hAnsi="Times New Roman"/>
          <w:sz w:val="18"/>
          <w:szCs w:val="18"/>
          <w:color w:val="auto"/>
        </w:rPr>
        <w:t>. Media cost refers to cost we pay to publishers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of content distribution opportunities, which is partially offset by rebates we receive from publishers in specified-action marketing campaigns. Media cost represented 88.1%, 50.5% and 67.8% of our cost of revenues in 2021, 2022 and 2023, respectively.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ind w:left="1000" w:hanging="317"/>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of intangible assets. </w:t>
      </w:r>
      <w:r>
        <w:rPr>
          <w:rFonts w:ascii="Times New Roman" w:cs="Times New Roman" w:eastAsia="Times New Roman" w:hAnsi="Times New Roman"/>
          <w:sz w:val="18"/>
          <w:szCs w:val="18"/>
          <w:color w:val="auto"/>
        </w:rPr>
        <w:t>The impairment in 2022 was primarily related to premium media licensing assets, due to</w:t>
      </w:r>
    </w:p>
    <w:p>
      <w:pPr>
        <w:spacing w:after="0" w:line="29" w:lineRule="exact"/>
        <w:rPr>
          <w:rFonts w:ascii="Times New Roman" w:cs="Times New Roman" w:eastAsia="Times New Roman" w:hAnsi="Times New Roman"/>
          <w:sz w:val="18"/>
          <w:szCs w:val="18"/>
          <w:color w:val="auto"/>
        </w:rPr>
      </w:pPr>
    </w:p>
    <w:p>
      <w:pPr>
        <w:jc w:val="both"/>
        <w:ind w:left="10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decline in marketers’ advertising budget, and their potential liquidity issue and difficulty to settle trade debts, due to a broad-based slowdown in China’s advertising market, uncertainties around the macroeconomic condition with tightening regulatory environment that affected our clients in certain industry sectors, (ii) our strategic scale-down of lower margin, higher risk marketing solutions business. It represented 28.3% of our cost of revenues in 2022. The impairment in 2023 was primarily related to intangible assets as a result of net losses during the year. It represented 0.2% of our cost of revenues in 2023. We did not incur any impairment of intangible assets under cost of revenues in 2021.</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for our enterprise solutions primarily consists of amortization expenses related to the computer software and systems, salaries and benefits of relevant operations and support personnel, depreciation of relevant property and equipment and other direct services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classify our operating expenses into five categories: research and development expenses, sales and marketing expenses, general and administrative expenses, impairment of long-lived assets and impairment of goodwill. The following table sets forth our operating expenses, both in absolute amount and as a percentage of our net revenues,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42"/>
        </w:trPr>
        <w:tc>
          <w:tcPr>
            <w:tcW w:w="4640" w:type="dxa"/>
            <w:vAlign w:val="bottom"/>
          </w:tcPr>
          <w:p>
            <w:pPr>
              <w:spacing w:after="0"/>
              <w:rPr>
                <w:sz w:val="12"/>
                <w:szCs w:val="12"/>
                <w:color w:val="auto"/>
              </w:rPr>
            </w:pPr>
          </w:p>
        </w:tc>
        <w:tc>
          <w:tcPr>
            <w:tcW w:w="98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bottom w:val="single" w:sz="8" w:color="auto"/>
            </w:tcBorders>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5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17"/>
        </w:trPr>
        <w:tc>
          <w:tcPr>
            <w:tcW w:w="4640" w:type="dxa"/>
            <w:vAlign w:val="bottom"/>
          </w:tcPr>
          <w:p>
            <w:pPr>
              <w:spacing w:after="0"/>
              <w:rPr>
                <w:sz w:val="10"/>
                <w:szCs w:val="10"/>
                <w:color w:val="auto"/>
              </w:rPr>
            </w:pPr>
          </w:p>
        </w:tc>
        <w:tc>
          <w:tcPr>
            <w:tcW w:w="98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80" w:type="dxa"/>
            <w:vAlign w:val="bottom"/>
          </w:tcPr>
          <w:p>
            <w:pPr>
              <w:spacing w:after="0"/>
              <w:rPr>
                <w:sz w:val="10"/>
                <w:szCs w:val="10"/>
                <w:color w:val="auto"/>
              </w:rPr>
            </w:pPr>
          </w:p>
        </w:tc>
        <w:tc>
          <w:tcPr>
            <w:tcW w:w="980" w:type="dxa"/>
            <w:vAlign w:val="bottom"/>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6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80" w:type="dxa"/>
            <w:vAlign w:val="bottom"/>
          </w:tcPr>
          <w:p>
            <w:pPr>
              <w:spacing w:after="0"/>
              <w:rPr>
                <w:sz w:val="10"/>
                <w:szCs w:val="10"/>
                <w:color w:val="auto"/>
              </w:rPr>
            </w:pPr>
          </w:p>
        </w:tc>
        <w:tc>
          <w:tcPr>
            <w:tcW w:w="90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740" w:type="dxa"/>
            <w:vAlign w:val="bottom"/>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r>
      <w:tr>
        <w:trPr>
          <w:trHeight w:val="173"/>
        </w:trPr>
        <w:tc>
          <w:tcPr>
            <w:tcW w:w="4640" w:type="dxa"/>
            <w:vAlign w:val="bottom"/>
          </w:tcPr>
          <w:p>
            <w:pPr>
              <w:spacing w:after="0"/>
              <w:rPr>
                <w:sz w:val="15"/>
                <w:szCs w:val="15"/>
                <w:color w:val="auto"/>
              </w:rPr>
            </w:pP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w:t>
            </w: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(190,037)</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(75,653)</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(80,137)</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ind w:left="1000" w:hanging="317"/>
        <w:spacing w:after="0" w:line="284" w:lineRule="auto"/>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consist primarily of (i) salary and welfare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personnel, (ii) server hosting and internet expenses, and (iii) consulting expenses.</w:t>
      </w:r>
    </w:p>
    <w:p>
      <w:pPr>
        <w:spacing w:after="0" w:line="158"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Sales and marketing expenses consist primarily of (i) salary and welfare expenses, and (ii)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and promotional costs.</w:t>
      </w:r>
    </w:p>
    <w:p>
      <w:pPr>
        <w:spacing w:after="0" w:line="158" w:lineRule="exact"/>
        <w:rPr>
          <w:rFonts w:ascii="Times New Roman" w:cs="Times New Roman" w:eastAsia="Times New Roman" w:hAnsi="Times New Roman"/>
          <w:sz w:val="18"/>
          <w:szCs w:val="18"/>
          <w:color w:val="auto"/>
        </w:rPr>
      </w:pPr>
    </w:p>
    <w:p>
      <w:pPr>
        <w:jc w:val="both"/>
        <w:ind w:left="1000" w:hanging="317"/>
        <w:spacing w:after="0" w:line="267" w:lineRule="auto"/>
        <w:tabs>
          <w:tab w:leader="none" w:pos="10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(i) salary and welfare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and administrative personnel, (ii) provision for bad debt and other receivables, and (iii) audit, legal and other professional service fees.</w:t>
      </w:r>
    </w:p>
    <w:p>
      <w:pPr>
        <w:spacing w:after="0" w:line="173" w:lineRule="exact"/>
        <w:rPr>
          <w:rFonts w:ascii="Times New Roman" w:cs="Times New Roman" w:eastAsia="Times New Roman" w:hAnsi="Times New Roman"/>
          <w:sz w:val="18"/>
          <w:szCs w:val="18"/>
          <w:color w:val="auto"/>
        </w:rPr>
      </w:pPr>
    </w:p>
    <w:p>
      <w:pPr>
        <w:jc w:val="both"/>
        <w:ind w:left="680" w:hanging="321"/>
        <w:spacing w:after="0" w:line="253"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of long-lived assets and goodwill. </w:t>
      </w:r>
      <w:r>
        <w:rPr>
          <w:rFonts w:ascii="Times New Roman" w:cs="Times New Roman" w:eastAsia="Times New Roman" w:hAnsi="Times New Roman"/>
          <w:sz w:val="18"/>
          <w:szCs w:val="18"/>
          <w:color w:val="auto"/>
        </w:rPr>
        <w:t>Impairment of long-lived assets consists of impairment of property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right-of-use assets and intangible assets. Impairment of goodwill was recorded under marketing solutions and enterprise solutions segment. The impairment of long-lived assets and goodwill impairment under marketing solutions reporting unit in 2022 were as a result of (i) a decline in marketers’ advertising budget, and their potential liquidity issue and difficulty to settle trade debts, due to a broad-based slowdown in China’s advertising market, uncertainties around the macroeconomic condition and tightening regulatory environment that affected our clients in certain industry sectors, and (ii) our larger scale strategic scale-down of lower margin, higher risk marketing solutions business as we prioritized growth focus and resource allocation in light of the challenges in obtaining additional financing. The goodwill impairment under enterprise solutions reporting unit in 2022 was as a result of (i) our clients’ tightened IT budget and reduced spending on digitalization products and services in light of a slowdown of China’s economy and the uncertain macroeconomic conditions, (ii) increased competition in the SaaS market, in response to which we revisit our pricing strategy and enhance our research and development capacity, and (iii) limited additional equity financing from the capital market and debt financing from banks, which hinder our business expansion to new markets. The impairment of long-lived assets in 2023 was as a result of net losses during the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Gains/(Losses), Net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gains/(losses), net consist primarily of (i) forfeited from receipt in advance, (ii) government subsidy income, (iii) net exchange gains/(losses), (iv) impairment on long-term investments, and (v) fair value gains/(losses) on short-term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Cayman Islands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British Virgin Islands</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Generally, our PRC subsidiaries, our consolidated VIE entities, which are considered PRC resident enterprises under PRC tax law, are subject to enterprise income tax on their worldwide taxable income as determined under PRC tax laws and accounting standards at a rate of 25%. High and new technology enterprises (“HNTE”) will enjoy a preferential enterprise income tax rate of 15% under the EIT Law. Our certain subsidiaries in the PRC, which are qualified as a HNTE under the EIT Law, are eligible for a preferential enterprise income tax rate of 15% for a period of three years so long as these entities obtain approval from relevant tax authority if they are profitable during the period.</w:t>
      </w:r>
    </w:p>
    <w:p>
      <w:pPr>
        <w:spacing w:after="0" w:line="1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provided.</w:t>
      </w:r>
    </w:p>
    <w:p>
      <w:pPr>
        <w:spacing w:after="0" w:line="13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paid by our wholly foreign-owned subsidiary in mainland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“Item 3. Key Information—D. Risk Factors—Risks Related to Doing Business in China—We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mainland China were deemed to be a “resident enterprise” under the PRC Enterprise Income Tax Law, it would be subject to enterprise income tax on its worldwide income at a rate of 25%. See “Item 3. Key Information—D. Risk Factors—Risks Related to Doing Business in China—If we are classified as a PRC resident enterprise for PRC income tax purposes, such classification could result in unfavorable tax consequences to us and our non-PRC shareholders or ADS 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revenues decreased by US$35.9 million, or 21%, from US$169.1 million in 2022 to US$133.2 million in 2023.</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revenues from our marketing solutions revenues decreased by US$19.5 million, or 18%, from US$106.0 million in 2022 to US$86.5 million in 2023, primarily because we strategically reduced lower-margin, higher-risk businesses within the marketing solutions segment. The uncertainties of the macro-economic environment led to a broad-based advertising market slowdown in China.</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revenues from our enterprise solutions was dropped by 26% to US$46.7 million in 2023, compared to US$63.1 million in 2022, primarily due to the weaker demand from clients on digitalization products and services. In addition, we offered competitive pricing as a result of clients’ tightened IT budget.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Gross Profit and Gross Profit Margin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cost of revenues decreased by US$74.8 million, or 43%, from US$173.2 million in 2022 to US$98.4 million in 2023, primarily as a result of continuous scale-down of our advertising business in 2023. In addition, we recorded an impairment of intangible assets of US$48.9 million in 2022 while no such impairment was recorded in 2023.</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revenues for our marketing solutions decreased by US$71.0 million, or 51%, from US$138.1 million in 2022 to US$67.1 million in 2023, which was primarily due to the continuous scale-down of our advertising business in 2023. In addition, we recorded an impairment of intangible assets of US$48.6 million in 2022 and the impairment charges decreased to US$0.2 million in 2023.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for our enterprise solutions decreased by US$3.8 million, or 11%, from US$35.1 million in 2022 to US$31.3 million in 2023, which was aligned with the decline in net revenues.</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above, we incurred gross profit of US$34.8 million in 2023, compared to a gross loss of US$4.1 million in 2022. Specifically, we incurred gross profit of US$19.4 million in 2023 for marketing solutions, compared to a US$32.2 million gross loss in 2022. Gross profit for our enterprise solutions decreased by US$12.6 million, or 45%, from US$28.1 million in 2022 to US$15.5 million in 2023.</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gross profit margin of 26.2% in 2023, compared to a gross loss margin of 2.4% in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operating expenses decreased by US$114.4 million, or 60%, from US$190.0 million in 2022 to US$75.7 million in 2023, primarily due to (i) the full impairment of goodwill of US$80.1 million in 2022, (ii) decreases in bad debt expenses and provision of other receivables, (iii) reduced promotional expenses, consulting expenses, staff cost and share-based compensation expenses for optimizing cost effectiveness, and (iv) the drop in impairment of long-lived assets in 2023. The operating expenses as a percentage of net revenues decreased from 112.4% in 2022 to 56.8% in 2023.</w:t>
      </w:r>
    </w:p>
    <w:p>
      <w:pPr>
        <w:spacing w:after="0" w:line="181" w:lineRule="exact"/>
        <w:rPr>
          <w:sz w:val="20"/>
          <w:szCs w:val="20"/>
          <w:color w:val="auto"/>
        </w:rPr>
      </w:pPr>
    </w:p>
    <w:p>
      <w:pPr>
        <w:jc w:val="both"/>
        <w:ind w:left="1000" w:hanging="317"/>
        <w:spacing w:after="0" w:line="261"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sales and marketing decreased by US$7.4 million, or 17%, from US$44.6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to US$37.2 million in 2023. The decrease was primarily related to reduction of promotional expenses and share-based compensation expenses. Sales and marketing expenses as a percentage of net revenues remained relatively stable at 26.4% in 2022 and 27.9% in 2023.</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decreased by US$23.6 million, or 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US$51.7 million in 2022 to US$28.1 million in 2023, primarily due to the decreases in current expected credit losses provision of trade receivables and other receivables of US$21.8 million, and consulting expenses of US$3.3 million. General and administrative expenses as a percentage of net revenues decreased from 30.6% in 2022 to 21.1% in 2023.</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61"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decreased by US$1.7 million, or 18%,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US$9.2 million in 2022 to US$7.5 million in 2023, primarily due to the decrease in staff cost for operational efficiency, and depreciation and amortization. Research and development expenses as a percentage of net revenues remained relatively stable at 5.5% in 2022 and 5.7% in 2023.</w:t>
      </w:r>
    </w:p>
    <w:p>
      <w:pPr>
        <w:spacing w:after="0" w:line="179" w:lineRule="exact"/>
        <w:rPr>
          <w:rFonts w:ascii="Times New Roman" w:cs="Times New Roman" w:eastAsia="Times New Roman" w:hAnsi="Times New Roman"/>
          <w:sz w:val="18"/>
          <w:szCs w:val="18"/>
          <w:color w:val="auto"/>
        </w:rPr>
      </w:pPr>
    </w:p>
    <w:p>
      <w:pPr>
        <w:ind w:left="1000" w:right="20" w:hanging="317"/>
        <w:spacing w:after="0" w:line="284"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of long-lived assets. </w:t>
      </w:r>
      <w:r>
        <w:rPr>
          <w:rFonts w:ascii="Times New Roman" w:cs="Times New Roman" w:eastAsia="Times New Roman" w:hAnsi="Times New Roman"/>
          <w:sz w:val="18"/>
          <w:szCs w:val="18"/>
          <w:color w:val="auto"/>
        </w:rPr>
        <w:t>Our impairment of long-lived assets decreased by US$1.6 million, or 36%, from US$4.4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2022 to US$2.8 million in 2023, consistent with the decrease in long-lived assets in 2023.</w:t>
      </w:r>
    </w:p>
    <w:p>
      <w:pPr>
        <w:spacing w:after="0" w:line="158" w:lineRule="exact"/>
        <w:rPr>
          <w:rFonts w:ascii="Times New Roman" w:cs="Times New Roman" w:eastAsia="Times New Roman" w:hAnsi="Times New Roman"/>
          <w:sz w:val="18"/>
          <w:szCs w:val="18"/>
          <w:color w:val="auto"/>
        </w:rPr>
      </w:pPr>
    </w:p>
    <w:p>
      <w:pPr>
        <w:ind w:left="1000" w:hanging="317"/>
        <w:spacing w:after="0" w:line="284" w:lineRule="auto"/>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of goodwill. </w:t>
      </w:r>
      <w:r>
        <w:rPr>
          <w:rFonts w:ascii="Times New Roman" w:cs="Times New Roman" w:eastAsia="Times New Roman" w:hAnsi="Times New Roman"/>
          <w:sz w:val="18"/>
          <w:szCs w:val="18"/>
          <w:color w:val="auto"/>
        </w:rPr>
        <w:t>We recorded full impairment of goodwill of US$80.1 million in 2022, while no such impairment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recorded in 2023.</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interest income was US$1.5 million and US$2.0 million in 2022 and 2023, respectively. The change was primarily attributable to the increase of interest rate for US$ deposit.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interest expense was US$2.1 million and US$1.4 million in 2022 and 2023, respectively. The change was primarily attributable to the repayment of credit facilities during the year, as a result of the sufficient cash level in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Gains /(Losses),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other losses, net was US$19.2 million in 2022 and it was other gains of US$2.0 million in 2023. The change was due to (i) decrease in impairment loss of long-term investments of US$9.8 million, (ii) fair value loss on contingent consideration payables of US$8.4 million in 2022, compared to nil in 2023, and (iii) drop of net exchange losses of US$2.0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Loss from an Equity Investee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share of loss of an equity investee was US$0.1 million in 2022 and 2023. Our share of losses of an equity investee is primarily associated with net losses from our joint venture with VGI Global Media Plc in Thailand that was set up in May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Expense/(Credit)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recorded an income tax credit of US$11.2 million and income tax expense of US$0.6 million in 2022 and 2023, respectively.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expense in 2023 was in relation to the income generated by some of our operating companies.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foregoing, our net loss decreased from US$202.8 million in 2022 to US$38.9 million in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net revenues decreased by US$138.6 million, or 45.1%, from US$307.7 million in 2021 to US$169.1 million in 2022.</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revenues from our marketing solutions revenues decreased by US$136.7 million, or 56.3%, from US$242.6 million in 2021 to US$106.0 million in 2022, primarily as a result of (i) a decline in marketers’ advertising budget, and their potential liquidity issue and difficulty to settle trade debts, due to a broad-based slowdown in China’s advertising market, uncertainties around the macroeconomic condition from COVID-19 impact and tightening regulatory environment that affected our clients in certain industry sectors, and (ii) our strategic scale-down of lower margin, higher risk marketing solutions business.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revenues from our enterprise solutions was dropped by 3.0% to US$63.1 million in 2022, compared to US$65.1 million in 2021, primarily due to challenges from the pandemic and lockdowns, which affected the progress of our client on-boarding and solution implementation in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Gross Profit and Gross Profit Margin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cost of revenues decreased by US$45.3 million, or 20.7%, from US$218.5 million in 2021 to US$173.2 million in 2022, primarily as a result of contraction in marketing solutions segment during the year.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revenues for our marketing solutions decreased by US$56.8 million, or 29.1%, from US$194.9 million in 2021 to US$138.1 million in 2022, which was primarily due to the scale down of our advertising business and impairment of intangible assets of US$48.6 million in 2022.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revenues for our enterprise solutions increased by US$11.4 million, or 48.4%, from US$23.6 million in 2021 to US$35.1 million in 2022, primarily as a result of more customized services demand from clients.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above, we incurred gross loss of US$4.1 million in 2022, compared to a gross profit of US$89.2 million in 2021. Specifically, we incurred gross loss of US$32.2 million in 2022 for marketing solutions, compared to a US$47.7 million gross profit in 2021. Gross profit for our enterprise solutions decreased by US$13.4 million, or 32.3%, from US$41.5 million in 2021 to US$28.1 million in 2022.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gross loss margin of 2.4% in 2022, compared to a gross profit margin of 29.0% in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74"/>
        <w:spacing w:after="0" w:line="258" w:lineRule="auto"/>
        <w:rPr>
          <w:sz w:val="20"/>
          <w:szCs w:val="20"/>
          <w:color w:val="auto"/>
        </w:rPr>
      </w:pPr>
      <w:r>
        <w:rPr>
          <w:rFonts w:ascii="Times New Roman" w:cs="Times New Roman" w:eastAsia="Times New Roman" w:hAnsi="Times New Roman"/>
          <w:sz w:val="18"/>
          <w:szCs w:val="18"/>
          <w:color w:val="auto"/>
        </w:rPr>
        <w:t>Our operating expenses increased by US$88.0 million, or 86.2%, from US$102.0 million in 2021 to US$190.0 million in 2022, primarily due to the impairment of goodwill and long-lived assets of US$80.1 million and US$4.4 million respectively, and increase in bad debt expenses and provision of other receivables, partially offset by reduced share-based compensation expenses of US$9.7 million and optimizing cost effectiveness. The operating expenses as a percentage of net revenues increased from 33.2% in 2021 to 112.4% in 2022.</w:t>
      </w:r>
    </w:p>
    <w:p>
      <w:pPr>
        <w:spacing w:after="0" w:line="181" w:lineRule="exact"/>
        <w:rPr>
          <w:sz w:val="20"/>
          <w:szCs w:val="20"/>
          <w:color w:val="auto"/>
        </w:rPr>
      </w:pPr>
    </w:p>
    <w:p>
      <w:pPr>
        <w:jc w:val="both"/>
        <w:ind w:left="1000" w:right="20" w:hanging="317"/>
        <w:spacing w:after="0" w:line="261"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Our sales and marketing decreased by US$8.3 million, or 15.6%, from US$52.9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to US$44.6 million in 2022. The decrease was primarily related to the reduction of share-based compensation expenses of US$8.2 million. Sales and marketing expenses as a percentage of net revenues increased from 17.2% in 2021 to 26.4% in 2022.</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increased by US$12.0 million, or 40.0%,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US$39.6 million in 2021 to US$51.7 million in 2022, primarily due to the increase of bad debt expenses and provision of other receivables. General and administrative expenses as a percentage of net revenues increased from 12.9% in 2021 to 30.6% in 2022.</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decreased by US$0.3 million, or 3.3%,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US$9.5 million in 2021 to US$9.2 million in 2022, primarily due to the decrease on bonus with the weaker operational performance due to uncertainties in macro-environment and COVID-19 pandemic. Research and development expenses as a percentage of net revenues increased from 3.1% in 2021 to 5.5% in 2022.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both"/>
        <w:ind w:left="1000" w:hanging="317"/>
        <w:spacing w:after="0" w:line="253"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goodwill and long-lived assets</w:t>
      </w:r>
      <w:r>
        <w:rPr>
          <w:rFonts w:ascii="Times New Roman" w:cs="Times New Roman" w:eastAsia="Times New Roman" w:hAnsi="Times New Roman"/>
          <w:sz w:val="18"/>
          <w:szCs w:val="18"/>
          <w:color w:val="auto"/>
        </w:rPr>
        <w:t>. In 2022, we recorded US$4.4 million in impairment of long-lived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US$80.1 million in goodwill (US$53.0 million under marketing solutions reporting unit and US$27.1 million under enterprise solutions reporting unit). We did not record any impairment of long-lived assets or goodwill in 2021. The goodwill impairment in marketing solutions reporting unit and impairment of long-lived assets were as a result of (i) a decline in marketers’ advertising budget, and their potential liquidity issue and the difficulty to settle accounts receivables, due to a broad-based slowdown in China’s advertising market and tightening regulatory environment that affected our clients in certain industry sectors, and (ii) our strategic scale-down of lower margin, higher risk marketing solutions business. The goodwill impairment in enterprise solutions reporting unit was as a result of (i) our clients’ tightened IT budget and reduced spending on digitalization products and services in light of a slowdown of China’s economy and the uncertain macroeconomic conditions, (ii) increased competition in the SaaS market, in response to which we revisit our pricing strategy and enhance research and development capacity, and (iii) limited additional equity financing from the capital market and debt financing from banks, which has hindered our business expansion to new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interest income was US$0.8 million and US$1.5 million in 2021 and 2022, respectively. The change was primarily attributable to the increase of interest rate for US$ deposit.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interest expense was US$4.1 million and US$2.1 million in 2021 and 2022, respectively. The change was primarily attributable to the decrease of credit facilities used during the year, as a result of the increase of cash inflow from operating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(Losses)/Gains, Net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other gains, net was US$2.2 million in 2021 and it was other losses of US$19.2 million in 2022, respectively. The change was affected by impairment loss on our long-term investments of US$10.8 million, fair value loss on contingent consideration payables of US$8.4 million, and exchange loss of US$3.2 million, partially offset by government subsidy income of US$4.5 million in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Loss from an Equity Investee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share of loss of an equity investee was US$0.1 million in 2021 and 2022 each. Our share of losses of an equity investee is primarily associated with net losses from our joint venture with VGI Global Media Plc in Thailand that was set up in May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(Credit)/Expense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an income tax expenses of US$2.5 million and income tax credit of US$11.2 million in 2021 and 2022, respectively. The income tax credit in 2022 was primarily due to impairment of intangible assets which resulted in reversal of deferred tax liabilities during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foregoing, our net loss increased from US$16.6 million in 2021 to US$202.8 million in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detailed discussion on recent accounting pronouncements, see Note 2(al) to our consolidated financial statements included elsewhere in this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5B.</w:t>
      </w:r>
      <w:r>
        <w:rPr>
          <w:sz w:val="20"/>
          <w:szCs w:val="20"/>
          <w:color w:val="auto"/>
        </w:rPr>
        <w:tab/>
      </w:r>
      <w:r>
        <w:rPr>
          <w:rFonts w:ascii="Times New Roman" w:cs="Times New Roman" w:eastAsia="Times New Roman" w:hAnsi="Times New Roman"/>
          <w:sz w:val="17"/>
          <w:szCs w:val="17"/>
          <w:b w:val="1"/>
          <w:bCs w:val="1"/>
          <w:color w:val="auto"/>
        </w:rPr>
        <w:t>LIQUDITY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principal sources of liquidity have been cash generated from our operating activities, proceeds from our equity and debt issuances and proceeds from bank borrowings. As of December 31, 2023, we had US$50.8 million in cash and cash equivalents, time deposits of US$0.3 million, restricted cash of US$26.8 million, and borrowing capacity of US$38.4 million under our revolving credit facilities of a total principal amount of US$55.7 million. As of December 31, 2023, our cash and cash equivalents primarily consisted of cash on hand, cash held at bank, and time deposits placed with banks or other financial institutions, which have original maturities of three months or less. Out of our cash and cash equivalents as of December 31, 2023, US$6.3 million was held in U.S. dollar, RMB257.5 million (US$35.9 million) was held in Renminbi, HK$52.6 million (US$6.8 million) was held in Hong Kong dollar, JPY235.4 million (US$1.5 million) was held in Japanese Yen, SGD0.2 million (US$0.2 million) was held in Singapore dollar, TWD2.8 million (US$0.1 million) was held in New Taiwan dollar and a subsequent 0.4 million (US$0.2 million) was held in other currencies. We closely monitor our cash balance and future payments obligations by preparing monthly management account and regular fund reports to provide a timely overview of our overall cash position and liquidity and risk control measurements. Such reports will be reviewed by our chief financial officer and our financial controller. In addition, we have adopted a stringent cash management policy. We also regularly monitor our current and expected liquidity requirements to ensure that we maintain sufficient cash balances to meet our liquidity needs. As of December 31, 2023, the VIE entities held US$1.0 million cash and cash equivalents.</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had continuing losses from operations since inception. We incurred net loss of US$16.6 million, US$202.8 million and US$38.9 million for the years ended December 31, 2021, 2022 and 2023, respectively. Accumulated deficit was amounted to US$422.1 million and US$460.8 million as of December 31, 2022 and 2023, respectively. Cash flows from operating activities were a net outflow of US$19.7 million, a net inflow of US$71.1 million and a net outflow of US$19.4 million for the years ended December 31, 2021, 2022 and 2023, respectively. As of December 31, 2023, certain financial covenant as set out in one of the loan agreements related to outstanding bank borrowings of RMB80.0 million (equivalent to US$11.1 million) due for repayment in March 2024 (which was subsequently extended to June 2024) was breached and we have subsequently obtained a waiver letter such that the bank would not demand early repayment from us before maturity of the borrowings. Net cash position (as calculated by the total of (i) cash and cash equivalents, (ii) time deposits, and (iii) restricted cash, net off with (i) bank borrowings) decreased significantly from US$61.0 million as of December 31, 2022 to US$39.4 million as of December 31, 2023. Such conditions and events raised substantial doubt about our ability to continue as a going concern.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developed a business plan to maintain our gross profit, control operating costs and manage working capital going forward. In particular, we intend to continue to increase our operational efficiency through cost-saving measures. Based on the plan, our management prepared a cash flow projection covering the Projection Period, which has taken into account the anticipated cash flows to be generated from our future operation and existing balance of cash and cash equivalents, time deposits and restricted cash as of December 31, 2023.</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on our cash flow projection and liquidity assessment, we are of the opinion that we have sufficient funds to meet our obligations or liabilities when they become due, and provide the required working capital and liquidity for continuous operation over the next twelve months from the date of issuance of our consolidated financial statements, despite the fact that our liquidity may continue to deteriorate shortly after the Projection Period. As a result, we concluded that the business plan, when implemented effectively, will alleviate the substantial doubt on our ability to continue as a going concern. Accordingly, our consolidated financial statements have been prepared on a going concern basis over the next twelve months from the date of issuance of our consolidated financial statements, which contemplates the realization of assets and liquidation of liabilities during the normal course of operations. However, we cannot assure you that we will be successful in executing our business plan. See “Item 3. Key Information—D. Risk Factors—Risks Related to Our Business and Industry—We have incurred significant net losses, operating cash outflows and accumulated deficit in the past with a significant drop in net cash balance in 2023 and may not be able to continue as a going concern in the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although we consolidate the results of our consolidated VIE entities, we only have access to the assets or earnings of our consolidated VIE entities through our contractual arrangements with our consolidated VIE entities and its shareholder. See “Item 4. Information on the Company—C. Organizational Structure—Contractual Arrangements with OptAim Network.” For restrictions and limitations on liquidity and capital resources as a result of our corporate structure, see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SAFE as long as certain routine procedural requirements are fulfilled. However, approval from or registration with competent government authorities is required where Renminbi is to be converted into foreign currency and remitted out of mainland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SAFE and its local branches. See “Item 3. Key Information—D. Risk Factors—Risks Relating to Doing Business in China—Governmental control of currency conversion may limit our ability to utilize our revenues effectively and affect the value of your investment.”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280" w:type="dxa"/>
            <w:vAlign w:val="bottom"/>
            <w:tcBorders>
              <w:bottom w:val="single" w:sz="8" w:color="auto"/>
            </w:tcBorders>
            <w:gridSpan w:val="6"/>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8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6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Data:</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(19,673)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(19,426)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(22,390)</w:t>
            </w: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2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(37,289)</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(6,089)</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exchange rate changes on cash and cash equivalents and restricted cash</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 and restricted cash</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(17,320)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beginning of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94,377</w:t>
            </w:r>
          </w:p>
        </w:tc>
        <w:tc>
          <w:tcPr>
            <w:tcW w:w="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105,297</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end of year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105,297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77,522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amounted to US$19.4 million in 2023, which was mainly attribute to net loss of US$38.9 million, partially offset by a net increase in working capital of US$10.0 million and non-cash items of US$9.4 million. The net increase in working capital of US$10.0 million was primarily attributable to decrease in accounts receivable of US$10.0 million, decrease in prepaid media cost of US$4.7 million, partially offset by the increase in deferred revenue of US$4.3 million. The non-cash items of US$9.4 million were primarily attributable to provision of loan and other receivables of US$4.5 million, impairment of right-of-use assets of US$2.6 million, share based compensation of US$1.1 million, and impairment on long-term investments of US$1.0 million.</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amounted to US$71.1 million in 2022, which was mainly attributable to non-cash items of US$181.6 million and a net increase in working capital of US$92.3 million, partially offset by net loss of US$202.8 million. The non-cash items of US$181.6 million were primarily attributable to goodwill impairment of US$80.1 million, impairment on intangible assets of US$49.8 million, allowance for credit losses on accounts receivable of US$18.5 million, impairment on long-term investments of US$10.8 million, provision of loan and other receivables of US$11.2 million, and fair value change on contingent consideration payable of US$8.4 million. The net increase in working capital of US$92.3 million was primarily attributable to decrease in accounts receivable of US$104.0 million and decrease in prepaid media cost of US$17.5 million, partially offset by decrease in accounts payable of US$24.9 million, and decrease in deferred revenue of US$6.9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amounted to US$19.7 million in 2021, which was mainly attributable to a net loss of US$16.6 million and a net decrease in working capital of US$37.4 million, partially offset by non-cash items of US$34.3 million. The net decrease in working capital of US$37.4 million was primarily attributable to increase in accounts receivable of US$58.6 million and decrease in deferred revenue of US$5.3 million, partially offset by an increase in accounts payable of US$23.4 million. The non-cash items of US$34.3 million were primarily attributable to allowance for credit losses on accounts receivable of US$12.4 million, share-based compensation expenses of US$13.5 million and impairment on long-term investments of US$4.0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2023 was US$1.0 million, due to US$5.2 million for consideration for acquisition of business, partially offset by disposal of long-term investment of US$1.9 million, and a decrease in short-term investments of US$1.6 million.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2022 was US$4.0 million, due to US$7.7 million and US$6.5 million for acquisition of businesses and long-term investments, respectively, partially offset by cash inflow from time deposits of US$11.1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2021 was US$22.4 million, due to an increase in time deposits of US$11.0 million, US$10.9 million of net loan amount to third parties, US$10.0 million and US$4.5 million for acquisition of businesses and long-term investments respectively, partially offset by a decrease in short-term investments of US$15.6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2023 was US$6.1 million, which was primarily attributable to net repayments of bank borrowings of US$5.9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2022 was US$37.3 million, which was primarily attributable to net repayments of bank borrowings of US$29.8 million and share repurchase amounting to US$7.6 million.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2021 was US$24.7 million, which was primarily attributable to net proceeds from bank borrowings of US$17.8 million and net proceeds from issuance of ordinary shares upon subscription from Baozun Inc. of US$17.0 million respectively, partially offset by share repurchase amounting to US$10.7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March 2019, we entered into a facility agreement with a commercial bank, which provides for a one-year factoring loans of HK$24.0 million (US$3.1 million). We provide corporate guarantee and accounts receivable as pledge to secure our obligations under this revolving loan. The interest rate of this loan facility was at 4.25% per annum over 1-month Hong Kong Interbank Offered Rate (“HIBOR”) for loan in HK$, 2.00% per annum over 1-month HIBOR for loan in RMB, or 4.25% per annum over 1-month London Interbank Offered Rate (“LIBOR”) for loan in US$. The interest rate of facilities in US$ was amended to 4.32% over US$ reference rate from April 2022. As of December 31, 2023, the total outstanding amount of the revolving loan was HK$0.1 million (US$14 thousand).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April 2019, we entered into a facility agreement for working capital loans with a commercial bank. The loan facility provides for a one-year revolving loan of US$13.6 million, which is supported by standby documentary credit facilities of US$15.0 million. In April 2021, this loan was subsequently amended. The amended agreement provides for a one-year revolving loan of US$50.0 million. We provide corporate guarantee, deposits and accounts receivable as pledge to secure our obligations under this revolving loan. The interest rate of this loan facility is either (i) 5.22% in RMB, or (ii) 1-month LIBOR plus 3.00% per annum if the loan is drawn down in US$. The interest rate of facilities in RMB was amended to 4.85% from October 2023. As of December 31, 2023, the total outstanding amount of the revolving loan was RMB66.0 million (US$9.2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August 2019, we entered into two facility agreements for working capital loans with a commercial bank, which provide for</w:t>
      </w:r>
    </w:p>
    <w:p>
      <w:pPr>
        <w:spacing w:after="0" w:line="27" w:lineRule="exact"/>
        <w:rPr>
          <w:sz w:val="20"/>
          <w:szCs w:val="20"/>
          <w:color w:val="auto"/>
        </w:rPr>
      </w:pPr>
    </w:p>
    <w:p>
      <w:pPr>
        <w:jc w:val="both"/>
        <w:ind w:firstLine="8"/>
        <w:spacing w:after="0" w:line="251" w:lineRule="auto"/>
        <w:tabs>
          <w:tab w:leader="none" w:pos="2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one-year revolving loan of RMB18.5 million (US$2.6 million) and (ii) a one-year revolving loan of US$1.6 million, respectively. We provide corporate guarantee and deposits as pledge to secure our obligations under this revolving loan. The interest rate of this loan facility was the benchmark interest rate determined by the People’s Bank of China for loans over one year granted by financial institutions plus 0.97% per annum. This loan was subsequently renewed in September 2019 and August 2020. The one-year revolving loan of US$1.6 million was replaced by a one-year revolving loan of RMB11.5 million (US$1.6 million). The interest rate of these facilities is 3.60% per annum and reduced to 3.00% in August 2021. In December 2019, we entered into a facility agreement for working capital loans with a commercial bank, which provide for one-year revolving loan of RMB50.0 million (US$7.0 million). We provide corporate guarantee and deposits as pledge to secure our obligations under this revolving loan. It was subsequently renewed and amended in December 2020. The interest rate of this loan facility was subsequently amended to 3.00% per annum. In October 2020, we entered into a facility agreement for working capital loans with a commercial bank, which provide for one-year revolving loan of RMB100.0 million (US$13.9 million). We provide corporate guarantee and deposits as pledge to secure our obligations under this revolving loan. The interest rate of this loan facility is fixed at 3.25% per annum and reduced to 3.00% in August 2021. As of December 31, 2023, the total outstanding amount of these revolving loans were RMB114.5 million (US$16.0 million).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October 2019, we entered into a one-year facility agreement for working capital loans with a commercial bank, which provides for (i) US$15.0 million standby documentary credit facilities, (ii) US$10.0 million combined limit for pre-shipment buyer loan and revolving loan, and (iii) US$1.0 million overdraft facilities. We provide corporate guarantee and bank deposits as pledge to secure our obligations under these loan facilities. In March 2021, this loan was subsequently amended, which provides for (i) US$15.0 million combined limit for pre-shipment buyer loan and post-shipment buyer loan, (ii) US$6.0 million revolving loan, and (iii) US$1.0 million overdraft facilities. For the pre-shipment buyer loan and post-shipment buyer loan, the interest rate is at either (i) HIBOR plus 3.85% per annum if the loan is drawn down in HK$, or (ii) LIBOR plus 3.85% per annum if the loan is drawn down in US$. For the revolving loan, the interest rate is at either (i) HIBOR plus 4.25% per annum if the loan is drawn down in HK$, or (ii) LIBOR plus 4.25% per annum if the loan is drawn down in US$. For the overdraft facility, the interest rate is at the bank’s US$ best lending rate. From April 2022, interest rate of the pre-shipment buyer loan and post-shipment buyer loan in US$ was amended to 3.95% over US$ reference rate, and interest rate of the revolving loan in US$ was amended to 4.35% over US$ reference rate. We had no outstanding balance under these loan facilities as of December 31, 2023.</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2019, we entered into a facility agreement for working capital loans with a commercial bank, which provide for a half-year revolving loan of RMB50.0 million (US$7.0 million). We provide corporate guarantee and accounts receivable of certain subsidiaries to secure our obligations. It was subsequently renewed and amended in December 2020 and December 2021. The amended agreement provides for a half-year revolving loan of RMB80.0 million (US$11.1 million), and amended to a three-month revolving loan in December 2023. The interest rate of this facility was 6.35%, reduced to 6.25% in December 2021, reduced to 5.00% in December 2022, and reduced to 4.70% in December 2023. As of December 31, 2023, the total outstanding amount of this revolving loan was RMB80.0 million (US$11.1 million).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January 2023, we entered into a facility agreement for working capital loans with a commercial bank, which provides for a non-revolving loan of RMB3.0 million (US$0.4 million) until February 2024. The interest rate of this loan facility is LPR plus 0.75%. As of December 31, 2023, the total outstanding amount of this loan was RMB1.0 million (US$0.1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2023, we entered into a facility agreement for working capital loans with a commercial bank, which provides for a one-year non-revolving loan of RMB20.0 million (US$2.8 million). The interest rate of this loan facility is LPR minus 0.05%. As of December 31, 2023, the total outstanding amount of this loan was RMB5.0 million (US$0.7 million).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June 2023, we entered into a facility agreement for working capital loans with a commercial bank, which provides for a revolving loan of RMB9.0 million (US$1.3 million) until June 2024. The interest rate of this loan facility is fixed at 3.60% per annum. As of December 31, 2023, the total outstanding amount of this loan was RMB9.0 million (US$1.3 million).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2021 and December 31, 2022, certain financial covenant (minimum quarterly EBITDA as defined in the banking facilities agreements) as set out in these loan agreements was breached. We have obtained waiver letter such that the bank would not demand immediate repayment. As of December 31, 2023, certain financial covenant (minimum quarterly EBITDA as defined in the banking facilities agreements) as set out in these loan agreements has been breached. We have obtained waiver letter such that the bank would not demand immediate repayment.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Out of our banking facilities of US$213.3 million, US$165.3 million and US$55.7 million available as of December 31, 2021, 2022 and 2023, respectively, US$75.5 million, US$44.3 million and US$38.4 million have been utilized by us as of December 31, 2021, 2022 and 2023, respectively. As of December 31, 2023, total unutilized revolving, service trade and term loan facilities amounted to US$10.4 million, US$4.5 million and US$2.4 million (December 31, 2022: US$97.4 million, US$18.1 million and US$5.5 million respectively). Total undrawn facilities available for drawdown as of December 31, 2023, net of bank deposits that would need to be pledged as restricted cash upon utilization of the facilities, amounted to US$5.5 million.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than those shown in “—Credit Facilities,” we did not have any significant capital and other commitments, long-term obligations, or guarantees as of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made capital expenditures of US$1.6 million, US$0.5 million and US$0.1 million in 2021, 2022 and 2023, respectively. In these periods, our capital expenditures were mainly used for the purchase of property and equipment. We will continue to make capital expenditures to support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2023 and any subsequent interim period primarily include our bank borrowings, operating lease obligations, purchase obligations and investment commitment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iClick Interactive Asia Group Limited is a Cayman Islands exempted limited liability company, used as a holding company with no material operations of its own. We conduct our operations primarily through our wholly-owned subsidiaries, our consolidated VIE entities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PRC accounting standards and regulations. Under PRC law, each of our wholly-owned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Remittance of dividends by a wholly foreign-owned company out of China is subject to examination by the banks designated by SAFE. We currently plan to reinvest all earnings from our PRC subsidiaries to their business developments and do not plan to request dividend distributions from them.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5C. RESEARCH AND DEVELOPMENT, PATENTS AND LICENSES, ETC.</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Overview—Research and Development” and “—Intellectual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5D. 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since January 1, 2021 that are reasonably likely to have a material effect on our net revenues, income, profitability, liquidity or capital resources, or that would cause reported consolidated financial information not necessarily to be indicative of future operating results or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Critical Accounting Estimates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relates to our consolidated financial statements, which have been prepared in accordance with United States of America generally accepted accounting principles (“U.S. GAAP”). The preparation of these financial statements requires us to make estimates and judgments that affect the reported amounts of assets, liabilities, revenues, costs and expenses, and related disclosures. On an on-going basis, we evaluate our estimates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has discussed the development and selection of these critical accounting estimates with the Audit Committee of our Board of Directors.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“Notes to Consolidated Financial Statements – Note 2 Principal accounting policies”.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assessment of goodwill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Nature of estimate: Goodwill is subject to periodic assessments of impairment. We conduct a goodwill impairment test at the reporting unit level annually in the fourth quarter, or more frequently when events or circumstances occur indicating that the recorded goodwill may be impaired. We assess qualitative factors to determine whether it is more likely than not that the fair value of a reporting unit is less than its carrying amount, including goodwill. If a qualitative assessment identifies a possible impairment or we impair the assets of a reporting unit, then a quantitative goodwill impairment test is performed. If the carrying value of the reporting unit is above fair value, an impairment loss is recognized in an amount equal to the excess.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two reporting units, which include (i) the Marketing Solutions business and (ii) the Enterprise Solutions business.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Assumptions: We estimate the fair values of our Marketing Solutions and Enterprise Solutions reporting units using the market approach and the income approach, respectively as of December 31, 2021. During the year ended December 31, 2022, due to our plan to strategically downsize the Marketing Solutions reporting unit, we considered the identification of companies comparable to the downsized Marketing Solutions reporting unit under a market approach using the guideline public company method to be not practical whereby the use of an income approach to estimate the fair value of Marketing Solutions reporting unit as of December 31, 2022 is considered to be more appropriate. Therefore, we determine the fair values of both Marketing Solutions reporting unit and the Enterprise Solutions reporting unit as of December 31, 2022 based on an income approach.</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market approach considers revenue multipliers based on market data of comparable companies engaged in similar operations and economic characteristics. The income approach considers a number of factors that include expected future cash flows, revenue growth rates, an estimated terminal value using a terminal year long-term future growth rate, a discount rate, and requires us to make certain assumptions and estimates regarding future profitability of the business. The goodwill impairment assessment is sensitive to our estimates in these factors. Some of the inherent estimates and assumptions used in determining fair value of the reporting units are outside the control of management, including interest rates, cost of capital, tax rates and market multiples on revenue for comparable entities. While we believe we have made reasonable estimates and assumptions to calculate the fair value of the reporting units, it is possible a material change could occur. If our actual results are not consistent with our estimates and assumptions used to calculate fair value, it could result in material impairments of our goodwill.</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 periodic impairment tests conducted for the year ended December 31, 2022, the carrying value of the reporting unit exceeded the fair value and indicating that the goodwill was fully impaired for both Marketing Solutions and Enterprise Solutions reporting units. As of December 31, 2022, our goodwill was fully impaired. There was no goodwill for the year ended and as of December 31,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goodwill impairment in Marketing Solutions reporting unit in 2022 was affected by (i) decline in marketers’ advertising budgets, and the potential liquidity issue and the difficulty to settle trade debts, due to the slowdown of China’s entire advertising sector growth as a result of changing regulatory environment, and unpredictable macro environment continued at post-pandemic era in which marketers are still cautious on advertising spending; and (ii) larger scale of strategic unwind lower margin, higher risk clients under Marketing Solutions segment because of the difficulty in obtaining additional equity financing from the capital market and debt financing from banks, which lead to the execution of balancing working capital management and business growth. The goodwill impairment in Enterprise Solutions reporting unit was affected by (i) slowdown of Chinese economy and unpredictable macro-economic environment, which consumers are shifting priorities towards cost-cutting measures rather than investing in new technology, causing them to tighten IT budgets and spending of digitalization products and services; (ii) higher competitive SaaS market, which we have to increase cost to develop more new SaaS related offerings as well as enhance additional research and development capacity, and revisit our pricing strategy with a downward pricing pressure; and (iii) limited additional equity financing from the capital market and debt financing from banks hinder our business expansions and penetration to new markets.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assessment of long-lived assets other than goodwill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Long-lived assets other than goodwill are tested at the level of the smallest identifiable group of assets that generates cash inflows that are largely independent of the cash inflows from other assets or groups of assets.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Nature of estimate: We test long-lived asset groups for impairment when an event occurs or circumstances change that indicate the asset groups may be impaired. When a triggering event occurs, a test for recoverability is performed, comparing projected undiscounted future cash flows to the carrying value of the asset group. If the test for recoverability identifies a possible impairment, the asset group’s fair value is measured relying primarily on a discounted cash flow method. Judgment is used in estimating future cash flows, determining appropriate discount rates and making other assumptions. Changes in these estimates and assumptions could materially affect the determination of the asset group’s fair value. An impairment charge is recognized for the amount by which the carrying value of the asset group exceeds its estimated fair value. When an impairment loss is recognized for assets to be held and used, the adjusted carrying amounts of those assets are depreciated over their remaining useful life.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Assumptions and Approach Used: Fair value of an asset group is determined from the perspective of a market-participant considering, among other things, appropriate valuation techniques, the most advantageous market, and assumptions about the highest and best use of the asset group. We measure the fair value of an asset group based on market prices (i.e., the amount for which the asset could be sold to a third party) when available. When market prices are not available, we generally estimate the fair value of the asset group using the income approach. The income approach uses cash flow projections. Inherent in our development of cash flow projections are assumptions and estimates derived from a review of our operating results, business plan forecasts, expected growth rates, and risk adjusted discount rates, similar to those a market participant would use to assess fair value. We also make certain assumptions about future economic conditions and other data. Many of the factors used in assessing fair value are outside the control of management, and these assumptions and estimates may change in future periods. Changes in assumptions or estimates can materially affect the fair value measurement of an asset group and, therefore, can affect the test results.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No impairment charge for long-lived assets and intangible assets was recognized for the year ended December 31, 2021 given no such events nor changes in circumstances are noted in these fiscal years. We recorded impairment of US$1.2 million, US$2.4 million and US$49.8 million on fixed assets, right-of-use assets and intangible assets respectively for the year ended December 31, 2022, as a result of (i) decline in marketers’ advertising budgets, and the potential liquidity issue and the difficulty to settle trade debts, due to the slowdown of China’s entire advertising sector growth as a result of changing regulatory environment, and unpredictable macro environment continued at post-pandemic era in which marketers are still cautious on advertising spending; and (ii) larger scale of strategic unwind lower margin, higher risk clients under Marketing Solutions segment because of the difficulty in obtaining additional equity financing from the capital market and debt financing from banks, which lead to the execution of balancing working capital management and business growth. We recorded impairment of US$0.2 million, US$2.6 million and US$0.4 million on fixed assets, right-of-use assets and intangible assets respectively for the year ended December 31, 2023, as a result of net losses during the year.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determination related to the accounting for business combinations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Nature: We completed business combination in 2021 which require us to perform purchase price allocations. We allocate the fair value of purchase consideration to the tangible assets acquired, liabilities assumed, and intangible assets acquired, including amounts attributed to noncontrolling interests based on their estimated fair values at the date of acquisition. The excess of the fair value of purchase consideration over the fair values of these identifiable assets and liabilities is recorded as goodwill. Allocation of purchase consideration to identifiable assets and liabilities affects our amortization expense, as acquired finite-lived intangible assets are amortized over the useful life, whereas any indefinite lived intangible assets, including goodwill, are not amortized.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Assumptions: In order to recognize the fair values of assets acquired and liabilities assumed, mainly consisting of intangible assets and goodwill, we use various models such as relief-from-royalty and multi-period excess earnings to value intangible assets and discounted cash flow to value goodwill. We make estimates and assumptions about projected future cash flows including sales growth, operating margins, attrition rates, and discount rates based on historical results, business plans, expected synergies, perceived risk and marketplace data considering the perspective of marketplace participants. Determining the useful life of an intangible asset also requires judgment as different types of intangible assets will have different useful lives and certain assets may be considered to have indefinite useful lives. For significant acquisitions we may use independent third-party valuation specialists to assist us in determining the fair values of assets acquired and liabilities assumed.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believe those expectations and assumptions are reasonable, they are inherently uncertain. Unanticipated market or macro-economic events and circumstances may occur, which could affect the accuracy or validity of the estimates and assumptions, which could result in subsequent impairments.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assessment of investments in equity securities without readily determinable fair value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Nature: We measure certain financial instruments at fair value on a nonrecurring basis, consisting primarily of our equity securities without readily determinable fair value. These investments are accounted for under the measurement alternative and are measured at cost, less impairment, subject to upward and downward adjustments resulting from observable price changes in orderly transactions for identical or similar investments of the same issuer. These adjustments require quantitative assessments of the fair value of equity securities, primarily using a market approach. These investments are also evaluated for impairment, based on qualitative factors and events including (i) adverse performance of investees; (ii) adverse industry developments affecting investees; and (iii) adverse regulatory, social, economic or other developments affecting investees and (iv) valuation methods and key valuation assumptions and data used in estimating the impairment amounts. If a qualitative assessment indicates that the investment is impaired, we estimate the investment’s fair value in accordance with the principles of ASC 820. If the fair value is less than the investment’s carrying value, we recognize an impairment loss in net income equal to the difference between the carrying value and fair value. We recognized impairment losses of US$4.0 million, US$10.8 million and US$1.0 million for the years ended December 31, 2021, 2022 and 2023, respectively.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Assumptions: These judgements include valuation methods and key valuation assumptions and estimates used in estimating impairment amounts. The quantitative assessment requires the use of unobservable inputs, such as selection of comparable companies and multiples, and discount for lack of marketability. For the assessment of impairment based on qualitative factors, it considers the companies’ financial and liquidity position and access to capital resources, among others. When our assessment indicates that an impairment exists, we write down the investment to its fair value. Our estimates of these inputs require subjective management judgment and are inherently uncertain. The fair value of equity securities is sensitive to changes in the unobservable inputs used to determine fair value. While we believe we have made reasonable estimates and assumptions to calculate the fair value of the equity securities, it is possible a material change could occur. As a result, if factors change and different assumptions are used, the fair value of the equity securities could be significantly different from what we recorded in the reporting period. When one of our estimates of a discount for lack of marketability and price-to-sales multiples of comparable companies decreased/increased by 5% while holding all other estimates constant, there would be no significant impact to our consolidated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229"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Senior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512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09"/>
        </w:trPr>
        <w:tc>
          <w:tcPr>
            <w:tcW w:w="3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 Tang</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20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Chief Executive Officer and Co-Founder</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Wing Hong Sammy Hsieh</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Co-Founder</w:t>
            </w: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Lub Bun Chong</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0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Fong</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Dylan Huang</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 Kan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Josephine Ngai Yuk Chun</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0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Jian Tang </w:t>
      </w:r>
      <w:r>
        <w:rPr>
          <w:rFonts w:ascii="Times New Roman" w:cs="Times New Roman" w:eastAsia="Times New Roman" w:hAnsi="Times New Roman"/>
          <w:sz w:val="18"/>
          <w:szCs w:val="18"/>
          <w:color w:val="auto"/>
        </w:rPr>
        <w:t>is our chairman of the board, chief executive officer and co-founder and has served as our chief operating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January 2016 and our chief technology officer since 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Wing Hong Sammy Hsieh </w:t>
      </w:r>
      <w:r>
        <w:rPr>
          <w:rFonts w:ascii="Times New Roman" w:cs="Times New Roman" w:eastAsia="Times New Roman" w:hAnsi="Times New Roman"/>
          <w:sz w:val="18"/>
          <w:szCs w:val="18"/>
          <w:color w:val="auto"/>
        </w:rPr>
        <w:t>is our director and co-founder and served as our chief executive officer from 2009 to 2019.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founding 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Lub Bun Chong </w:t>
      </w:r>
      <w:r>
        <w:rPr>
          <w:rFonts w:ascii="Times New Roman" w:cs="Times New Roman" w:eastAsia="Times New Roman" w:hAnsi="Times New Roman"/>
          <w:sz w:val="18"/>
          <w:szCs w:val="18"/>
          <w:color w:val="auto"/>
        </w:rPr>
        <w:t>has served as our director since July 2019. Mr. Chong is currently a partner of C Consultancy Limited,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Hong Kong-based corporate and financial advisory firm which specializes in the advertising, digital and media sectors of China and Southeast Asia. Prior to founding C Consultancy Limited, he was the chief financial officer and the director of mergers and acquisitions of Clear Media (00100.HK), and the chief financial officer of Focus Media (002027.SZ). Mr. Chong previously worked at PricewaterhouseCoopers in China, Hong Kong and Singapore during the 1990s. Mr. Chong is the author of “Managing a Chinese Partner” (published by Palgrave Macmillan) and a contributor of China articles to reputable publications. Mr. Chong received his bachelor’s degree of accountancy from National University of Singapore and his MBA degree with merit from Manchester Business School. Mr. Chong is a chartered accountant in Singapore.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Matthew Fong </w:t>
      </w:r>
      <w:r>
        <w:rPr>
          <w:rFonts w:ascii="Times New Roman" w:cs="Times New Roman" w:eastAsia="Times New Roman" w:hAnsi="Times New Roman"/>
          <w:sz w:val="18"/>
          <w:szCs w:val="18"/>
          <w:color w:val="auto"/>
        </w:rPr>
        <w:t>has served as our director since January 2020. Mr. Fong has more than 20 years of professional experience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auditing, corporate finance and financial management for both private and listed corporations. He held multiple financial leadership positions, including as a manager at a Hong Kong-based multi-strategy private investment fund and chief financial officer of a company which listed on the Main Board of the Stock Exchange of Hong Kong. Mr. Fong previously also worked at Ernst &amp; Young in Hong Kong during the 2000s. Mr. Fong obtained his bachelor degree in accountancy from The Hong Kong Polytechnic University in 2003 and is currently a fellow member of the Association of Chartered Certified Accountants.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Dylan Huang </w:t>
      </w:r>
      <w:r>
        <w:rPr>
          <w:rFonts w:ascii="Times New Roman" w:cs="Times New Roman" w:eastAsia="Times New Roman" w:hAnsi="Times New Roman"/>
          <w:sz w:val="18"/>
          <w:szCs w:val="18"/>
          <w:color w:val="auto"/>
        </w:rPr>
        <w:t>has served as our director since December 2017. Mr. Huang has served as senior vice president of Meituan-Dianping since 2017. Mr. Huang served as the corporate vice president, group chief technology officer and general manager at Tencent Online Media Group from 2008 to 2017, leading its media’s mobile initiative. He was the senior lead program manager, program manager, software design engineer and software design engineer in test at Microsoft Corporation from 2001 to 2008. Mr. Huang received his bachelor’s degree in electrical engineering from Zhejiang University and his MBA degree from Washington Business School.</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Philip Kan </w:t>
      </w:r>
      <w:r>
        <w:rPr>
          <w:rFonts w:ascii="Times New Roman" w:cs="Times New Roman" w:eastAsia="Times New Roman" w:hAnsi="Times New Roman"/>
          <w:sz w:val="18"/>
          <w:szCs w:val="18"/>
          <w:color w:val="auto"/>
        </w:rPr>
        <w:t>has served as our director since January 2021. Mr. Kan has extensive experience in management,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banking, capital market, information technology, risk management, corporate governance and corporate development. Mr. Kan has been the responsible officer, director and the senior management of several financial institutions regulated by SFC since 2003. Mr. Kan was the founder and a director of Galileo Capital Group Ltd (HKEX:8029) from July 2000 to October 2008, a boutique corporate finance house providing services in co-sponsoring IPOs, shares placement, M&amp;A, assets management and financial advisory. Prior to founding Galileo Capital Group Ltd, Mr. Kan held senior positions in a number of prominent companies. Mr. Kan was the senior vice president for First Pacific Bank Limited, oversees the centralized banking services units (i.e. processing support units) and the Information Technology Division of the Bank. Prior to that, Mr. Kan was the manager of Systems &amp; Operations at HSBC from 1987 to 1992. Mr. Kan also held various management positions at the AIG Finance (HK) Ltd, General Electric Co and Bank of America earlier in his career. In July 2022, Mr. Kan was awarded Medal of Honour (M.H.) by the Hong Kong S.A.R. government. Mr. Kan received his MBA degree from Henley Management College, Brunel University in the United Kingdom.</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Ms. Josephine Ngai Yuk Chun </w:t>
      </w:r>
      <w:r>
        <w:rPr>
          <w:rFonts w:ascii="Times New Roman" w:cs="Times New Roman" w:eastAsia="Times New Roman" w:hAnsi="Times New Roman"/>
          <w:sz w:val="18"/>
          <w:szCs w:val="18"/>
          <w:color w:val="auto"/>
        </w:rPr>
        <w:t>has served as our chief financial officer since March, 2024. Before that, Ms. Ngai was a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finance and group financial controller of the Group. Ms. Ngai has been an independent director of Man Shun Group (Holdings) Limited (HKEX:1746) since June 2024. Prior to joining iClick, Ms. Ngai served in auditing capacity at Big Four accounting firm and senior management roles in conglomerates listed on the Hong Kong Stock Exchange. She received a bachelor’s degree in accounting from the Hong Kong Polytechnic University and an EMBA degree from the Chinese University of Hong Kong. Ms. Ngai is a Member of the Hong Kong Institute of Certified Public Accountants.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Diversity Disclosure</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64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information was provided by our directors on a voluntary basis.</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5"/>
        </w:trPr>
        <w:tc>
          <w:tcPr>
            <w:tcW w:w="7700" w:type="dxa"/>
            <w:vAlign w:val="bottom"/>
            <w:gridSpan w:val="3"/>
          </w:tcPr>
          <w:p>
            <w:pPr>
              <w:ind w:left="2640"/>
              <w:spacing w:after="0"/>
              <w:rPr>
                <w:sz w:val="20"/>
                <w:szCs w:val="20"/>
                <w:color w:val="auto"/>
              </w:rPr>
            </w:pPr>
            <w:r>
              <w:rPr>
                <w:rFonts w:ascii="Times New Roman" w:cs="Times New Roman" w:eastAsia="Times New Roman" w:hAnsi="Times New Roman"/>
                <w:sz w:val="18"/>
                <w:szCs w:val="18"/>
                <w:b w:val="1"/>
                <w:bCs w:val="1"/>
                <w:color w:val="auto"/>
              </w:rPr>
              <w:t>Board Diversity Matrix (As of the date of this annual report)</w:t>
            </w: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7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Hong Kong, China</w:t>
            </w:r>
          </w:p>
        </w:tc>
        <w:tc>
          <w:tcPr>
            <w:tcW w:w="8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2"/>
              </w:rPr>
              <w:t>Yes</w:t>
            </w:r>
          </w:p>
        </w:tc>
        <w:tc>
          <w:tcPr>
            <w:tcW w:w="8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w w:val="99"/>
              </w:rPr>
              <w:t>No</w:t>
            </w:r>
          </w:p>
        </w:tc>
        <w:tc>
          <w:tcPr>
            <w:tcW w:w="860" w:type="dxa"/>
            <w:vAlign w:val="bottom"/>
            <w:shd w:val="clear" w:color="auto" w:fill="CCEEFF"/>
          </w:tcPr>
          <w:p>
            <w:pPr>
              <w:spacing w:after="0"/>
              <w:rPr>
                <w:sz w:val="18"/>
                <w:szCs w:val="18"/>
                <w:color w:val="auto"/>
              </w:rPr>
            </w:pPr>
          </w:p>
        </w:tc>
      </w:tr>
      <w:tr>
        <w:trPr>
          <w:trHeight w:val="194"/>
        </w:trPr>
        <w:tc>
          <w:tcPr>
            <w:tcW w:w="64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Total Number of Directors</w:t>
            </w: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jc w:val="center"/>
              <w:ind w:right="290"/>
              <w:spacing w:after="0" w:line="194" w:lineRule="exact"/>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spacing w:after="0"/>
              <w:rPr>
                <w:sz w:val="16"/>
                <w:szCs w:val="16"/>
                <w:color w:val="auto"/>
              </w:rPr>
            </w:pPr>
          </w:p>
        </w:tc>
      </w:tr>
      <w:tr>
        <w:trPr>
          <w:trHeight w:val="238"/>
        </w:trPr>
        <w:tc>
          <w:tcPr>
            <w:tcW w:w="640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Male</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Non-BinaryDid not disclose</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0</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w:t>
            </w: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0</w:t>
            </w:r>
          </w:p>
        </w:tc>
        <w:tc>
          <w:tcPr>
            <w:tcW w:w="8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0</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shd w:val="clear" w:color="auto" w:fill="CCEEFF"/>
          </w:tcPr>
          <w:p>
            <w:pPr>
              <w:spacing w:after="0"/>
              <w:rPr>
                <w:sz w:val="18"/>
                <w:szCs w:val="18"/>
                <w:color w:val="auto"/>
              </w:rPr>
            </w:pP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Pr>
          <w:p>
            <w:pPr>
              <w:spacing w:after="0"/>
              <w:rPr>
                <w:sz w:val="20"/>
                <w:szCs w:val="20"/>
                <w:color w:val="auto"/>
              </w:rPr>
            </w:pP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or prior to December 31, 2023, we are required to have, or explain why we do not have, at least one director that is considered “diverse” pursuant to Rule 5605(f) of the NASDAQ Stock Market. As of the date of this annual report, we did not have a diverse director because we have not yet identified a suitable candidate. We are committed to undertaking reasonable efforts to increase the diversity of the board provided that we can locate the right candidate.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 with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Termination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IP</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Non-Competition and Non-Solicitation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six months following the last date of employment, unless otherwise agreed. Specifically, during such term each executive officer has agreed not to (i) 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spacing w:after="0" w:line="176"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of Directors and Executive Officers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2023 we paid an aggregate of approximately US$0.3 million in cash to our executive officers, and we paid an aggregate of approximately US$0.2 million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based on the insurance scales set forth by the local government for employees’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2018 Plan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2018 Plan, the maximum number of ordinary shares that may be issued to the beneficiaries is 2,398,137, which have been issued to Arda as trustee to the beneficiaries of the 2018 Plan. As of April 30, 2024, options to purchase 273,050 ordinary shares were outstanding, including vested and unexercised options to purchase 273,050 ordinary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2018 Plan.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Type of Awards. </w:t>
      </w:r>
      <w:r>
        <w:rPr>
          <w:rFonts w:ascii="Times New Roman" w:cs="Times New Roman" w:eastAsia="Times New Roman" w:hAnsi="Times New Roman"/>
          <w:sz w:val="18"/>
          <w:szCs w:val="18"/>
          <w:color w:val="auto"/>
        </w:rPr>
        <w:t>The 2018 Plan permits the award of options to purchase our ordinary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Trustee. </w:t>
      </w:r>
      <w:r>
        <w:rPr>
          <w:rFonts w:ascii="Times New Roman" w:cs="Times New Roman" w:eastAsia="Times New Roman" w:hAnsi="Times New Roman"/>
          <w:sz w:val="18"/>
          <w:szCs w:val="18"/>
          <w:color w:val="auto"/>
        </w:rPr>
        <w:t>Mr. Wing Hong Sammy Hsieh through Arda upon trust serves as the trustee to the beneficiaries of the 2018 Plan.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grantee’s exercise of 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Award Agreement. </w:t>
      </w:r>
      <w:r>
        <w:rPr>
          <w:rFonts w:ascii="Times New Roman" w:cs="Times New Roman" w:eastAsia="Times New Roman" w:hAnsi="Times New Roman"/>
          <w:sz w:val="17"/>
          <w:szCs w:val="17"/>
          <w:color w:val="auto"/>
        </w:rPr>
        <w:t>Any award granted under the 2018 Plan is evidenced by an award agreement that sets forth terms, conditions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limitations on 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We may grant awards to employees of our company or any of our subsidiaries.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Vesting Schedule. </w:t>
      </w:r>
      <w:r>
        <w:rPr>
          <w:rFonts w:ascii="Times New Roman" w:cs="Times New Roman" w:eastAsia="Times New Roman" w:hAnsi="Times New Roman"/>
          <w:sz w:val="18"/>
          <w:szCs w:val="18"/>
          <w:color w:val="auto"/>
        </w:rPr>
        <w:t>Unless otherwise stated in respective grants, subject to forfeiture and arrangement on termination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or service, 25% of 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Options. </w:t>
      </w:r>
      <w:r>
        <w:rPr>
          <w:rFonts w:ascii="Times New Roman" w:cs="Times New Roman" w:eastAsia="Times New Roman" w:hAnsi="Times New Roman"/>
          <w:sz w:val="18"/>
          <w:szCs w:val="18"/>
          <w:color w:val="auto"/>
        </w:rPr>
        <w:t>Vested options will become exercisable during the first five business days of January, April, July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until the termination date of the 2018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The participant will not be permitted to transfer, assign, dispose of, or create or purport to create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encumbrances over any option. In principle, all options shall be exercisable only by the participants. Any such transfer, assignment, disposal or encumbrance or purported encumbrance shall result in the automatic cancellation of the option.</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and amendment of the 2018 Plan. </w:t>
      </w:r>
      <w:r>
        <w:rPr>
          <w:rFonts w:ascii="Times New Roman" w:cs="Times New Roman" w:eastAsia="Times New Roman" w:hAnsi="Times New Roman"/>
          <w:sz w:val="18"/>
          <w:szCs w:val="18"/>
          <w:color w:val="auto"/>
        </w:rPr>
        <w:t>Our board of directors may amend or discontinue the 2018 Plan, provided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amendment or termination shall not impair the rights of a participant under any award without such participant’s consent.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April 30, 2024, the outstanding options granted under the 2018 Plan to our directors, executive officers and other grantees.</w:t>
      </w:r>
    </w:p>
    <w:p>
      <w:pPr>
        <w:sectPr>
          <w:pgSz w:w="11900" w:h="16838" w:orient="portrait"/>
          <w:cols w:equalWidth="0" w:num="1">
            <w:col w:w="9920"/>
          </w:cols>
          <w:pgMar w:left="980" w:top="513" w:right="999" w:bottom="1440" w:gutter="0" w:footer="0" w:header="0"/>
        </w:sectPr>
      </w:pP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5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60" w:type="dxa"/>
            <w:vAlign w:val="bottom"/>
            <w:gridSpan w:val="2"/>
            <w:vMerge w:val="continue"/>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4040" w:type="dxa"/>
            <w:vAlign w:val="bottom"/>
            <w:gridSpan w:val="3"/>
            <w:vMerge w:val="continue"/>
          </w:tcPr>
          <w:p>
            <w:pPr>
              <w:spacing w:after="0"/>
              <w:rPr>
                <w:sz w:val="15"/>
                <w:szCs w:val="15"/>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Jian Tang</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3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0.2687—4.0304</w:t>
            </w:r>
          </w:p>
        </w:tc>
        <w:tc>
          <w:tcPr>
            <w:tcW w:w="220" w:type="dxa"/>
            <w:vAlign w:val="bottom"/>
          </w:tcPr>
          <w:p>
            <w:pPr>
              <w:spacing w:after="0"/>
              <w:rPr>
                <w:sz w:val="16"/>
                <w:szCs w:val="16"/>
                <w:color w:val="auto"/>
              </w:rPr>
            </w:pPr>
          </w:p>
        </w:tc>
        <w:tc>
          <w:tcPr>
            <w:tcW w:w="1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August 1, 2015</w:t>
            </w:r>
          </w:p>
        </w:tc>
        <w:tc>
          <w:tcPr>
            <w:tcW w:w="0" w:type="dxa"/>
            <w:vAlign w:val="bottom"/>
          </w:tcPr>
          <w:p>
            <w:pPr>
              <w:spacing w:after="0"/>
              <w:rPr>
                <w:sz w:val="1"/>
                <w:szCs w:val="1"/>
                <w:color w:val="auto"/>
              </w:rPr>
            </w:pPr>
          </w:p>
        </w:tc>
      </w:tr>
      <w:tr>
        <w:trPr>
          <w:trHeight w:val="216"/>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grantees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18, 2014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0.3224—20.0000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 July 1,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-419735</wp:posOffset>
            </wp:positionV>
            <wp:extent cx="6292215"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1454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51435</wp:posOffset>
            </wp:positionV>
            <wp:extent cx="15684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24"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ordinary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Expiration Date</w:t>
      </w:r>
    </w:p>
    <w:p>
      <w:pPr>
        <w:spacing w:after="0" w:line="27" w:lineRule="exact"/>
        <w:rPr>
          <w:sz w:val="20"/>
          <w:szCs w:val="20"/>
          <w:color w:val="auto"/>
        </w:rPr>
      </w:pPr>
    </w:p>
    <w:p>
      <w:pPr>
        <w:jc w:val="center"/>
        <w:ind w:right="100"/>
        <w:spacing w:after="0" w:line="276" w:lineRule="auto"/>
        <w:rPr>
          <w:sz w:val="20"/>
          <w:szCs w:val="20"/>
          <w:color w:val="auto"/>
        </w:rPr>
      </w:pPr>
      <w:r>
        <w:rPr>
          <w:rFonts w:ascii="Times New Roman" w:cs="Times New Roman" w:eastAsia="Times New Roman" w:hAnsi="Times New Roman"/>
          <w:sz w:val="17"/>
          <w:szCs w:val="17"/>
          <w:color w:val="auto"/>
        </w:rPr>
        <w:t>August 1, 2025 June 2, 2024 to April 1, 2027</w:t>
      </w:r>
    </w:p>
    <w:p>
      <w:pPr>
        <w:spacing w:after="0" w:line="522" w:lineRule="exact"/>
        <w:rPr>
          <w:sz w:val="20"/>
          <w:szCs w:val="20"/>
          <w:color w:val="auto"/>
        </w:rPr>
      </w:pPr>
    </w:p>
    <w:p>
      <w:pPr>
        <w:sectPr>
          <w:pgSz w:w="11900" w:h="16838" w:orient="portrait"/>
          <w:cols w:equalWidth="0" w:num="2">
            <w:col w:w="8400" w:space="320"/>
            <w:col w:w="1200"/>
          </w:cols>
          <w:pgMar w:left="980" w:top="513" w:right="99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Post-IPO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our Post-IPO Plan, previously named as 2017 Share Incentive Plan, which became effective in December 2017, is to promote the success of our business. On September 22, 2018, August 31, 2020, February 26, 2021 and December 31, 2021, our board of directors approved an increase of 1,500,000 Class A ordinary shares, 1,000,000 Class A ordinary shares, 1,000,000 Class A ordinary shares, and 1,500,000 Class A ordinary shares, respectively, to the award pool under the Post-IPO Plan. As a result, the maximum number of ordinary shares which may be issued pursuant to all awards under the Post-IPO Plan will initially be 6,000,000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 As of April 30, 2024, the award pool under the Post-IPO Plan is 6,941,374 Class A ordinary shares. As of April 30, 2024, 566,185 Class A ordinary shares are outstanding under our Post-IPO Plan, representing the shares underlying the unvested 566,185 restricted Class A ordinary shares units.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Post-IPO Plan.</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Post-IPO Plan permits the awards of options, restricted shares and restricted share units.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Administration. </w:t>
      </w:r>
      <w:r>
        <w:rPr>
          <w:rFonts w:ascii="Times New Roman" w:cs="Times New Roman" w:eastAsia="Times New Roman" w:hAnsi="Times New Roman"/>
          <w:sz w:val="18"/>
          <w:szCs w:val="18"/>
          <w:color w:val="auto"/>
        </w:rPr>
        <w:t>Our board of directors or a committee of one or more members of the board of directors will administer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Post-IPO Plan. The committee or the full board of directors, as applicable, will determine the participants to receive awards, the type and number of awards to be granted to each participant, and the terms and conditions of each award grant.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Agreement. </w:t>
      </w:r>
      <w:r>
        <w:rPr>
          <w:rFonts w:ascii="Times New Roman" w:cs="Times New Roman" w:eastAsia="Times New Roman" w:hAnsi="Times New Roman"/>
          <w:sz w:val="18"/>
          <w:szCs w:val="18"/>
          <w:color w:val="auto"/>
        </w:rPr>
        <w:t>Awards granted under the Post-IPO Plan are evidenced by an award agreement that sets forth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and limitations for each award, which may include the term of the award, the provisions applicable in the event of the grantee’s employment or service terminates, and our authority to unilaterally or bilaterally amend, modify, suspend, cancel or rescind the award.</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We may grant awards to our employees, directors and consultants of our company. However, we may grant options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are intended to qualify as incentive share options only to our employees and employees of our parent companies and subsidiaries.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relevant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Options. </w:t>
      </w:r>
      <w:r>
        <w:rPr>
          <w:rFonts w:ascii="Times New Roman" w:cs="Times New Roman" w:eastAsia="Times New Roman" w:hAnsi="Times New Roman"/>
          <w:sz w:val="18"/>
          <w:szCs w:val="18"/>
          <w:color w:val="auto"/>
        </w:rPr>
        <w:t>The plan administrator determines the exercise price for each award, which is stated in the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The vested portion of option will expire if not exercised prior to the time as the plan administrator determines at the time of its grant. However, the maximum exercisable term is ten years from the date of a grant.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recipient other than by will or the laws of descent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distribution, except as otherwise provided by the plan administrator.</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and amendment of the Post-IPO Plan. </w:t>
      </w:r>
      <w:r>
        <w:rPr>
          <w:rFonts w:ascii="Times New Roman" w:cs="Times New Roman" w:eastAsia="Times New Roman" w:hAnsi="Times New Roman"/>
          <w:sz w:val="18"/>
          <w:szCs w:val="18"/>
          <w:color w:val="auto"/>
        </w:rPr>
        <w:t>Unless terminated earlier, the Post-IPO Plan has a term often years.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has the authority to amend or terminate the plan subject to shareholder approval to the extent necessary to comply with applicable law. Shareholder approval is required for any amendment to the Post-IPO Plan that (i) increases the number of shares available under the Post-IPO Plan, or (ii) permits the plan administrator to extend the term of the Post-IPO Plan or the exercise period for an option beyond ten years from the date of grant.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April 30, 2024, the outstanding restricted share units granted under the Post-IPO Plan to our directors, executive officers and other grantees.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40" w:type="dxa"/>
            <w:vAlign w:val="bottom"/>
            <w:gridSpan w:val="2"/>
            <w:vMerge w:val="continue"/>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3980" w:type="dxa"/>
            <w:vAlign w:val="bottom"/>
            <w:gridSpan w:val="3"/>
            <w:vMerge w:val="continue"/>
          </w:tcPr>
          <w:p>
            <w:pPr>
              <w:spacing w:after="0"/>
              <w:rPr>
                <w:sz w:val="15"/>
                <w:szCs w:val="15"/>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Restricted Share Units</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4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Kan</w:t>
            </w:r>
          </w:p>
        </w:tc>
        <w:tc>
          <w:tcPr>
            <w:tcW w:w="1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Nil</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2021</w:t>
            </w:r>
          </w:p>
        </w:tc>
        <w:tc>
          <w:tcPr>
            <w:tcW w:w="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11, 2027</w:t>
            </w:r>
          </w:p>
        </w:tc>
        <w:tc>
          <w:tcPr>
            <w:tcW w:w="0" w:type="dxa"/>
            <w:vAlign w:val="bottom"/>
          </w:tcPr>
          <w:p>
            <w:pPr>
              <w:spacing w:after="0"/>
              <w:rPr>
                <w:sz w:val="1"/>
                <w:szCs w:val="1"/>
                <w:color w:val="auto"/>
              </w:rPr>
            </w:pPr>
          </w:p>
        </w:tc>
      </w:tr>
      <w:tr>
        <w:trPr>
          <w:trHeight w:val="198"/>
        </w:trPr>
        <w:tc>
          <w:tcPr>
            <w:tcW w:w="39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Josephine Ngai Yuk Chun</w:t>
            </w: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April 1, 2021 to</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Nil</w:t>
            </w: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April 1, 2023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11, 2027</w:t>
            </w:r>
          </w:p>
        </w:tc>
        <w:tc>
          <w:tcPr>
            <w:tcW w:w="0" w:type="dxa"/>
            <w:vAlign w:val="bottom"/>
          </w:tcPr>
          <w:p>
            <w:pPr>
              <w:spacing w:after="0"/>
              <w:rPr>
                <w:sz w:val="1"/>
                <w:szCs w:val="1"/>
                <w:color w:val="auto"/>
              </w:rPr>
            </w:pPr>
          </w:p>
        </w:tc>
      </w:tr>
      <w:tr>
        <w:trPr>
          <w:trHeight w:val="198"/>
        </w:trPr>
        <w:tc>
          <w:tcPr>
            <w:tcW w:w="398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grantees</w:t>
            </w: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January 1, 2021</w:t>
            </w: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545,620</w:t>
            </w:r>
          </w:p>
        </w:tc>
        <w:tc>
          <w:tcPr>
            <w:tcW w:w="1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Nil</w:t>
            </w:r>
          </w:p>
        </w:tc>
        <w:tc>
          <w:tcPr>
            <w:tcW w:w="146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 April 1, 2023</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December 11, 2027</w:t>
            </w:r>
          </w:p>
        </w:tc>
        <w:tc>
          <w:tcPr>
            <w:tcW w:w="0" w:type="dxa"/>
            <w:vAlign w:val="bottom"/>
          </w:tcPr>
          <w:p>
            <w:pPr>
              <w:spacing w:after="0"/>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ordinary shares.</w:t>
      </w:r>
    </w:p>
    <w:p>
      <w:pPr>
        <w:spacing w:after="0" w:line="225"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Practices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board of directors consists of six directors, including executive directors and non-executive directors. Pursuant to our ninth amended and restated memorandum and articles of association, the size of our board of directors shall be limited to nine. Please refer to “Item 3. Key Information—D. Risk Factors—Risks Related to Our American Depositary Shares—As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 - 4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“Item 3. Key Information—D. Risk Factors—Risks Related to Our American Depositary Shares—As a company incorporated in the Cayman Islands, we have adopted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We have established an audit committee, a compensation committee, and a corporate governance and nominating committee under the board of directors. In October 2021, we formed the Special Committee, which consists of four independent directors, Mr. Dylan Huang, Mr. Lub Bun Chong, Mr. Matthew Fong and Mr. Philip Kan, to evaluate and take actions in respect of potential transactions involving the Company, including reviewing, evaluating and approving the terms and conditions of the Merger Agreement. We have adopted a charter for each of the audit committee, compensation committee, and corporate governance and nominating committees. Each committee’s members and functions are described below.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 Matthew Fong, Lub Bun Chong, and Dylan Huang, and is chaired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Matthew Fong. Lub Bun Chong, Matthew Fong and Dylan Huang each satisfy the “independence” requirements of the Rule 5605(a)(2) of the Listing Rules of the NASDAQ Stock Market and meet the independence standards under Rule 10A 3 under the Exchange Act. We have determined that each of Matthew Fong, and Lub Bun Chong qualify as “audit committee financial expert.” The audit committee oversees our accounting and financial reporting processes and the audits of the financial statements of our company. The audit committee is responsible for, among other things:</w:t>
      </w:r>
    </w:p>
    <w:p>
      <w:pPr>
        <w:spacing w:after="0" w:line="186" w:lineRule="exact"/>
        <w:rPr>
          <w:sz w:val="20"/>
          <w:szCs w:val="20"/>
          <w:color w:val="auto"/>
        </w:rPr>
      </w:pPr>
    </w:p>
    <w:p>
      <w:pPr>
        <w:ind w:left="1000" w:right="20" w:hanging="31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issues as to the adequacy of our internal controls and any special audit steps adopted in light of material control deficiencies;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 of directors.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Dylan Huang, Wing Hong Sammy Hsieh and Jian Tang,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chaired by Dylan Huang. Dylan Huang satisfies the “independence” requirements of the Listing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183" w:lineRule="exact"/>
        <w:rPr>
          <w:sz w:val="20"/>
          <w:szCs w:val="20"/>
          <w:color w:val="auto"/>
        </w:rPr>
      </w:pPr>
    </w:p>
    <w:p>
      <w:pPr>
        <w:ind w:left="1000" w:right="20" w:hanging="317"/>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total compensation package for our executive officers and making recommendations to the board with respect to it;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our directors and making recommendations to the board with respect to it;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approving any long-term incentive compensation or equity plans, programs or similar arrangements, annual bonuses, and employee pension and welfare benefit plans.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Governance and Nominating Committee </w:t>
      </w:r>
      <w:r>
        <w:rPr>
          <w:rFonts w:ascii="Times New Roman" w:cs="Times New Roman" w:eastAsia="Times New Roman" w:hAnsi="Times New Roman"/>
          <w:sz w:val="18"/>
          <w:szCs w:val="18"/>
          <w:color w:val="auto"/>
        </w:rPr>
        <w:t>Our corporate governance and nominating committee consists of Philip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Kan, Wing Hong Sammy Hsieh and Jian Tang, and is chaired by Philip Kan. Philip Kan satisfies the “independence” requirements of the Listing Rules of the NASDAQ Stock Market. The corporate governance and nominating committee will assist the board in selecting individuals qualified to become our directors and in determining the composition of the board and its committees. The corporate governance and nominating committee will be responsible for, among other things:</w:t>
      </w:r>
    </w:p>
    <w:p>
      <w:pPr>
        <w:spacing w:after="0" w:line="183" w:lineRule="exact"/>
        <w:rPr>
          <w:sz w:val="20"/>
          <w:szCs w:val="20"/>
          <w:color w:val="auto"/>
        </w:rPr>
      </w:pPr>
    </w:p>
    <w:p>
      <w:pPr>
        <w:ind w:left="1000" w:hanging="317"/>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the board for election or re-election to the board, or for appointment to fill any vacancy on the board;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age, skills, experience and availability of service to us;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have a common law duty to act honestly in good faith with a view to our best interests and for a proper purpose. Our directors also have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62" w:lineRule="exact"/>
        <w:rPr>
          <w:sz w:val="20"/>
          <w:szCs w:val="20"/>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general meetings and reporting our board’s work at our shareholders’ meetings;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our business and investment plans;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our annual financial budgets and financial reports;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proposals for the increase or reduction of our authorized capital;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other powers, functions and duties as conferred by our articles of association.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directors may exercise all the powers of our company to borrow money, mortgage its business, property and uncalled capital and issue debentures or other securities whenever money is borrowed or as security for any obligation of our company or of any third party.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Pursuant to our ninth amended and restated memorandum and articles of association,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offence involving dishonesty or engaging in conduct which brings the director or us into disrepute or which results in material financial detriment to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 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our ninth amended and restated memorandum and articles of association, any removal or appointment of chairman of the board is subject to shareholder approval by ordinary resolution.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2021, 2022 and 2023, we had a total of 1,192, 1,209 and 894 employees, respectively. The table below provides a breakdown of our employees by function as of December 31,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3"/>
        </w:trPr>
        <w:tc>
          <w:tcPr>
            <w:tcW w:w="754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technology and data engineering</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Sales, business development and account management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4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we had a total of 894 employees, decreased by 26% from 1,209 as of December 31, 2022, as we continued to optimize our operational efficiency.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mainland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162"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Ownership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April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7" w:lineRule="exact"/>
        <w:rPr>
          <w:sz w:val="20"/>
          <w:szCs w:val="20"/>
          <w:color w:val="auto"/>
        </w:rPr>
      </w:pPr>
    </w:p>
    <w:p>
      <w:pPr>
        <w:ind w:left="1000" w:hanging="31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more than 5% of our total outstanding shares.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April 30, 2024, there were 50,707,077 ordinary shares outstanding, par value $0.001 per share, being the sum of 45,672,650 Class A ordinary shares and 5,034,427 Class B ordinary shares. The calculations in the table below are based on 49,739,438 ordinary shares outstanding as of April 30, 2024, comprising (i) 44,705,011 Class A ordinary shares, excluding the 967,639 Class A ordinary shares held by Arda Holdings Limited underlying the options granted but not yet exercised (whether or not they are vested) and the options reserved for issuance under our 2018 Plan, or held by JPMorgan Chase Bank N.A., our depositary, underlying the unvested restricted Class A ordinary shares units under our Post-IPO Plan, and (ii) 5,034,427 Class B ordinary shares outstanding.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as of April 30, 2024, including through the exercise of any option, warrant or other right or the conversion of any other security. These shares, however, are not included in the computation of the percentage ownership of any other person.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7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9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98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98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188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 Ordinary Shares</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80" w:type="dxa"/>
            <w:vAlign w:val="bottom"/>
            <w:gridSpan w:val="4"/>
            <w:vMerge w:val="continue"/>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90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Power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Wing Hong Sammy Hsieh</w:t>
            </w:r>
            <w:r>
              <w:rPr>
                <w:rFonts w:ascii="Times New Roman" w:cs="Times New Roman" w:eastAsia="Times New Roman" w:hAnsi="Times New Roman"/>
                <w:sz w:val="25"/>
                <w:szCs w:val="25"/>
                <w:color w:val="auto"/>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241,295</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2,282,815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2,524,110</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Jian Tang</w:t>
            </w:r>
            <w:r>
              <w:rPr>
                <w:rFonts w:ascii="Times New Roman" w:cs="Times New Roman" w:eastAsia="Times New Roman" w:hAnsi="Times New Roman"/>
                <w:sz w:val="25"/>
                <w:szCs w:val="25"/>
                <w:color w:val="auto"/>
                <w:vertAlign w:val="superscript"/>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2,102,263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2,526,463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Lub Bun Chong</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(i)</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Fong</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(i)</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(i)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(i)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Dylan Huang</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(i)</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Kan</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(i)</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(i)</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(i)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(i)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Josephine Ngai Yuk Chun</w:t>
            </w: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(i)</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(i)</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698,180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4,385,078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5,083,258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60.8 %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Bubinga Holdings Limited</w:t>
            </w:r>
            <w:r>
              <w:rPr>
                <w:rFonts w:ascii="Times New Roman" w:cs="Times New Roman" w:eastAsia="Times New Roman" w:hAnsi="Times New Roman"/>
                <w:sz w:val="25"/>
                <w:szCs w:val="25"/>
                <w:color w:val="auto"/>
                <w:vertAlign w:val="superscript"/>
              </w:rPr>
              <w:t>(1)</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2,282,815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2,282,815</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Igomax Inc.</w:t>
            </w:r>
            <w:r>
              <w:rPr>
                <w:rFonts w:ascii="Times New Roman" w:cs="Times New Roman" w:eastAsia="Times New Roman" w:hAnsi="Times New Roman"/>
                <w:sz w:val="25"/>
                <w:szCs w:val="25"/>
                <w:color w:val="auto"/>
                <w:vertAlign w:val="superscript"/>
              </w:rPr>
              <w:t>(3)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2,102,263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2,498,558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Baozun Inc.</w:t>
            </w:r>
            <w:r>
              <w:rPr>
                <w:rFonts w:ascii="Times New Roman" w:cs="Times New Roman" w:eastAsia="Times New Roman" w:hAnsi="Times New Roman"/>
                <w:sz w:val="25"/>
                <w:szCs w:val="25"/>
                <w:color w:val="auto"/>
                <w:vertAlign w:val="superscript"/>
              </w:rPr>
              <w:t>(4)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1,235,730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649,349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1,885,079</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Creative Big Limited</w:t>
            </w:r>
            <w:r>
              <w:rPr>
                <w:rFonts w:ascii="Times New Roman" w:cs="Times New Roman" w:eastAsia="Times New Roman" w:hAnsi="Times New Roman"/>
                <w:sz w:val="25"/>
                <w:szCs w:val="25"/>
                <w:color w:val="auto"/>
                <w:vertAlign w:val="superscript"/>
              </w:rPr>
              <w:t>(5)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2,549,415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2,549,415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Integrated Asset Management (Asia) Ltd.</w:t>
            </w:r>
            <w:r>
              <w:rPr>
                <w:rFonts w:ascii="Times New Roman" w:cs="Times New Roman" w:eastAsia="Times New Roman" w:hAnsi="Times New Roman"/>
                <w:sz w:val="25"/>
                <w:szCs w:val="25"/>
                <w:color w:val="auto"/>
                <w:vertAlign w:val="superscript"/>
              </w:rPr>
              <w:t>(6)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4,876,050</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4,876,050</w:t>
            </w: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Marine Central Limited</w:t>
            </w:r>
            <w:r>
              <w:rPr>
                <w:rFonts w:ascii="Times New Roman" w:cs="Times New Roman" w:eastAsia="Times New Roman" w:hAnsi="Times New Roman"/>
                <w:sz w:val="25"/>
                <w:szCs w:val="25"/>
                <w:color w:val="auto"/>
                <w:vertAlign w:val="superscript"/>
              </w:rPr>
              <w:t>(7)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2,564,103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2,564,103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TIAA-CREF Investment Management, LLC, Teachers Advisors,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LLC, College Retirement Equities Fund-Stock Account and Nuveen</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Management, LLC</w:t>
            </w:r>
            <w:r>
              <w:rPr>
                <w:rFonts w:ascii="Times New Roman" w:cs="Times New Roman" w:eastAsia="Times New Roman" w:hAnsi="Times New Roman"/>
                <w:sz w:val="26"/>
                <w:szCs w:val="26"/>
                <w:color w:val="auto"/>
                <w:vertAlign w:val="superscript"/>
              </w:rPr>
              <w:t>(8)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3,716,555</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3,716,555</w:t>
            </w:r>
          </w:p>
        </w:tc>
        <w:tc>
          <w:tcPr>
            <w:tcW w:w="14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15684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shares.</w:t>
      </w:r>
    </w:p>
    <w:p>
      <w:pPr>
        <w:spacing w:after="0" w:line="221"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For each person and group included in this column, percentage ownership is calculated by dividing the number of ordinary shares beneficially owned by such person or group, including shares that such person or group has the right to acquire within 60 days of April 30, 2024, by the sum of (1) 49,739,438, which is the total number of ordinary shares outstanding as of April 30, 2024; and (2) the number of ordinary shares that such person or group has the right to acquire within 60 days of April 30, 2024.</w:t>
      </w:r>
    </w:p>
    <w:p>
      <w:pPr>
        <w:spacing w:after="0" w:line="18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20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193" w:lineRule="exact"/>
        <w:rPr>
          <w:sz w:val="20"/>
          <w:szCs w:val="20"/>
          <w:color w:val="auto"/>
        </w:rPr>
      </w:pPr>
    </w:p>
    <w:p>
      <w:pPr>
        <w:jc w:val="both"/>
        <w:ind w:left="1000" w:hanging="317"/>
        <w:spacing w:after="0" w:line="258"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2,282,815 Class B ordinary shares held by Bubinga Holdings Limited, a British Virgin Islands company wholly owned by Mr. Wing Hong Sammy Hsieh, and (b) 241,295 Class A ordinary shares held by Mr. Hsieh. The registered office address of Bubinga Holdings Limited is Vistra Corporate Services Centre, Wickhams Cay II, Road Town, Tortola, VG1110, British Virgin Islands. The address of Mr. Wing Hong Sammy Hsieh is 15/F, Prosperity Millennia Plaza, 663 King’s Road, Quarry Bay, Hong Kong S.A.R.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2,102,263 Class B ordinary shares held by Igomax Inc., a British Virgin Islands company wholly owned by Mr. Jian Tang, (b) 27,905 Class A ordinary shares that are issuable upon exercise of options held in trust by Mr. Tang on behalf of certain consultants of OptAim, and (c) 396,295 Class A ordinary shares held by Igomax Inc..</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2,102,263 Class B ordinary shares held by Igomax Inc., a British Virgin Islands company wholly owned by Mr. Jian Tang, and (b) 396,295 Class A ordinary shares held by Igomax Inc..</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1,235,730 Class A ordinary shares in the form of 247,146 ADSs and (b) 649,349 Class B ordinary shares.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2,549,415 Class A ordinary shares held by Creative Big Limited, as reported in the Schedule 13D filed on December 1, 2023. Creative Big Limited is a company incorporated in the British Virgin Islands. These ordinary shares were issued for acquisition of Optimal Power Limited. Mr. Kenny Sin Nang Chiu is the sole shareholder and the sole director of Creative Big Limited. The principal business office of Creative Big Limited is Flat 23B, Block 6, Hanley Villa, 22 Yau Lai Road, Yau Kom Tau, Tsuen Wan, Hong Kong S.A.R.</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4,876,050 Class A ordinary shares directly held by Integrated Asset Management (Asia) Ltd., a company incorporated in the British Virgin Island, as reported in the Schedule 13D filed on November 29, 2023. Mr. Yam Tak Cheung is the sole shareholder and the sole director of Integrated Asset Management (Asia) Ltd. The principal business office of Integrated Asset Management (Asia) Ltd. is 21/F, 88 Gloucester Road, Wan Chai, Hong Kong S.A.R.</w:t>
      </w:r>
    </w:p>
    <w:p>
      <w:pPr>
        <w:spacing w:after="0" w:line="179"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2,564,103 Class A ordinary shares held by Marine Central Limited, as reported in the Schedule 13D/A filed on November 27, 2023. Mr. Jianjun Huang is the majority shareholder and the sole director of Marine Central Limited, who possesses power to direct the voting and disposition of the shares beneficially owned by Marine Central Limited.</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aggregate 3,716,555 Class A ordinary shares held by TIAA-CREF Investment Management, LLC, Teachers Advisors, LLC, College Retirement Equities Fund-Stock Account and Nuveen Asset Management, LLC, as reported in the Schedule 13G filed on February 14,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 our knowledge, as of April 30, 2024, 25,200,322, or 50.7% of our ordinary shares were held by one record holder in the United States, which was JPMorgan Chase Bank, N.A., the depositary of our ADS program. The number of beneficial owners of our ADSs in the United States is likely to be much larger than the number of record holders of our ordinary shares in the United States.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25" w:lineRule="exact"/>
        <w:rPr>
          <w:sz w:val="20"/>
          <w:szCs w:val="20"/>
          <w:color w:val="auto"/>
        </w:rPr>
      </w:pPr>
    </w:p>
    <w:p>
      <w:pPr>
        <w:ind w:left="660" w:right="3200" w:hanging="652"/>
        <w:spacing w:after="0" w:line="532" w:lineRule="auto"/>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Disclosure of a Registrant’s Action to Recover Erroneously Awarded Compensation </w:t>
      </w: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9" w:lineRule="exact"/>
        <w:rPr>
          <w:sz w:val="20"/>
          <w:szCs w:val="20"/>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Major Shareholders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transactions nor balances with related parties as of and for the years ended December 31, 2021, 2022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our Variable Interest Entity and its Shareholder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“Item 4. Information on the Company—C. Organizational Structure.”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Business Cooperation with Baozun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Cooperation Framework Agreement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January 2021, we have entered into a strategic cooperation framework agreement with Baozun, pursuant to which both parties will collaborate in developing a full-cycle, closed-loop e-commerce service model, covering areas such as system development, IT services, digital marketing, store operation, customer services and warehousing and fulfillment services to better serve potential brand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January 2021, we have also entered into a registration rights agreement with Baozun. Set forth below is a description of the registration rights granted under the registration rights agreement.</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Demand registration</w:t>
      </w:r>
      <w:r>
        <w:rPr>
          <w:rFonts w:ascii="Times New Roman" w:cs="Times New Roman" w:eastAsia="Times New Roman" w:hAnsi="Times New Roman"/>
          <w:sz w:val="18"/>
          <w:szCs w:val="18"/>
          <w:color w:val="auto"/>
        </w:rPr>
        <w:t>. Holders of at least 5% of the voting power of the then outstanding shares, may, at any time, request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of their shares and we will use our reasonable best efforts to cause such shares to be registered. We, however, are not obligated to effect a demand registration if we have already effected two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Form F-3 Registration Rights</w:t>
      </w:r>
      <w:r>
        <w:rPr>
          <w:rFonts w:ascii="Times New Roman" w:cs="Times New Roman" w:eastAsia="Times New Roman" w:hAnsi="Times New Roman"/>
          <w:sz w:val="18"/>
          <w:szCs w:val="18"/>
          <w:color w:val="auto"/>
        </w:rPr>
        <w:t>. When we are eligible for registration on Form F-3, upon a written request from any holder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registrable securities 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If we propose to file a registration statement for a public offering for our own account or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holder of 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Underwritten Offering</w:t>
      </w:r>
      <w:r>
        <w:rPr>
          <w:rFonts w:ascii="Times New Roman" w:cs="Times New Roman" w:eastAsia="Times New Roman" w:hAnsi="Times New Roman"/>
          <w:sz w:val="18"/>
          <w:szCs w:val="18"/>
          <w:color w:val="auto"/>
        </w:rPr>
        <w:t>. If the managing underwriters of any underwritten offering advises us in writing that, in its opinion,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securities to be included in such offering is greater than the total number of securities which can be sold therein without having a material adverse effect on the distribution of such securities or otherwise having a material adverse effect on the marketability thereof, or the “Maximum Number of Securities,” then we shall include in such registration the registrable securities that the participating holders have requested to be registered thereunder only to the extent the number of such registrable securities does not exceed the Maximum Number of Securities. If such amount exceeds the Maximum Number of Securities, the number of registrable securities included in such Registration shall be allocated among all the participating holders on a pro rata basis (based on the number of registrable securities held by each participating holder). If the amount of such registrable securities does not exceed the Maximum Number of Securities, we may include in such Registration any ordinary shares of our company and other ordinary shares held by other security holders of us, as we may in our discretion determine or be obligated to allow, in an amount which together with the registrable securities included in such Registration shall not exceed the Maximum Number of Securities.</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We will pay all expenses incurred in complying with the terms of the registration rights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the 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Termination of Obligations</w:t>
      </w:r>
      <w:r>
        <w:rPr>
          <w:rFonts w:ascii="Times New Roman" w:cs="Times New Roman" w:eastAsia="Times New Roman" w:hAnsi="Times New Roman"/>
          <w:sz w:val="18"/>
          <w:szCs w:val="18"/>
          <w:color w:val="auto"/>
        </w:rPr>
        <w:t>. The registration rights set forth above shall terminate with respect to any holder, the date 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holder and its permitted transferee hold less than 5% of the voting power of the then outstanding shares of our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Employees—A. Directors and Senior Management—Employment Agreements and Indemnification Agreements with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Employees—B. Compensation of Directors and Executive Officers—Share Incentive Plans.”</w:t>
      </w:r>
    </w:p>
    <w:p>
      <w:pPr>
        <w:spacing w:after="0" w:line="162" w:lineRule="exact"/>
        <w:rPr>
          <w:sz w:val="20"/>
          <w:szCs w:val="20"/>
          <w:color w:val="auto"/>
        </w:rPr>
      </w:pPr>
    </w:p>
    <w:p>
      <w:pPr>
        <w:ind w:left="660" w:hanging="652"/>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Interests of Experts and Counsel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9" w:lineRule="exact"/>
        <w:rPr>
          <w:sz w:val="20"/>
          <w:szCs w:val="20"/>
          <w:color w:val="auto"/>
        </w:rPr>
      </w:pPr>
    </w:p>
    <w:p>
      <w:pPr>
        <w:ind w:left="660" w:hanging="652"/>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Consolidated Statements and Other Financial Information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in this annual report,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Dividend Distribution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an exempted limited liability company, used as a holding company incorporated in the Cayman Islands. We rely principally on dividends from our PRC subsidiaries and VIE entities for our cash requirements, including any payment of dividends to our shareholders. PRC regulations may restrict the ability of our PRC subsidiaries to pay dividends to us. See “Item 4. Information on the Company—B. Business Overview—Regulation—Regulations on Dividend Distribution.”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pay any dividends, we will pay our ADS holders to the same extent as holders of our ordinary shares, subject to the terms of the deposit agreement, including the fees and expenses payable thereunder. Cash dividends on our ordinary shares, if any, will be paid in U.S. dollars.</w:t>
      </w:r>
    </w:p>
    <w:p>
      <w:pPr>
        <w:spacing w:after="0" w:line="176"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Changes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229" w:lineRule="exact"/>
        <w:rPr>
          <w:sz w:val="20"/>
          <w:szCs w:val="20"/>
          <w:color w:val="auto"/>
        </w:rPr>
      </w:pPr>
    </w:p>
    <w:p>
      <w:pPr>
        <w:ind w:left="660" w:right="7240" w:hanging="652"/>
        <w:spacing w:after="0" w:line="500"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Offering and Listing Details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color w:val="auto"/>
        </w:rPr>
      </w:pPr>
    </w:p>
    <w:p>
      <w:pPr>
        <w:ind w:left="660" w:right="7840" w:hanging="652"/>
        <w:spacing w:after="0" w:line="530" w:lineRule="auto"/>
        <w:tabs>
          <w:tab w:leader="none" w:pos="6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Plan of Distribution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ADSs, one ADS representing five Class A ordinary shares, have been listed on the Nasdaq Global Market since December 21, 2017.</w:t>
      </w:r>
    </w:p>
    <w:p>
      <w:pPr>
        <w:spacing w:after="0" w:line="162" w:lineRule="exact"/>
        <w:rPr>
          <w:sz w:val="20"/>
          <w:szCs w:val="20"/>
          <w:color w:val="auto"/>
        </w:rPr>
      </w:pPr>
    </w:p>
    <w:p>
      <w:pPr>
        <w:ind w:left="660" w:right="7760" w:hanging="652"/>
        <w:spacing w:after="0" w:line="500"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Selling Shareholders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Dilution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right="7700" w:hanging="652"/>
        <w:spacing w:after="0" w:line="498"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Expenses of the Issue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29" w:lineRule="exact"/>
        <w:rPr>
          <w:sz w:val="20"/>
          <w:szCs w:val="20"/>
          <w:color w:val="auto"/>
        </w:rPr>
      </w:pPr>
    </w:p>
    <w:p>
      <w:pPr>
        <w:ind w:left="660" w:right="8120" w:hanging="652"/>
        <w:spacing w:after="0" w:line="530" w:lineRule="auto"/>
        <w:tabs>
          <w:tab w:leader="none" w:pos="6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Share Capital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Memorandum and Articles of Association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2018, the shareholders of our company approved a special resolution to delete certain provisions of our articles of association which can be more efficiently dealt with through our website and with public filings, and to adopt the ninth amended and restated memorandum an articles of association reflecting such changes. The following are summaries of material provisions of our ninth amended and restated memorandum and articles of association, as well as the Companies Act (Revised) insofar as they relate to the material terms of our ordinary shares.</w:t>
      </w:r>
    </w:p>
    <w:p>
      <w:pPr>
        <w:spacing w:after="0" w:line="18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Objects of Our Company</w:t>
      </w:r>
      <w:r>
        <w:rPr>
          <w:rFonts w:ascii="Times New Roman" w:cs="Times New Roman" w:eastAsia="Times New Roman" w:hAnsi="Times New Roman"/>
          <w:sz w:val="18"/>
          <w:szCs w:val="18"/>
          <w:color w:val="auto"/>
        </w:rPr>
        <w:t>. Under our ninth amended and restated memorandum and articles of association, the objects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are unrestricted and we have the full power and authority to carry out any object not prohibited by the laws of the Cayman Islands.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Ordinary Shares. Our ordinary shares are issued in registered form and are issued when registered in our register of members.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shareholders who are non-residents of the Cayman Islands may freely hold and vote their shares.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Register of Members. Under Cayman Islands law, we must keep a register of members and there should be entered therein:</w:t>
      </w:r>
    </w:p>
    <w:p>
      <w:pPr>
        <w:spacing w:after="0" w:line="227" w:lineRule="exact"/>
        <w:rPr>
          <w:sz w:val="20"/>
          <w:szCs w:val="20"/>
          <w:color w:val="auto"/>
        </w:rPr>
      </w:pPr>
    </w:p>
    <w:p>
      <w:pPr>
        <w:ind w:left="1000" w:hanging="31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the shares held by each member, and the statement shall:</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the amount paid or agreed to be considered as paid on the shares of each member;</w:t>
      </w:r>
    </w:p>
    <w:p>
      <w:pPr>
        <w:spacing w:after="0" w:line="225"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the number and category of shares held by each member;</w:t>
      </w:r>
    </w:p>
    <w:p>
      <w:pPr>
        <w:spacing w:after="0" w:line="225" w:lineRule="exact"/>
        <w:rPr>
          <w:rFonts w:ascii="Times New Roman" w:cs="Times New Roman" w:eastAsia="Times New Roman" w:hAnsi="Times New Roman"/>
          <w:sz w:val="18"/>
          <w:szCs w:val="18"/>
          <w:color w:val="auto"/>
        </w:rPr>
      </w:pPr>
    </w:p>
    <w:p>
      <w:pPr>
        <w:ind w:left="1340" w:hanging="333"/>
        <w:spacing w:after="0" w:line="282" w:lineRule="auto"/>
        <w:tabs>
          <w:tab w:leader="none" w:pos="13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whether each relevant category of shares held by a member carries voting rights under our current memorandum and articles of association, and if so, whether such voting rights are conditional;</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our initial public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Dividends. The holders of our ordinary shares are entitled to such dividends as may be declared by our board of directors. In addition, our 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Voting Rights. Our share capital is currently divided into Class A ordinary shares and Class B ordinary shares. On a show of hands each shareholder is 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Act and our ninth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Conversion. Class B ordinary shares are convertible into Class A ordinary shares. All Class B ordinary shares are subject to automatic conversion into 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Transfer of Ordinary Shares. Subject to the restrictions set out below, any of our shareholders may transfer all or any of his or her ordinary shares by an instrument of transfer in the usual or common form or any other form approved by our board of directors.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2" w:lineRule="exact"/>
        <w:rPr>
          <w:sz w:val="20"/>
          <w:szCs w:val="20"/>
          <w:color w:val="auto"/>
        </w:rPr>
      </w:pPr>
    </w:p>
    <w:p>
      <w:pPr>
        <w:jc w:val="both"/>
        <w:ind w:left="1000" w:hanging="317"/>
        <w:spacing w:after="0" w:line="266"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Liquidation. On a return of capital on winding up or otherwise (other than on conversion, redemption or purchase of shares), assets available for 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Calls on Shares and Forfeiture of Shares.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Redemption, Repurchase and Surrender of Ordinary Shares. 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Variations of Rights of Shares. The rights attached to any class or series of shares (unless otherwise provided by the terms of issue of the shares 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Issuance of Additional Shares. Our ninth amended and restated memorandum and articles of association authorizes our board of directors to issue additional ordinary shares from time to time as our board of directors shall determine, to the extent of available authorized but unissued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ninth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176" w:lineRule="exact"/>
        <w:rPr>
          <w:sz w:val="20"/>
          <w:szCs w:val="20"/>
          <w:color w:val="auto"/>
        </w:rPr>
      </w:pPr>
    </w:p>
    <w:p>
      <w:pPr>
        <w:ind w:left="1000" w:hanging="31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Issuance of these shares may dilute the voting power of holders of ordinary shares.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Inspection of Books and Records. Holders of our ordinary shares will have no general right under Cayman Islands law to inspect or obtain copies of our list of shareholders or our corporate records. However, we will provide our shareholders with annual audited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Anti-Takeover Provisions. Some provisions of our ninth amended and restated memorandum and articles of association may discourage, delay or prevent a change of control of our company or management that shareholders may consider favorable, including provisions that:</w:t>
      </w:r>
    </w:p>
    <w:p>
      <w:pPr>
        <w:spacing w:after="0" w:line="176" w:lineRule="exact"/>
        <w:rPr>
          <w:sz w:val="20"/>
          <w:szCs w:val="20"/>
          <w:color w:val="auto"/>
        </w:rPr>
      </w:pPr>
    </w:p>
    <w:p>
      <w:pPr>
        <w:jc w:val="both"/>
        <w:ind w:left="1000" w:hanging="317"/>
        <w:spacing w:after="0" w:line="266" w:lineRule="auto"/>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ninth amended and restated memorandum and articles of association for a proper purpose and for what they believe in good faith to be in the best interests of our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 Meetings of Shareholders and Shareholder Proposals. Our shareholders’ general meetings may be held in such place within or outside the Cayman Islands as our board of directors considers appropriate.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exempted Cayman Islands company, we are not obliged by law to call shareholders’ annual general meetings. Our ninth amended and restated memorandum and articles of association provide that we shall in each year hold a general meeting as our annual general meeting.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Exempted Company.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0" w:lineRule="exact"/>
        <w:rPr>
          <w:sz w:val="20"/>
          <w:szCs w:val="20"/>
          <w:color w:val="auto"/>
        </w:rPr>
      </w:pPr>
    </w:p>
    <w:p>
      <w:pPr>
        <w:ind w:left="1000" w:hanging="317"/>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Contracts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“Item 4. Information on the Company,” “Item 7. Major Shareholders and Related Party Transactions—B. Related Party Transactions” and “Item 10. Additional Information—C. Material Contracts” or elsewhere in this annual report.</w:t>
      </w:r>
    </w:p>
    <w:p>
      <w:pPr>
        <w:spacing w:after="0" w:line="181"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Controls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Overview—Regulation—Regulations on Foreign Exchange” and “— Regulations on Dividend Distribution.”</w:t>
      </w:r>
    </w:p>
    <w:p>
      <w:pPr>
        <w:spacing w:after="0" w:line="162"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summary of the material Cayman Islands, Hong Kong, mainland China and United States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United States state or local tax laws, or tax laws of jurisdictions other than the Cayman Islands, Hong Kong, mainland China and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 Taxation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Travers Thorp Alberga, our Cayman Islands counsel, has advised us that 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People’s Republic of China Taxation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SAT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 including the holders of our ADSs. In addition, non- 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 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the PRC Enterprise Income Tax Law, Law of the People’s Republic of China on the Administration of Tax Collection promulgated on April 24, 2015, and the SAT’s Announcement on Matters Concerning Withholding of Income Tax of Non-resident Enterprises at Source promulgated on October 17, 2017,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Federal Income Tax Considerations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shares (measured by voting power or value),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general, if you are a U.S. Holder of ADSs, you will be treated, for U.S. federal income tax purposes, as the beneficial owner of the underlying ordinary shares that are represented by those ADSs.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to maintain calculations of our earnings and profits in accordance with U.S. federal income tax principles.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Therefore, U.S. Holders should expect that distributions generally will be treated as dividends for U.S. federal income tax purposes.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176" w:lineRule="exact"/>
        <w:rPr>
          <w:sz w:val="20"/>
          <w:szCs w:val="20"/>
          <w:color w:val="auto"/>
        </w:rPr>
      </w:pPr>
    </w:p>
    <w:p>
      <w:pPr>
        <w:jc w:val="both"/>
        <w:ind w:left="1000" w:hanging="317"/>
        <w:spacing w:after="0" w:line="266"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not, in the year prior to the year in which the dividend was paid, and are not, in the year in which the dividend is paid, a PFIC.</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ADSs are listed on the NASDAQ Global Market, and will qualify as readily tradable on an established securities market in the United States so long as they are so listed.</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Enterprise Income Tax Law (see “Item 10. Additional Information—E. Taxation—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Subject to generally applicable limitations and conditions, PRC dividend withholding tax paid at the appropriate rate applicable to the U.S. Holder may be eligible for a credit against such U.S. Holder’s U.S. federal income tax liability. These generally applicable limitations and conditions include new requirements adopted by the U.S. Internal Revenue Service (“IRS”) in regulations promulgated in December 2021, and any PRC tax will need to satisfy these requirements in order to be eligible to be a creditable tax for a U.S. Holder. In the case of a U.S. Holder that either (i) is eligible for, and properly elects, the benefits of the Treaty, or (ii) consistently elects to apply a modified version of these rules under recently issued temporary guidance and complies with specific requirements set forth in such guidance, the PRC tax on dividends will be treated as meeting the new requirements and therefore as a creditable tax. In the case of all other U.S. Holders, the application of these requirements to the PRC tax on dividends is uncertain, and we have not determined whether these requirements have been met. If the PRC dividend tax is not a creditable tax for a U.S. Holder or the U.S. Holder does not elect to claim a foreign tax credit for any foreign income taxes paid or accrued in the same taxable year, the U.S. Holder may be able to deduct the PRC tax in computing such U.S. Holder’s taxable income for U.S. federal income tax purposes. Dividend distributions will constitute income from sources without the United States and, for U.S. Holders that elect to claim foreign tax credits, generally will constitute “passive category income” for foreign tax credit purposes.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availability and calculation of foreign tax credits and deductions for foreign taxes depend on a U.S. Holder’s particular circumstances and involve the application of complex rules to those circumstances. The temporary guidance discussed above also indicates that the Treasury and the IRS are considering proposing amendments to the December 2021 regulations and that the temporary guidance can be relied upon until additional guidance is issued that withdraws or modifies the temporary guidance. U.S. Holders should consult their own tax advisors regarding the application of these rules to their particular circumstances.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Dispositions of ADSs or Ordinary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if a U.S. Holder realizes gain or loss on the sale, exchange or other disposition of ADSs or ordinary shares, that gain or loss will be capital gain or loss and generally will be long-term capital gain or loss if the ADSs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U.S. Holder generally will not be entitled to credit any PRC tax imposed on the sale or other disposition of the ADSs or ordinary shares against such U.S. Holder’s U.S. federal income tax liability, except in the case of either (i) a U.S. Holder that is eligible for, and properly elects to claim, the benefits of the Treaty or (ii) a U.S. Holder that consistently elects to apply a modified version of the U.S. foreign tax credit rules that is permitted under recently issued temporary guidance and complies with the specific requirements set forth in such guidance. Additionally, capital gain or loss realized by a U.S. Holder on the sale or other disposition of the ADSs or ordinary shares generally will be U.S. source gain or loss for U.S. foreign tax credit purposes (except to the extent that the U.S. Holder establishes the right to treat such gain as foreign-source income under the Treaty). Consequently, even if the withholding tax qualifies as a creditable tax, a U.S. Holder may not be able to credit the tax against its U.S. federal income tax liability unless such credit can be applied (subject to generally applicable conditions and limitations) against tax due on other income treated as derived from foreign sources. If the PRC tax is not a creditable tax or is not claimed as a credit by the U.S. Holder pursuant to the Treaty, the tax would reduce the amount realized on the sale or other disposition of the ADSs or ordinary shares even if the U.S. Holder has elected to claim a foreign tax credit for other taxes in the same year. The temporary guidance discussed above also indicates that the Treasury and the IRS are considering proposing amendments to the December 2021 regulations and that the temporary guidance can be relied upon until additional guidance is issued that withdraws or modifies the temporary guidance. U.S. Holders should consult their own tax advisors regarding the application of the foreign tax credit rules to a sale or other disposition of the ADSs or ordinary shares and any PRC tax imposed on such sale or disposition.</w:t>
      </w:r>
    </w:p>
    <w:p>
      <w:pPr>
        <w:spacing w:after="0" w:line="19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Deposits and withdrawals of ordinary shares by U.S. Holders in exchange for ADSs will not result in the realization of gain or loss for U.S. federal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Special U.S. tax rules apply to companies that are considered to be PFICs. We will be classified as a PFIC in a particular taxable year if either</w:t>
      </w:r>
    </w:p>
    <w:p>
      <w:pPr>
        <w:spacing w:after="0" w:line="162" w:lineRule="exact"/>
        <w:rPr>
          <w:sz w:val="20"/>
          <w:szCs w:val="20"/>
          <w:color w:val="auto"/>
        </w:rPr>
      </w:pPr>
    </w:p>
    <w:p>
      <w:pPr>
        <w:ind w:left="1000" w:hanging="317"/>
        <w:spacing w:after="0"/>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percent or more of our gross income for the taxable year is passive income; or</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the value of our assets that produce or are held for the production of passive income is at least 50 percent.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this purpose, cash generally is treated as a passive asset. Goodwill is treated as an active asset under the PFIC rules to the extent attributable to activities that produce active income. We will be treated as owning our proportionate share of the assets and earning our proportionate share of the income of any other corporation in which we own, directly or indirectly, 25% or more (by value) of the stock.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Based on our financial statements, the manner in which we conduct our business, the trading price of our ADSs, the value and nature of our assets and the sources and nature of our income, we believe we were a PFIC for our prior taxable year. Additionally, there is a significant risk that we will be a PFIC for our current taxable year and in future taxable years. The determination of whether we are a PFIC is made annually after the close of each taxable year. This determination is based on the facts and circumstances at that time, some of which may be beyond our control, such as the amount and composition of our income and the valuation and composition of our assets, including goodwill and other intangible assets, as implied by the market price of our ADSs and ordinary shares. In particular, because the value of our assets for purposes of the asset test may be determined by reference to the market price of our ADSs, fluctuations in the market price of our ADSs and/or ordinary shares may cause us to be a PFIC for the current or subsequent taxable years. In addition, the composition of our income and assets will also be affected by how, and how quickly, we use our liquid assets. If we determine not to deploy significant amounts of cash for active purposes, or if it were determined that we do not own the stock of the consolidated variable interest entities for U.S. federal income tax purposes, our risk of being a PFIC may substantially increase.</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event that we are classified as a PFIC in any year and a U.S. Holder does not make a mark-to-market election, as described below, the holder will be subject to a special tax at ordinary income tax rates on “excess distributions” (generally, any distributions that a U.S. Holder receives in a taxable year that are greater than 125 percent of the average annual distributions that such U.S. Holder has received in the preceding three taxable years, or its holding period, if shorter), as well as any gain that such U.S. Holder recognizes on the sale of our ordinary shares or ADSs. Under these rules, (a) the excess distribution or gain will be allocated ratably over the U.S. Holder’s holding period for the shares, (b) the amount allocated to the current taxable year and any taxable year prior to the first taxable year in which we are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Additionally, dividends paid by us will not be eligible for the special reduced rate of taxes described above under “—Taxation of Dividends.” If we are classified as a PFIC for any taxable year in which a U.S. Holder owns our ordinary shares or ADSs, we will generally continue to be treated as a PFIC with respect to the U.S. Holder for all succeeding years during which the U.S. Holder owns our ordinary shares or ADSs, even if we cease to meet the threshold requirements for PFIC status (unless the U.S. Holder makes a special “purging” election on IRS Form 8621 with respect to our ordinary shares or ADSs once we are no longer a PFIC). Classification as a PFIC may also have other adverse tax consequences, including, in the case of individuals, the denial of a step-up in the basis of his or her ordinary shares or ADSs at death. U.S. Holders are urged to consult their own tax advisors about the application of the PFIC rules to us.</w:t>
      </w:r>
    </w:p>
    <w:p>
      <w:pPr>
        <w:spacing w:after="0" w:line="19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ordinary shares or ADSs and we have any direct, and in certain circumstances, indirect subsidiaries that are PFICs (each a “Subsidiary PFIC”), the U.S. Holder will be treated as owning its pro rata share of the stock of each Subsidiary PFIC for purposes of the application of these rules, and the U.S. Holder generally would be subject to similar rules with respect to distributions to us by, and dispositions by us of the stock of, any Subsidiary PFIC.</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If we are a PFIC for any taxable year, in lieu of being subject to the general rules discussed above, a U.S. Holder may elect to mark its ordinary shares or ADSs to market, provided that the ordinary shares or ADSs are considered “marketable.” The ordinary shares or ADSs will be marketable if they are regularly traded on certain U.S. stock exchanges, including the NASDAQ Global Market, or on a non-U.S. stock exchange if (i) the exchange is regulated or supervised by a governmental authority in the country in which the exchange is located; (ii) the exchange has trading volume, listing, financial disclosure, surveillance and other requirements designed to prevent fraudulent and manipulative acts and practices, remove impediments to, and perfect the mechanism of, a free and open, fair and orderly, market and to protect investors; (iii) the laws of the country in which the exchange is located and the rules of the exchange ensure that these requirements are actually enforced; and (iv) the rules of the exchange ensure active trading during any calendar year during which they are traded, other than in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quantities, on at least 15 days during each calendar quarter. It should be noted that only the ADSs, and not the ordinary shares, are listed on the NASDAQ Global Market, and the ordinary shares themselves are not listed on any stock exchange. Consequently, a mark-to-market election is not expected to be available for a U.S. Holder that holds ordinary shares that are not represented by ADSs.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U.S. Holder makes this mark-to-market election with respect to its ADSs, the holder will be required in any year in which we are a PFIC to include as ordinary income the excess of the fair market value of the ADSs at year-end over the holder’s basis in those ADSs. If, at the end of the U.S. Holder’s taxable year for a year in which we were a PFIC, the holder’s basis in the ADSs exceeds their fair market value, the holder will be entitled to deduct the excess as an ordinary loss, but only to the extent of the holder’s net mark-to-market gains from previous years. The holder’s adjusted tax basis in the ADSs will be adjusted to reflect any income or loss recognized under these rules. In addition, any gain the U.S. Holder recognizes upon the sale of the holder’s ADSs will be taxed as ordinary income in the year of sale, and any loss will be treated as an ordinary loss to the extent of the U.S. Holder’s net mark-to-market gains from previous years. Once made, the election cannot be revoked without the consent of the IRS unless the ADSs cease to be marketable.</w:t>
      </w:r>
    </w:p>
    <w:p>
      <w:pPr>
        <w:spacing w:after="0" w:line="11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U.S. Holder will not, however, be able to make a mark-to-market election with respect to the stock of any Subsidiary PFIC. Therefore, the U.S. Holder would continue to be subject to the excess distribution rules with respect to any of our subsidiaries that are PFICs, any distributions received by us from a subsidiary that is a PFIC and any gain recognized by us upon a sale of equity interests in a subsidiary that is a PFIC, even if the U.S. Holder has made a mark-to-market election with respect to our ADSs. The interaction of the mark-to-market rules and the rules governing lower-tier PFICs is complex and uncertain.</w:t>
      </w:r>
    </w:p>
    <w:p>
      <w:pPr>
        <w:spacing w:after="0" w:line="1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some cases, a shareholder of a PFIC may be subject to alternative treatment by making a valid qualified electing fund election, or QEF election. If a QEF election is made, such U.S. Holder generally will be required to include in income on a current basis its pro rata share of the PFIC’s ordinary income and net capital gains, regardless of whether or not such earnings and gains are actually distributed to such U.S. Holder. To make a QEF election, the PFIC must provide shareholders with certain information compiled according to U.S. federal income tax principles. We do not intend, however, to prepare or provide the information that would enable U.S. Holders to make QEF elections.</w:t>
      </w:r>
    </w:p>
    <w:p>
      <w:pPr>
        <w:spacing w:after="0" w:line="1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U.S. Holder that owns an equity interest in a PFIC generally must annually file IRS Form 8621, and may be required to file other IRS forms.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9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U.S. Holders should consult their own tax advisors regarding the U.S. federal income tax considerations discussed above and the availability and desirability of making a mark-to-market election.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Reporting</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U.S. Holders who are individuals that own “specified foreign financial assets” with an aggregate value in excess of US$50,000 on the last day of the taxable year or $75,000 at any time during the taxable year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660" w:right="7120" w:hanging="652"/>
        <w:spacing w:after="0" w:line="500"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color w:val="auto"/>
        </w:rPr>
      </w:pPr>
    </w:p>
    <w:p>
      <w:pPr>
        <w:ind w:left="660" w:right="7720" w:hanging="652"/>
        <w:spacing w:after="0" w:line="530" w:lineRule="auto"/>
        <w:tabs>
          <w:tab w:leader="none" w:pos="6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Statement by Experts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on Display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furnish JPMorgan Chase Bank, N.A.,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3"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Subsidiary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list of our subsidiaries, see “Item 4. Information on the Company—C. Organizational Structure.”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inflation in China has not materially impacted our results of operations. According to the National Bureau of Statistics of China, the year over year percent change in the consumer price index for 2021, 2022 and 2023 were increases of 0.9%, 2.0% and 0.2%,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and VIE entities in China. Our commercial transactions outside China are primarily denominated in U.S. dollars and Hong Kong dollars, which are pegged to U.S. dollars. We do not hedge against currency risk.</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Accordingly, it is difficult to predict how market forces or PRC or U.S. government policy may impact the exchange rate between the Renminbi and the U.S. dollar in the future. In addition, the PBOC may, from time to time, release policies and measures concerning the foreign exchange market to limit fluctuations in Renminbi exchange rates and for other policy considerations.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 For U.S. dollars against Renminbi in term of average monthly exchange rate, there was depreciation of approximately 7.2%, appreciation of approximately 3.2% and appreciation of approximately 5.0% in 2021, 2022 and 2023, respectively.</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31.2% of the aggregate principal outstanding amount of our bank borrowings as of December 31, 2023 was at floating rates.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2023, if interest rates increased/decreased by 1%, with all other variables having remained constant, and assuming the amount of bank borrowings outstanding at the end of the year was outstanding for the entire year, our net loss would have been US0.1 million higher/lower, respectively. These were mainly as a result of higher/lower interest expense for our bank borrowings at floating rates.</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229" w:lineRule="exact"/>
        <w:rPr>
          <w:sz w:val="20"/>
          <w:szCs w:val="20"/>
          <w:color w:val="auto"/>
        </w:rPr>
      </w:pPr>
    </w:p>
    <w:p>
      <w:pPr>
        <w:jc w:val="both"/>
        <w:ind w:left="660" w:right="8160" w:hanging="652"/>
        <w:spacing w:after="0" w:line="530" w:lineRule="auto"/>
        <w:tabs>
          <w:tab w:leader="none" w:pos="6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Debt Securities </w:t>
      </w:r>
      <w:r>
        <w:rPr>
          <w:rFonts w:ascii="Times New Roman" w:cs="Times New Roman" w:eastAsia="Times New Roman" w:hAnsi="Times New Roman"/>
          <w:sz w:val="17"/>
          <w:szCs w:val="17"/>
          <w:color w:val="auto"/>
        </w:rPr>
        <w:t>Not applicable.</w:t>
      </w:r>
    </w:p>
    <w:p>
      <w:pPr>
        <w:ind w:left="660" w:right="7800" w:hanging="652"/>
        <w:spacing w:after="0" w:line="530" w:lineRule="auto"/>
        <w:tabs>
          <w:tab w:leader="none" w:pos="6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Warrants and Rights </w:t>
      </w:r>
      <w:r>
        <w:rPr>
          <w:rFonts w:ascii="Times New Roman" w:cs="Times New Roman" w:eastAsia="Times New Roman" w:hAnsi="Times New Roman"/>
          <w:sz w:val="17"/>
          <w:szCs w:val="17"/>
          <w:color w:val="auto"/>
        </w:rPr>
        <w:t>Not applicable.</w:t>
      </w:r>
    </w:p>
    <w:p>
      <w:pPr>
        <w:ind w:left="660" w:right="8100" w:hanging="652"/>
        <w:spacing w:after="0" w:line="530" w:lineRule="auto"/>
        <w:tabs>
          <w:tab w:leader="none" w:pos="6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Other Securities </w:t>
      </w:r>
      <w:r>
        <w:rPr>
          <w:rFonts w:ascii="Times New Roman" w:cs="Times New Roman" w:eastAsia="Times New Roman" w:hAnsi="Times New Roman"/>
          <w:sz w:val="17"/>
          <w:szCs w:val="17"/>
          <w:color w:val="auto"/>
        </w:rPr>
        <w:t>Not applicable.</w:t>
      </w:r>
    </w:p>
    <w:p>
      <w:pPr>
        <w:ind w:left="660" w:hanging="652"/>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American Depositary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80" w:lineRule="exact"/>
        <w:rPr>
          <w:sz w:val="20"/>
          <w:szCs w:val="20"/>
          <w:color w:val="auto"/>
        </w:rPr>
      </w:pPr>
    </w:p>
    <w:p>
      <w:pPr>
        <w:ind w:left="1000" w:hanging="317"/>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for any cash distribution made pursuant to the deposit agreement;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US$1.50 per ADR or ADRs for transfers of certificated or direct registration ADRs;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17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 ADRs or deposited securities;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JPMorgan and/or its agent may act as principal for such conversion of foreign currency.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A-D. </w:t>
      </w:r>
      <w:r>
        <w:rPr>
          <w:rFonts w:ascii="Times New Roman" w:cs="Times New Roman" w:eastAsia="Times New Roman" w:hAnsi="Times New Roman"/>
          <w:sz w:val="18"/>
          <w:szCs w:val="18"/>
          <w:u w:val="single" w:color="auto"/>
          <w:color w:val="auto"/>
        </w:rPr>
        <w:t>Material Modifications to the Rights of Security Holders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See “Item 10. Additional Information—B. Memorandum and Articles of Association—Ordinary Shares” for a description of the rights of securities holders, which remain unchanged.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as amended (File No. 333-221034) in relation to our initial public offering, which was declared effective by the SEC on December 21, 2017 and to the registration statement on Form F-3, as amended (File No. 333-232435) in relation to our follow-on offering, which was declared effective by the SEC on July 15, 2019.</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period from December 21, 2017 to December 31, 2021, we used all of the net proceeds from our initial public offering for research and development and expansion of our suite of solutions and service offerings; and sales and marketing.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period from September 2, 2020, the date that we completed our follow-on offering, to December 31, 2022, we used all of the net proceeds from our follow-on offering for working capital and other general corporate purpose and for investment, acquisition and business collaboration opportunities that complement or enhance our existing operations and are strategically beneficial to our long-term goals.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None of the net proceeds from the initial public offering and the follow-on public offering, and their transaction expenses have been paid, directly or indirectly, to any of our directors or officers or their associates, persons owning 10% or more of our equity securities or our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chief financial officer, we carried out an evaluation of the effectiveness of our disclosure controls and procedures, which is defined in Rules 13a-15(e) of the Exchange Act, as of December 31, 2023. Based upon that evaluation, our management, with the participation of our chief executive officer and chief financial officer, has concluded that, as of the end of the period covered by this annual report, our disclosure controls and procedures were not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13a-15(f) and 15d-15(f) under the Exchange Act of 1934. Our internal control over financial reporting is a process designed to provide reasonable assurance regarding the reliability of financial reporting and the preparation of consolidated financial statements in accordance with U.S. GAAP. Because of its inherent limitations, a system of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as of December 31, 2023. In making this assessment, it used the criteria established within the Internal Control—Integrated Framework issued by the Committee of Sponsoring Organizations of the Treadway Commission (COSO) (2013 framework). Based on this assessment, our management has concluded that, as of December 31, 2023, our internal control over financial reporting was not effective.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an up-to-date manual of accounting policies and procedures to facilitate preparation of U.S. GAAP financial statements, which could result in adjustments to U.S. GAAP not identified in a timely and complete manner, causing material misstatements in the Company’s financial reporting. To remediate these two weaknesses, we have adopted the following measures to improve our internal control over financial reporting.</w:t>
      </w:r>
    </w:p>
    <w:p>
      <w:pPr>
        <w:spacing w:after="0" w:line="194" w:lineRule="exact"/>
        <w:rPr>
          <w:sz w:val="20"/>
          <w:szCs w:val="20"/>
          <w:color w:val="auto"/>
        </w:rPr>
      </w:pPr>
    </w:p>
    <w:p>
      <w:pPr>
        <w:jc w:val="both"/>
        <w:ind w:left="1000" w:hanging="317"/>
        <w:spacing w:after="0" w:line="255"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continued to put effort in further upskilling our existing financial reporting and accounting personnel with an appropriate understanding of U.S. GAAP and SEC reporting requirements to ensure there are sufficient resources in the financial reporting functions and to establish an ongoing program to provide sufficient and additional appropriate training to our financial reporting and accounting staff, especially trainings related to U.S. GAAP and SEC financial reporting requirements. For instance, we continue to require our existing financial reporting and accounting personnel to regularly attend U.S. GAAP and SEC reporting requirement training and workshops hosted by external organizations at least on an annual basis.</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we sponsored our existing financial reporting and accounting personnel to complete external courses relating to U.S. GAAP and SEC reporting such that the financial reporting and accounting personnel can earn the necessary credentials to be qualified as certified public accountants in the U.S.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Besides, we have established clear roles and responsibilities for financial reporting and accounting personnel to address complex accounting and financial reporting issues.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5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have formalized the procedures and controls regarding the financial reporting process and developed and implemented a comprehensive set of U.S. GAAP policies and standardized financial reporting procedures, including a manual of accounting policies and financial reporting checklists, to allow early detection, prevention and resolution of potential misstatements. However, we are in the process of further upskilling our existing financial reporting and accounting personnel to timely update the manual of accounting policies, and properly prepare and review financial statements and related footnote /disclosures based on U.S. GAAP and SEC reporting requirements.</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Regulation S-K Item 308(b), this annual report does not include an attestation report of our independent registered public accounting firm regarding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above, there have not been any changes in our internal control over financial reporting in the year ended December 31, 2023, which have materially affected, or are reasonably likely to materially affect, our internal control over financial reporting.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Matthew Fong and Lub Bun Chong are our audit committee financial experts. Each of Matthew Fong and Lub Bun Chong satisfies the independent requirements of the Rule 5605(c)(2) of the Listing Rules of the NASDAQ Stock Market and meet the independence standards under Rule 10A-3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adopted a code of business conduct and ethics that applies to our directors, officers and employees. We have filed our code of business conduct and ethics as an exhibit to our registration statement on Form F-1 (file No. 333-221034), as amended, initially filed with the SEC on October 20, 2017. We have posted a copy of our code of business conduct and ethics on our website at http://ir.i-click.com.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PricewaterhouseCoopers, our independent registered public accounting firm, for the periods indicated. We did not pay any other fees to our independent registered public accounting firm during the periods indicated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7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7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28"/>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80" w:type="dxa"/>
            <w:vAlign w:val="bottom"/>
            <w:gridSpan w:val="3"/>
          </w:tcPr>
          <w:p>
            <w:pPr>
              <w:jc w:val="right"/>
              <w:ind w:right="175"/>
              <w:spacing w:after="0" w:line="129" w:lineRule="exact"/>
              <w:rPr>
                <w:sz w:val="20"/>
                <w:szCs w:val="20"/>
                <w:color w:val="auto"/>
              </w:rPr>
            </w:pPr>
            <w:r>
              <w:rPr>
                <w:rFonts w:ascii="Times New Roman" w:cs="Times New Roman" w:eastAsia="Times New Roman" w:hAnsi="Times New Roman"/>
                <w:sz w:val="14"/>
                <w:szCs w:val="14"/>
                <w:b w:val="1"/>
                <w:bCs w:val="1"/>
                <w:color w:val="auto"/>
              </w:rPr>
              <w:t>(US$ in thousands)</w:t>
            </w:r>
          </w:p>
        </w:tc>
      </w:tr>
      <w:tr>
        <w:trPr>
          <w:trHeight w:val="216"/>
        </w:trPr>
        <w:tc>
          <w:tcPr>
            <w:tcW w:w="1000" w:type="dxa"/>
            <w:vAlign w:val="bottom"/>
          </w:tcPr>
          <w:p>
            <w:pPr>
              <w:spacing w:after="0"/>
              <w:rPr>
                <w:sz w:val="18"/>
                <w:szCs w:val="18"/>
                <w:color w:val="auto"/>
              </w:rPr>
            </w:pPr>
          </w:p>
        </w:tc>
        <w:tc>
          <w:tcPr>
            <w:tcW w:w="6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 fees </w:t>
            </w:r>
            <w:r>
              <w:rPr>
                <w:rFonts w:ascii="Times New Roman" w:cs="Times New Roman" w:eastAsia="Times New Roman" w:hAnsi="Times New Roman"/>
                <w:sz w:val="25"/>
                <w:szCs w:val="25"/>
                <w:color w:val="auto"/>
                <w:vertAlign w:val="superscript"/>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16"/>
        </w:trPr>
        <w:tc>
          <w:tcPr>
            <w:tcW w:w="1000" w:type="dxa"/>
            <w:vAlign w:val="bottom"/>
          </w:tcPr>
          <w:p>
            <w:pPr>
              <w:spacing w:after="0"/>
              <w:rPr>
                <w:sz w:val="18"/>
                <w:szCs w:val="18"/>
                <w:color w:val="auto"/>
              </w:rPr>
            </w:pPr>
          </w:p>
        </w:tc>
        <w:tc>
          <w:tcPr>
            <w:tcW w:w="6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Tax fees </w:t>
            </w:r>
            <w:r>
              <w:rPr>
                <w:rFonts w:ascii="Times New Roman" w:cs="Times New Roman" w:eastAsia="Times New Roman" w:hAnsi="Times New Roman"/>
                <w:sz w:val="25"/>
                <w:szCs w:val="25"/>
                <w:color w:val="auto"/>
                <w:vertAlign w:val="superscript"/>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000" w:type="dxa"/>
            <w:vAlign w:val="bottom"/>
          </w:tcPr>
          <w:p>
            <w:pPr>
              <w:spacing w:after="0"/>
              <w:rPr>
                <w:sz w:val="18"/>
                <w:szCs w:val="18"/>
                <w:color w:val="auto"/>
              </w:rPr>
            </w:pPr>
          </w:p>
        </w:tc>
        <w:tc>
          <w:tcPr>
            <w:tcW w:w="6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Audit related fees </w:t>
            </w:r>
            <w:r>
              <w:rPr>
                <w:rFonts w:ascii="Times New Roman" w:cs="Times New Roman" w:eastAsia="Times New Roman" w:hAnsi="Times New Roman"/>
                <w:sz w:val="25"/>
                <w:szCs w:val="25"/>
                <w:color w:val="auto"/>
                <w:vertAlign w:val="superscript"/>
              </w:rPr>
              <w:t>(3)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129"/>
        </w:trPr>
        <w:tc>
          <w:tcPr>
            <w:tcW w:w="10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c>
          <w:tcPr>
            <w:tcW w:w="4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r>
    </w:tbl>
    <w:p>
      <w:pPr>
        <w:spacing w:after="0" w:line="90" w:lineRule="exact"/>
        <w:rPr>
          <w:sz w:val="20"/>
          <w:szCs w:val="20"/>
          <w:color w:val="auto"/>
        </w:rPr>
      </w:pPr>
    </w:p>
    <w:p>
      <w:pPr>
        <w:ind w:left="660" w:hanging="652"/>
        <w:spacing w:after="0" w:line="282" w:lineRule="auto"/>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for professional services rendered by our principal auditors for the audit of our annual financial statements and the review of our comparative interim financial statements.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billed for tax compliance and tax consultations.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60" w:right="20" w:hanging="652"/>
        <w:spacing w:after="0" w:line="266" w:lineRule="auto"/>
        <w:tabs>
          <w:tab w:leader="none" w:pos="66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represent the aggregate fees billed in each of the fiscal years listed for the assurance and related services rendered by our principal auditors that are reasonably related to the performance of the audit or review of our financial statements and not reported under “Audit fees.”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policy of our audit committee is to pre-approve all audit and other service provided by PricewaterhouseCoopers as described above, other than those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which are approved by the Audit Committee prior to the completion of the audit.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about our purchases of outstanding ADSs in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 Total Number</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 Approximately</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 ADSs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 ADSs Purchased</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(a)Total Number of</w:t>
            </w:r>
          </w:p>
        </w:tc>
        <w:tc>
          <w:tcPr>
            <w:tcW w:w="15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(b)Average Price Paid</w:t>
            </w: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46"/>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4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Plans or Programs</w:t>
            </w:r>
          </w:p>
        </w:tc>
        <w:tc>
          <w:tcPr>
            <w:tcW w:w="0" w:type="dxa"/>
            <w:vAlign w:val="bottom"/>
          </w:tcPr>
          <w:p>
            <w:pPr>
              <w:spacing w:after="0"/>
              <w:rPr>
                <w:sz w:val="1"/>
                <w:szCs w:val="1"/>
                <w:color w:val="auto"/>
              </w:rPr>
            </w:pPr>
          </w:p>
        </w:tc>
      </w:tr>
      <w:tr>
        <w:trPr>
          <w:trHeight w:val="175"/>
        </w:trPr>
        <w:tc>
          <w:tcPr>
            <w:tcW w:w="4280" w:type="dxa"/>
            <w:vAlign w:val="bottom"/>
            <w:gridSpan w:val="3"/>
            <w:vMerge w:val="continue"/>
          </w:tcPr>
          <w:p>
            <w:pPr>
              <w:spacing w:after="0"/>
              <w:rPr>
                <w:sz w:val="15"/>
                <w:szCs w:val="15"/>
                <w:color w:val="auto"/>
              </w:rPr>
            </w:pP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ADSs Purchased</w:t>
            </w:r>
          </w:p>
        </w:tc>
        <w:tc>
          <w:tcPr>
            <w:tcW w:w="15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4"/>
                <w:szCs w:val="14"/>
                <w:b w:val="1"/>
                <w:bCs w:val="1"/>
                <w:color w:val="auto"/>
                <w:w w:val="99"/>
              </w:rPr>
              <w:t>per ADS (US$)</w:t>
            </w:r>
            <w:r>
              <w:rPr>
                <w:rFonts w:ascii="Times New Roman" w:cs="Times New Roman" w:eastAsia="Times New Roman" w:hAnsi="Times New Roman"/>
                <w:sz w:val="20"/>
                <w:szCs w:val="20"/>
                <w:b w:val="1"/>
                <w:bCs w:val="1"/>
                <w:color w:val="auto"/>
                <w:w w:val="99"/>
                <w:vertAlign w:val="superscript"/>
              </w:rPr>
              <w:t>(1)</w:t>
            </w:r>
          </w:p>
        </w:tc>
        <w:tc>
          <w:tcPr>
            <w:tcW w:w="134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4"/>
                <w:szCs w:val="14"/>
                <w:b w:val="1"/>
                <w:bCs w:val="1"/>
                <w:color w:val="auto"/>
                <w:w w:val="98"/>
              </w:rPr>
              <w:t>or Programs</w:t>
            </w:r>
            <w:r>
              <w:rPr>
                <w:rFonts w:ascii="Times New Roman" w:cs="Times New Roman" w:eastAsia="Times New Roman" w:hAnsi="Times New Roman"/>
                <w:sz w:val="20"/>
                <w:szCs w:val="20"/>
                <w:b w:val="1"/>
                <w:bCs w:val="1"/>
                <w:color w:val="auto"/>
                <w:w w:val="98"/>
                <w:vertAlign w:val="superscript"/>
              </w:rPr>
              <w:t>(2)</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w w:val="99"/>
              </w:rPr>
              <w:t>(in US$ million)</w:t>
            </w:r>
            <w:r>
              <w:rPr>
                <w:rFonts w:ascii="Times New Roman" w:cs="Times New Roman" w:eastAsia="Times New Roman" w:hAnsi="Times New Roman"/>
                <w:sz w:val="20"/>
                <w:szCs w:val="20"/>
                <w:b w:val="1"/>
                <w:bCs w:val="1"/>
                <w:color w:val="auto"/>
                <w:w w:val="99"/>
                <w:vertAlign w:val="superscript"/>
              </w:rPr>
              <w:t>(2)</w:t>
            </w:r>
          </w:p>
        </w:tc>
        <w:tc>
          <w:tcPr>
            <w:tcW w:w="0" w:type="dxa"/>
            <w:vAlign w:val="bottom"/>
          </w:tcPr>
          <w:p>
            <w:pPr>
              <w:spacing w:after="0"/>
              <w:rPr>
                <w:sz w:val="1"/>
                <w:szCs w:val="1"/>
                <w:color w:val="auto"/>
              </w:rPr>
            </w:pPr>
          </w:p>
        </w:tc>
      </w:tr>
      <w:tr>
        <w:trPr>
          <w:trHeight w:val="209"/>
        </w:trPr>
        <w:tc>
          <w:tcPr>
            <w:tcW w:w="4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2023</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 2023</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2023</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2023</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2023</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2023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26,019</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26,019</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96,661</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96,661</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2023</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October 2023</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8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652"/>
        <w:spacing w:after="0" w:line="282"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ADS represent five Class A ordinary shares. The average price per ADS is calculated using the execution price for each repurchase excluding commissions paid to brokers.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2022, we announced a share repurchase program in which we may purchase its own ADSs with an aggregate value of up to US$5 million from January 1, 2023 to December 31, 2023.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we deem appropriate. The share repurchase program does not obligate us to acquire any particular number of ADSs and may be suspended, terminated or extended at any time at our discretion without prior notice.</w:t>
      </w:r>
    </w:p>
    <w:p>
      <w:pPr>
        <w:spacing w:after="0" w:line="18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16F.</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16G.</w:t>
      </w:r>
      <w:r>
        <w:rPr>
          <w:sz w:val="20"/>
          <w:szCs w:val="20"/>
          <w:color w:val="auto"/>
        </w:rPr>
        <w:tab/>
      </w:r>
      <w:r>
        <w:rPr>
          <w:rFonts w:ascii="Times New Roman" w:cs="Times New Roman" w:eastAsia="Times New Roman" w:hAnsi="Times New Roman"/>
          <w:sz w:val="17"/>
          <w:szCs w:val="17"/>
          <w:b w:val="1"/>
          <w:bCs w:val="1"/>
          <w:color w:val="auto"/>
        </w:rPr>
        <w:t>CORPORATE GOVERNANCE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183" w:lineRule="exact"/>
        <w:rPr>
          <w:sz w:val="20"/>
          <w:szCs w:val="20"/>
          <w:color w:val="auto"/>
        </w:rPr>
      </w:pPr>
    </w:p>
    <w:p>
      <w:pPr>
        <w:ind w:left="1000" w:hanging="317"/>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for certain events, including the establishment or amendment of certain equity based compensation plans and arrangements and certain transactions involving issuances of a 20% or more interest in our company;</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independent directors on our board of directors;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independent directors being involved in the selection of director nominees and determination of executive officer compensation;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scheduled executive sessions of independent directors.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 See “Item</w:t>
      </w:r>
    </w:p>
    <w:p>
      <w:pPr>
        <w:jc w:val="both"/>
        <w:ind w:firstLine="8"/>
        <w:spacing w:after="0" w:line="255" w:lineRule="auto"/>
        <w:tabs>
          <w:tab w:leader="none" w:pos="1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Factors—Risks Related to Our American Depositary Shares—We are a foreign private issuer within the meaning of the rules under the Exchange Act, and as such we are exempt from certain provisions applicable to U.S. domestic public companies.”</w:t>
      </w:r>
    </w:p>
    <w:p>
      <w:pPr>
        <w:spacing w:after="0" w:line="182"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16H.</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16I.</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29"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implemented processes for assessing, identifying and managing material risks from cybersecurity threats. These processes mainly include:</w:t>
      </w:r>
    </w:p>
    <w:p>
      <w:pPr>
        <w:spacing w:after="0" w:line="162" w:lineRule="exact"/>
        <w:rPr>
          <w:sz w:val="20"/>
          <w:szCs w:val="20"/>
          <w:color w:val="auto"/>
        </w:rPr>
      </w:pPr>
    </w:p>
    <w:p>
      <w:pPr>
        <w:ind w:left="1000" w:hanging="317"/>
        <w:spacing w:after="0" w:line="282"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risk assessments to identify material cybersecurity risks to our critical systems, information, products and services, as well as broader enterprise IT environment;</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risk-based action plans to manage identified vulnerabilities and implementing new protocols and infrastructure improvements;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investigating cybersecurity incidents, if any;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cybersecurity threats to sensitive data and unauthorized access to our systems;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secure access control measures to our critical IT systems, equipment, and devices to prevent unauthorized access; and</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severity of the cybersecurity risk and the potential impact of such risk on our business operations, developing and executing protocols to promptly report material cybersecurity incidents our board of directors.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also integrated cybersecurity risk management into our overall enterprise risk management system. In addition, we hold cybersecurity, information security and threat awareness training on a regular basis.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handle the assessment, identification, and management of cybersecurity risks in-house, without the use of third-party service providers. In 2023, we did not have any cybersecurity incidents that have materially affected or are reasonably likely to materially affect our business, results of operations, or financial condition. However, despite our efforts, we cannot eliminate all risks from cybersecurity threats, or provide assurances that we have not experienced an undetected cybersecurity incident. For more information about these risks, please see “Item 3.D. Key Information—Risk Factors—Risks Related to Our Business and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oversees our cybersecurity risk profile and exposures. Specifically, our board of directors (i) maintains oversight of the disclosure related to cybersecurity matters in our current reports or periodic reports (including annual reports on Form 20-F); (ii) reviews and approves material cybersecurity policies, and (iii) reviews updates to the status of any material cybersecurity incidents or material risks from cybersecurity threats, and the disclosure issues, if any, presented by our IT department.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delegates its authorities and powers in managing risks associated with cybersecurity threats to our IT department.</w:t>
      </w:r>
    </w:p>
    <w:p>
      <w:pPr>
        <w:spacing w:after="0" w:line="162" w:lineRule="exact"/>
        <w:rPr>
          <w:sz w:val="20"/>
          <w:szCs w:val="20"/>
          <w:color w:val="auto"/>
        </w:rPr>
      </w:pPr>
    </w:p>
    <w:p>
      <w:pPr>
        <w:jc w:val="both"/>
        <w:ind w:left="1000" w:hanging="317"/>
        <w:spacing w:after="0" w:line="258"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IT department consists of four members, who have relevant experience in information security, compliance and risk management. Our IT department is responsible for the daily operation and maintenance of our information systems and monitoring and coordinating our cybersecurity risk management processes, including preparing internal policies and remediation plans with respect to cybersecurity risk assessment and management, and promptly reporting material cybersecurity risk or incidents to our board of directors.</w:t>
      </w:r>
    </w:p>
    <w:p>
      <w:pPr>
        <w:spacing w:after="0" w:line="183" w:lineRule="exact"/>
        <w:rPr>
          <w:rFonts w:ascii="Times New Roman" w:cs="Times New Roman" w:eastAsia="Times New Roman" w:hAnsi="Times New Roman"/>
          <w:sz w:val="18"/>
          <w:szCs w:val="18"/>
          <w:color w:val="auto"/>
        </w:rPr>
      </w:pPr>
    </w:p>
    <w:p>
      <w:pPr>
        <w:jc w:val="both"/>
        <w:ind w:left="1000" w:right="20" w:hanging="317"/>
        <w:spacing w:after="0" w:line="261"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our IT department is responsible for implementing our cybersecurity risk management plans, regularly monitoring the prevention, detection, mitigation, and remediation of cybersecurity incidents, and reporting information about our cybersecurity risk and assessments results to a senior member of the IT department. This senior member has approximately seven years of experience in cybersecurity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 Financial Statements.”.</w:t>
      </w:r>
    </w:p>
    <w:p>
      <w:pPr>
        <w:spacing w:after="0" w:line="22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pages beginning on page F-1 in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19.</w:t>
            </w:r>
          </w:p>
        </w:tc>
        <w:tc>
          <w:tcPr>
            <w:tcW w:w="9000" w:type="dxa"/>
            <w:vAlign w:val="bottom"/>
            <w:gridSpan w:val="13"/>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53"/>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20" w:type="dxa"/>
            <w:vAlign w:val="bottom"/>
            <w:gridSpan w:val="7"/>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42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Ninth Amended and Restated Memorandum and Articles of Association, as currently in effect (incorporated by reference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w w:val="99"/>
              </w:rPr>
            </w:pPr>
            <w:hyperlink r:id="rId180">
              <w:r>
                <w:rPr>
                  <w:rFonts w:ascii="Times New Roman" w:cs="Times New Roman" w:eastAsia="Times New Roman" w:hAnsi="Times New Roman"/>
                  <w:sz w:val="18"/>
                  <w:szCs w:val="18"/>
                  <w:color w:val="0000EE"/>
                  <w:w w:val="99"/>
                </w:rPr>
                <w:t>to Exhibit 1.1 of our annual report on Form 20-F (file No. 001-38313) filed with the Securities and Exchange Commission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80">
              <w:r>
                <w:rPr>
                  <w:rFonts w:ascii="Times New Roman" w:cs="Times New Roman" w:eastAsia="Times New Roman" w:hAnsi="Times New Roman"/>
                  <w:sz w:val="18"/>
                  <w:szCs w:val="18"/>
                  <w:color w:val="0000EE"/>
                  <w:w w:val="98"/>
                </w:rPr>
                <w:t>on April 25, 2019)</w:t>
              </w:r>
            </w:hyperlink>
          </w:p>
        </w:tc>
        <w:tc>
          <w:tcPr>
            <w:tcW w:w="74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56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Registrant’s Specimen American Depositary Receipt (included in Exhibit 2.3)</w:t>
              </w:r>
            </w:hyperlink>
          </w:p>
        </w:tc>
        <w:tc>
          <w:tcPr>
            <w:tcW w:w="32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24"/>
                <w:szCs w:val="24"/>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Registrant’s Specimen Certificate for Class A Ordinary Shares (incorporated by reference to Exhibit 4.2 of our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Registration Statement on Form F-1 (file No. 333-221034) filed with the Securities and Exchange Commission 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October 20,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Form of Amendment No. 1 to Deposit Agreement among the Registrant, the depositary and holders of the American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Depositary Receipts (incorporated by reference to Exhibit (a)(2) to the Post-effective Amendment No. 1 to Form F-6</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Registration Statement (file No. 333-221860) filed with the Securities and Exchange Commission on October 31,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Post-effective Amendment No.1 to Form F-6 Registration Statement under the Securities Act of 1933 for Depositary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Shares Evidenced by American Depositary Receipts (file No. 33-221860) filed with the Securities and Exchange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Commission on October 31,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English translation of Exclusive Business Cooperation Agreement between iClick Beijing, OptAim Network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Zhiyunzhong dated November 1, 2021 (incorporated by reference to Exhibit 4.1 of our annual report on Form 20-F (file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No. 001-38313) filed with the Securities and Exchange Commission on May 2,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0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English translation of Third Amended and Restated Exclusive Call Option Agreement among iClick Beijing, OptAim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Network and the shareholders of OptAim Network dated November 1, 2021 (incorporated by reference to Exhibit 4.2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85">
              <w:r>
                <w:rPr>
                  <w:rFonts w:ascii="Times New Roman" w:cs="Times New Roman" w:eastAsia="Times New Roman" w:hAnsi="Times New Roman"/>
                  <w:sz w:val="18"/>
                  <w:szCs w:val="18"/>
                  <w:color w:val="0000EE"/>
                  <w:w w:val="99"/>
                </w:rPr>
                <w:t>our annual report on Form 20-F (file No. 001-38313) filed with the Securities and Exchange Commission on May 2, 2022)</w:t>
              </w:r>
            </w:hyperlink>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English translation of Third Amended and Restated Equity Pledge Agreement among iClick Beijing, OptAim Network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200" w:type="dxa"/>
            <w:vAlign w:val="bottom"/>
            <w:gridSpan w:val="4"/>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and the shareholders of OptAim Network dated November 1, 2021 (incorporated by reference to Exhibit 4.3 of our annual</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report on Form 20-F (file No. 001-38313) filed with the Securities and Exchange Commission on May 2,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200" w:type="dxa"/>
            <w:vAlign w:val="bottom"/>
            <w:gridSpan w:val="4"/>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8840" w:type="dxa"/>
            <w:vAlign w:val="bottom"/>
            <w:gridSpan w:val="12"/>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English translation of Irrevocable Power of Attorney granted by the Jian Tang dated November 1, 2021 (incorporated by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200" w:type="dxa"/>
            <w:vAlign w:val="bottom"/>
            <w:gridSpan w:val="4"/>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reference to Exhibit 4.4 of our annual report on Form 20-F (file No. 001-38313) filed with the Securities and Exchange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Commission on May 2,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English translation of Spousal Consent granted by Xinyu Fan dated November 1, 2021 (incorporated by reference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Exhibit 4.5 of our annual report on Form 20-F (file No. 001-38313) filed with the Securities and Exchange Commission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on May 2, 2022)</w:t>
              </w:r>
            </w:hyperlink>
          </w:p>
        </w:tc>
        <w:tc>
          <w:tcPr>
            <w:tcW w:w="76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88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2018 Share Incentive Plan (incorporated by reference to Exhibit 10.2 of our Registration Statement on Form S-8 (file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gridSpan w:val="12"/>
          </w:tcPr>
          <w:p>
            <w:pPr>
              <w:spacing w:after="0" w:line="19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No. 333-225568) filed with the Securities and Exchange Commission on June 12, 2018)</w:t>
              </w:r>
            </w:hyperlink>
          </w:p>
        </w:tc>
        <w:tc>
          <w:tcPr>
            <w:tcW w:w="0" w:type="dxa"/>
            <w:vAlign w:val="bottom"/>
          </w:tcPr>
          <w:p>
            <w:pPr>
              <w:spacing w:after="0"/>
              <w:rPr>
                <w:sz w:val="1"/>
                <w:szCs w:val="1"/>
                <w:color w:val="auto"/>
              </w:rPr>
            </w:pPr>
          </w:p>
        </w:tc>
      </w:tr>
      <w:tr>
        <w:trPr>
          <w:trHeight w:val="790"/>
        </w:trPr>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0" w:type="dxa"/>
            <w:vAlign w:val="bottom"/>
            <w:tcBorders>
              <w:top w:val="single" w:sz="8" w:color="0000EE"/>
            </w:tcBorders>
            <w:gridSpan w:val="6"/>
          </w:tcPr>
          <w:p>
            <w:pPr>
              <w:ind w:left="3740"/>
              <w:spacing w:after="0"/>
              <w:rPr>
                <w:sz w:val="20"/>
                <w:szCs w:val="20"/>
                <w:color w:val="auto"/>
              </w:rPr>
            </w:pPr>
            <w:r>
              <w:rPr>
                <w:rFonts w:ascii="Times New Roman" w:cs="Times New Roman" w:eastAsia="Times New Roman" w:hAnsi="Times New Roman"/>
                <w:sz w:val="18"/>
                <w:szCs w:val="18"/>
                <w:color w:val="auto"/>
              </w:rPr>
              <w:t>155</w:t>
            </w: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Form of Indemnification Agreement with Executive Officers and Directors (incorporated by reference to Exhibit 10.9 of our</w:t>
              </w:r>
            </w:hyperlink>
          </w:p>
        </w:tc>
      </w:tr>
      <w:tr>
        <w:trPr>
          <w:trHeight w:val="196"/>
        </w:trPr>
        <w:tc>
          <w:tcPr>
            <w:tcW w:w="840" w:type="dxa"/>
            <w:vAlign w:val="bottom"/>
          </w:tcPr>
          <w:p>
            <w:pPr>
              <w:spacing w:after="0"/>
              <w:rPr>
                <w:sz w:val="17"/>
                <w:szCs w:val="17"/>
                <w:color w:val="auto"/>
              </w:rPr>
            </w:pPr>
          </w:p>
        </w:tc>
        <w:tc>
          <w:tcPr>
            <w:tcW w:w="92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Registration Statement on Form F-1 (file No. 333-221034) filed with the Securities and Exchange Commission on</w:t>
              </w:r>
            </w:hyperlink>
          </w:p>
        </w:tc>
      </w:tr>
      <w:tr>
        <w:trPr>
          <w:trHeight w:val="196"/>
        </w:trPr>
        <w:tc>
          <w:tcPr>
            <w:tcW w:w="840" w:type="dxa"/>
            <w:vAlign w:val="bottom"/>
          </w:tcPr>
          <w:p>
            <w:pPr>
              <w:spacing w:after="0"/>
              <w:rPr>
                <w:sz w:val="17"/>
                <w:szCs w:val="17"/>
                <w:color w:val="auto"/>
              </w:rPr>
            </w:pPr>
          </w:p>
        </w:tc>
        <w:tc>
          <w:tcPr>
            <w:tcW w:w="9200" w:type="dxa"/>
            <w:vAlign w:val="bottom"/>
            <w:gridSpan w:val="15"/>
          </w:tcPr>
          <w:p>
            <w:pPr>
              <w:spacing w:after="0" w:line="19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October 20, 2017)</w:t>
              </w:r>
            </w:hyperlink>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200" w:type="dxa"/>
            <w:vAlign w:val="bottom"/>
            <w:gridSpan w:val="15"/>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Form of Employment Agreement and One Way Non-disclosure Agreement with Executive Officers (incorporated by reference</w:t>
              </w:r>
            </w:hyperlink>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9200" w:type="dxa"/>
            <w:vAlign w:val="bottom"/>
            <w:gridSpan w:val="15"/>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to Exhibit 10.10 of our Registration Statement on Form F-1 (file No. 333-221034) filed with the Securities and Exchange</w:t>
              </w:r>
            </w:hyperlink>
          </w:p>
        </w:tc>
      </w:tr>
      <w:tr>
        <w:trPr>
          <w:trHeight w:val="196"/>
        </w:trPr>
        <w:tc>
          <w:tcPr>
            <w:tcW w:w="84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Commission on October 20, 2017)</w:t>
              </w:r>
            </w:hyperlink>
          </w:p>
        </w:tc>
        <w:tc>
          <w:tcPr>
            <w:tcW w:w="6680" w:type="dxa"/>
            <w:vAlign w:val="bottom"/>
            <w:tcBorders>
              <w:top w:val="single" w:sz="8" w:color="0000EE"/>
            </w:tcBorders>
            <w:gridSpan w:val="8"/>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Post-IPO Share Incentive Plan, as amended and restated on February 26, 2021 (incorporated by reference to Exhibit 10.1 of our</w:t>
              </w:r>
            </w:hyperlink>
          </w:p>
        </w:tc>
      </w:tr>
      <w:tr>
        <w:trPr>
          <w:trHeight w:val="196"/>
        </w:trPr>
        <w:tc>
          <w:tcPr>
            <w:tcW w:w="840" w:type="dxa"/>
            <w:vAlign w:val="bottom"/>
          </w:tcPr>
          <w:p>
            <w:pPr>
              <w:spacing w:after="0"/>
              <w:rPr>
                <w:sz w:val="17"/>
                <w:szCs w:val="17"/>
                <w:color w:val="auto"/>
              </w:rPr>
            </w:pPr>
          </w:p>
        </w:tc>
        <w:tc>
          <w:tcPr>
            <w:tcW w:w="92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Registration Statement on Form S-8 (file No. 333-253596) filed with the Securities and Exchange Commission on February 26,</w:t>
              </w:r>
            </w:hyperlink>
          </w:p>
        </w:tc>
      </w:tr>
      <w:tr>
        <w:trPr>
          <w:trHeight w:val="196"/>
        </w:trPr>
        <w:tc>
          <w:tcPr>
            <w:tcW w:w="8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92">
              <w:r>
                <w:rPr>
                  <w:rFonts w:ascii="Times New Roman" w:cs="Times New Roman" w:eastAsia="Times New Roman" w:hAnsi="Times New Roman"/>
                  <w:sz w:val="18"/>
                  <w:szCs w:val="18"/>
                  <w:color w:val="0000EE"/>
                  <w:w w:val="95"/>
                </w:rPr>
                <w:t>2021)</w:t>
              </w:r>
            </w:hyperlink>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Strategic Cooperation Framework Agreement, dated January 26, 2021, by and among the Registrant and Baozun Inc.</w:t>
              </w:r>
            </w:hyperlink>
          </w:p>
        </w:tc>
      </w:tr>
      <w:tr>
        <w:trPr>
          <w:trHeight w:val="196"/>
        </w:trPr>
        <w:tc>
          <w:tcPr>
            <w:tcW w:w="840" w:type="dxa"/>
            <w:vAlign w:val="bottom"/>
          </w:tcPr>
          <w:p>
            <w:pPr>
              <w:spacing w:after="0"/>
              <w:rPr>
                <w:sz w:val="17"/>
                <w:szCs w:val="17"/>
                <w:color w:val="auto"/>
              </w:rPr>
            </w:pPr>
          </w:p>
        </w:tc>
        <w:tc>
          <w:tcPr>
            <w:tcW w:w="92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(incorporated by reference to Exhibit 4.11 of our annual report on Form 20-F (file No. 001-38313) filed with the Securities and</w:t>
              </w:r>
            </w:hyperlink>
          </w:p>
        </w:tc>
      </w:tr>
      <w:tr>
        <w:trPr>
          <w:trHeight w:val="196"/>
        </w:trPr>
        <w:tc>
          <w:tcPr>
            <w:tcW w:w="840" w:type="dxa"/>
            <w:vAlign w:val="bottom"/>
          </w:tcPr>
          <w:p>
            <w:pPr>
              <w:spacing w:after="0"/>
              <w:rPr>
                <w:sz w:val="17"/>
                <w:szCs w:val="17"/>
                <w:color w:val="auto"/>
              </w:rPr>
            </w:pPr>
          </w:p>
        </w:tc>
        <w:tc>
          <w:tcPr>
            <w:tcW w:w="9200" w:type="dxa"/>
            <w:vAlign w:val="bottom"/>
            <w:gridSpan w:val="15"/>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Exchange Commission on May 2, 2022)</w:t>
              </w:r>
            </w:hyperlink>
          </w:p>
        </w:tc>
      </w:tr>
      <w:tr>
        <w:trPr>
          <w:trHeight w:val="20"/>
        </w:trPr>
        <w:tc>
          <w:tcPr>
            <w:tcW w:w="84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Agreement and Plan of Merger, dated as of November 24, 2023, by and among with TSH Investment Holding Limited, TSH</w:t>
              </w:r>
            </w:hyperlink>
          </w:p>
        </w:tc>
      </w:tr>
      <w:tr>
        <w:trPr>
          <w:trHeight w:val="196"/>
        </w:trPr>
        <w:tc>
          <w:tcPr>
            <w:tcW w:w="840" w:type="dxa"/>
            <w:vAlign w:val="bottom"/>
          </w:tcPr>
          <w:p>
            <w:pPr>
              <w:spacing w:after="0"/>
              <w:rPr>
                <w:sz w:val="17"/>
                <w:szCs w:val="17"/>
                <w:color w:val="auto"/>
              </w:rPr>
            </w:pPr>
          </w:p>
        </w:tc>
        <w:tc>
          <w:tcPr>
            <w:tcW w:w="9200" w:type="dxa"/>
            <w:vAlign w:val="bottom"/>
            <w:gridSpan w:val="15"/>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Merger Sub Limited and the Registrant (incorporated by reference to Exhibit 99.2 to Form 6-K (file No. 001-38313) filed with</w:t>
              </w:r>
            </w:hyperlink>
          </w:p>
        </w:tc>
      </w:tr>
      <w:tr>
        <w:trPr>
          <w:trHeight w:val="196"/>
        </w:trPr>
        <w:tc>
          <w:tcPr>
            <w:tcW w:w="840" w:type="dxa"/>
            <w:vAlign w:val="bottom"/>
          </w:tcPr>
          <w:p>
            <w:pPr>
              <w:spacing w:after="0"/>
              <w:rPr>
                <w:sz w:val="17"/>
                <w:szCs w:val="17"/>
                <w:color w:val="auto"/>
              </w:rPr>
            </w:pPr>
          </w:p>
        </w:tc>
        <w:tc>
          <w:tcPr>
            <w:tcW w:w="91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the Securities and Exchange Commission on November 24, 2023)</w:t>
              </w:r>
            </w:hyperlink>
          </w:p>
        </w:tc>
        <w:tc>
          <w:tcPr>
            <w:tcW w:w="20" w:type="dxa"/>
            <w:vAlign w:val="bottom"/>
          </w:tcPr>
          <w:p>
            <w:pPr>
              <w:spacing w:after="0"/>
              <w:rPr>
                <w:sz w:val="17"/>
                <w:szCs w:val="17"/>
                <w:color w:val="auto"/>
              </w:rPr>
            </w:pPr>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21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Subsidiaries of the Registrant</w:t>
            </w:r>
          </w:p>
        </w:tc>
        <w:tc>
          <w:tcPr>
            <w:tcW w:w="2620" w:type="dxa"/>
            <w:vAlign w:val="bottom"/>
            <w:tcBorders>
              <w:top w:val="single" w:sz="8" w:color="0000EE"/>
            </w:tcBorders>
            <w:gridSpan w:val="6"/>
          </w:tcPr>
          <w:p>
            <w:pPr>
              <w:spacing w:after="0"/>
              <w:rPr>
                <w:sz w:val="24"/>
                <w:szCs w:val="24"/>
                <w:color w:val="auto"/>
              </w:rPr>
            </w:pPr>
          </w:p>
        </w:tc>
        <w:tc>
          <w:tcPr>
            <w:tcW w:w="4460" w:type="dxa"/>
            <w:vAlign w:val="bottom"/>
            <w:gridSpan w:val="6"/>
          </w:tcPr>
          <w:p>
            <w:pPr>
              <w:spacing w:after="0"/>
              <w:rPr>
                <w:sz w:val="24"/>
                <w:szCs w:val="24"/>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9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Code of Business Conduct and Ethics of the Registrant (incorporated by reference to Exhibit 99.1 of our Registration Statement</w:t>
              </w:r>
            </w:hyperlink>
          </w:p>
        </w:tc>
      </w:tr>
      <w:tr>
        <w:trPr>
          <w:trHeight w:val="196"/>
        </w:trPr>
        <w:tc>
          <w:tcPr>
            <w:tcW w:w="840" w:type="dxa"/>
            <w:vAlign w:val="bottom"/>
          </w:tcPr>
          <w:p>
            <w:pPr>
              <w:spacing w:after="0"/>
              <w:rPr>
                <w:sz w:val="17"/>
                <w:szCs w:val="17"/>
                <w:color w:val="auto"/>
              </w:rPr>
            </w:pPr>
          </w:p>
        </w:tc>
        <w:tc>
          <w:tcPr>
            <w:tcW w:w="9200" w:type="dxa"/>
            <w:vAlign w:val="bottom"/>
            <w:gridSpan w:val="15"/>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on Form F-1 (file No. 333-221034) filed with the Securities and Exchange Commission on October 20, 2017)</w:t>
              </w:r>
            </w:hyperlink>
          </w:p>
        </w:tc>
      </w:tr>
      <w:tr>
        <w:trPr>
          <w:trHeight w:val="3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562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CEO Certification Pursuant to Section 302 of the Sarbanes-Oxley Act of 2002</w:t>
            </w:r>
          </w:p>
        </w:tc>
        <w:tc>
          <w:tcPr>
            <w:tcW w:w="2260" w:type="dxa"/>
            <w:vAlign w:val="bottom"/>
            <w:tcBorders>
              <w:top w:val="single" w:sz="8" w:color="0000EE"/>
            </w:tcBorders>
            <w:gridSpan w:val="3"/>
          </w:tcPr>
          <w:p>
            <w:pPr>
              <w:spacing w:after="0"/>
              <w:rPr>
                <w:sz w:val="24"/>
                <w:szCs w:val="24"/>
                <w:color w:val="auto"/>
              </w:rPr>
            </w:pPr>
          </w:p>
        </w:tc>
        <w:tc>
          <w:tcPr>
            <w:tcW w:w="1320" w:type="dxa"/>
            <w:vAlign w:val="bottom"/>
            <w:gridSpan w:val="2"/>
          </w:tcPr>
          <w:p>
            <w:pPr>
              <w:spacing w:after="0"/>
              <w:rPr>
                <w:sz w:val="24"/>
                <w:szCs w:val="24"/>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5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CFO Certification Pursuant to Section 302 of the Sarbanes-Oxley Act of 2002</w:t>
            </w:r>
          </w:p>
        </w:tc>
        <w:tc>
          <w:tcPr>
            <w:tcW w:w="3560" w:type="dxa"/>
            <w:vAlign w:val="bottom"/>
            <w:gridSpan w:val="4"/>
          </w:tcPr>
          <w:p>
            <w:pPr>
              <w:spacing w:after="0"/>
              <w:rPr>
                <w:sz w:val="24"/>
                <w:szCs w:val="24"/>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5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CEO Certification Pursuant to Section 906 of the Sarbanes-Oxley Act of 2002</w:t>
            </w:r>
          </w:p>
        </w:tc>
        <w:tc>
          <w:tcPr>
            <w:tcW w:w="3560" w:type="dxa"/>
            <w:vAlign w:val="bottom"/>
            <w:gridSpan w:val="4"/>
          </w:tcPr>
          <w:p>
            <w:pPr>
              <w:spacing w:after="0"/>
              <w:rPr>
                <w:sz w:val="24"/>
                <w:szCs w:val="24"/>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13.2**</w:t>
            </w:r>
          </w:p>
        </w:tc>
        <w:tc>
          <w:tcPr>
            <w:tcW w:w="56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CFO Certification Pursuant to Section 906 of the Sarbanes-Oxley Act of 2002</w:t>
            </w:r>
          </w:p>
        </w:tc>
        <w:tc>
          <w:tcPr>
            <w:tcW w:w="3580" w:type="dxa"/>
            <w:vAlign w:val="bottom"/>
            <w:gridSpan w:val="5"/>
          </w:tcPr>
          <w:p>
            <w:pPr>
              <w:spacing w:after="0"/>
              <w:rPr>
                <w:sz w:val="24"/>
                <w:szCs w:val="24"/>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24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Consent of Travers Thorp Alberga</w:t>
            </w:r>
          </w:p>
        </w:tc>
        <w:tc>
          <w:tcPr>
            <w:tcW w:w="6720" w:type="dxa"/>
            <w:vAlign w:val="bottom"/>
            <w:gridSpan w:val="10"/>
          </w:tcPr>
          <w:p>
            <w:pPr>
              <w:spacing w:after="0"/>
              <w:rPr>
                <w:sz w:val="24"/>
                <w:szCs w:val="24"/>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24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Jingtian &amp; Gongcheng</w:t>
            </w:r>
          </w:p>
        </w:tc>
        <w:tc>
          <w:tcPr>
            <w:tcW w:w="6740" w:type="dxa"/>
            <w:vAlign w:val="bottom"/>
            <w:gridSpan w:val="11"/>
          </w:tcPr>
          <w:p>
            <w:pPr>
              <w:spacing w:after="0"/>
              <w:rPr>
                <w:sz w:val="24"/>
                <w:szCs w:val="24"/>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15.3*</w:t>
            </w:r>
          </w:p>
        </w:tc>
        <w:tc>
          <w:tcPr>
            <w:tcW w:w="26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PricewaterhouseCoopers</w:t>
            </w:r>
          </w:p>
        </w:tc>
        <w:tc>
          <w:tcPr>
            <w:tcW w:w="6580" w:type="dxa"/>
            <w:vAlign w:val="bottom"/>
            <w:gridSpan w:val="8"/>
          </w:tcPr>
          <w:p>
            <w:pPr>
              <w:spacing w:after="0"/>
              <w:rPr>
                <w:sz w:val="24"/>
                <w:szCs w:val="24"/>
                <w:color w:val="auto"/>
              </w:rPr>
            </w:pPr>
          </w:p>
        </w:tc>
      </w:tr>
      <w:tr>
        <w:trPr>
          <w:trHeight w:val="33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2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Policy for the Recovery of Erroneously Awarded Compensation of the Registrant</w:t>
            </w:r>
          </w:p>
        </w:tc>
      </w:tr>
      <w:tr>
        <w:trPr>
          <w:trHeight w:val="20"/>
        </w:trPr>
        <w:tc>
          <w:tcPr>
            <w:tcW w:w="8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840" w:right="20" w:hanging="823"/>
        <w:spacing w:after="0" w:line="282" w:lineRule="auto"/>
        <w:rPr>
          <w:sz w:val="20"/>
          <w:szCs w:val="20"/>
          <w:color w:val="auto"/>
        </w:rPr>
      </w:pPr>
      <w:r>
        <w:rPr>
          <w:rFonts w:ascii="Times New Roman" w:cs="Times New Roman" w:eastAsia="Times New Roman" w:hAnsi="Times New Roman"/>
          <w:sz w:val="18"/>
          <w:szCs w:val="18"/>
          <w:color w:val="auto"/>
        </w:rPr>
        <w:t>101.INS* Inline XBRL Instance Document—this instance document does not appear in the Interactive Data File because its XBRL tags are not embedded within the Inline XBRL document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p>
      <w:pPr>
        <w:spacing w:after="0" w:line="14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156845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59" w:lineRule="exact"/>
        <w:rPr>
          <w:sz w:val="20"/>
          <w:szCs w:val="20"/>
          <w:color w:val="auto"/>
        </w:rPr>
      </w:pPr>
    </w:p>
    <w:p>
      <w:pPr>
        <w:ind w:left="380" w:hanging="372"/>
        <w:spacing w:after="0"/>
        <w:tabs>
          <w:tab w:leader="none" w:pos="3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27" w:lineRule="exact"/>
        <w:rPr>
          <w:sz w:val="20"/>
          <w:szCs w:val="20"/>
          <w:color w:val="auto"/>
        </w:rPr>
      </w:pPr>
    </w:p>
    <w:p>
      <w:pPr>
        <w:ind w:left="380" w:hanging="372"/>
        <w:spacing w:after="0"/>
        <w:tabs>
          <w:tab w:leader="none" w:pos="3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040"/>
          </w:cols>
          <w:pgMar w:left="980" w:top="513" w:right="8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auto"/>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this Form 20-F on its behalf.</w:t>
      </w:r>
    </w:p>
    <w:p>
      <w:pPr>
        <w:spacing w:after="0" w:line="17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56" w:lineRule="exact"/>
        <w:rPr>
          <w:sz w:val="20"/>
          <w:szCs w:val="20"/>
          <w:color w:val="auto"/>
        </w:rPr>
      </w:pPr>
    </w:p>
    <w:p>
      <w:pPr>
        <w:ind w:left="4920"/>
        <w:spacing w:after="0"/>
        <w:tabs>
          <w:tab w:leader="none" w:pos="5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Jian Tang</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Name: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-121920</wp:posOffset>
            </wp:positionV>
            <wp:extent cx="28371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16" w:lineRule="exact"/>
        <w:rPr>
          <w:sz w:val="20"/>
          <w:szCs w:val="20"/>
          <w:color w:val="auto"/>
        </w:rPr>
      </w:pPr>
    </w:p>
    <w:p>
      <w:pPr>
        <w:ind w:left="4920"/>
        <w:spacing w:after="0"/>
        <w:tabs>
          <w:tab w:leader="none" w:pos="5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of the Board, Chief Executive Officer</w:t>
      </w:r>
    </w:p>
    <w:p>
      <w:pPr>
        <w:spacing w:after="0" w:line="2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Date: June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07"/>
        </w:trPr>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color w:val="0563C1"/>
              </w:rPr>
              <w:t>Table of Contents</w:t>
            </w: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563C1"/>
          </w:tcPr>
          <w:p>
            <w:pPr>
              <w:spacing w:after="0" w:line="20" w:lineRule="exact"/>
              <w:rPr>
                <w:sz w:val="1"/>
                <w:szCs w:val="1"/>
                <w:color w:val="auto"/>
              </w:rPr>
            </w:pPr>
          </w:p>
        </w:tc>
        <w:tc>
          <w:tcPr>
            <w:tcW w:w="1260" w:type="dxa"/>
            <w:vAlign w:val="bottom"/>
            <w:shd w:val="clear" w:color="auto" w:fill="0563C1"/>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7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ID:1389)</w:t>
            </w:r>
          </w:p>
        </w:tc>
        <w:tc>
          <w:tcPr>
            <w:tcW w:w="11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F-2 – F-3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46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2022 and 2023</w:t>
            </w:r>
          </w:p>
        </w:tc>
        <w:tc>
          <w:tcPr>
            <w:tcW w:w="4120" w:type="dxa"/>
            <w:vAlign w:val="bottom"/>
            <w:tcBorders>
              <w:bottom w:val="single" w:sz="8" w:color="CCEEFF"/>
            </w:tcBorders>
            <w:gridSpan w:val="4"/>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 – 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for the Years Ended December 31, 2021, 2022 and 2023</w:t>
            </w:r>
          </w:p>
        </w:tc>
        <w:tc>
          <w:tcPr>
            <w:tcW w:w="640" w:type="dxa"/>
            <w:vAlign w:val="bottom"/>
          </w:tcPr>
          <w:p>
            <w:pPr>
              <w:spacing w:after="0"/>
              <w:rPr>
                <w:sz w:val="15"/>
                <w:szCs w:val="15"/>
                <w:color w:val="auto"/>
              </w:rPr>
            </w:pPr>
          </w:p>
        </w:tc>
        <w:tc>
          <w:tcPr>
            <w:tcW w:w="5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Shareholders’ Equity for the Years Ended December 31, 2021, 2022 and 2023</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F-8</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 F-10</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84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2021, 2022 and 2023</w:t>
            </w:r>
          </w:p>
        </w:tc>
        <w:tc>
          <w:tcPr>
            <w:tcW w:w="30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F-11</w:t>
            </w:r>
          </w:p>
        </w:tc>
        <w:tc>
          <w:tcPr>
            <w:tcW w:w="50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 F-12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F-13</w:t>
            </w:r>
          </w:p>
        </w:tc>
        <w:tc>
          <w:tcPr>
            <w:tcW w:w="5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 F-73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21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iClick Interactive Asia Group Limited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iClick Interactive Asia Group Limited and its subsidiaries (the “Company”) as of December 31, 2023 and 2022, and the related consolidated statements of comprehensive loss, of changes in shareholders’ equity and of cash flows for each of the three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Emphasis of Matter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in Note 2(a) to the consolidated financial statements, the Company had continuing losses from operations, accumulated deficits and operating cash outflows and decreasing cash and cash equivalents. The Company also breached certain financial covenant set out in one of the loan agreements. Management’s evaluation of the conditions and events and management’s plans to mitigate these matters are also described in Note 2(a). This matter is also discussed below as a critical audit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assessment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described in Note 2(a) to the consolidated financial statements, the Company had continuing losses from operations, accumulated deficits, operating cash outflows, breach of financial covenants set out in one of the loan agreements, and decrease in net cash position (as calculated by the total of (i) cash and cash equivalent, (ii) time deposits, and (iii) restricted cash, net off with (i) bank borrowings). Such conditions and events raised a substantial doubt about the Company’s ability to continue as a going concern. Management has developed a business plan to maintain the Company’s gross profit, control operating costs and manage working capital going forward. Based on this plan, management prepared a cash flow projection covering a period of next twelve months from the date of issuance of the consolidated financial statements (“Projection Period”), which has taken into account the anticipated cash flows to be generated from the Company’s future operations and existing balance of cash and cash equivalents, time deposits, and restricted cash as at December 31, 2023. . Based on management’s cash flow projection and liquidity assessment, management is of the opinion that the Company has sufficient funds to meet its obligations or liabilities when they become due, and provide the required working capital and liquidity for continuous operation over the next twelve months from the date of issuance of these consolidated financial statements, despite the fact that the liquidity may continue to deteriorate shortly after the twelve-month period. Such conclusion required management to make assumptions and judgments related to future gross profit, operating costs and working capital when developing the business plan with cash flow projection.</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going concern assessment is a critical audit matter are the significant judgments by management when developing its business plan with cash flow projection included in the going concern assessment and when evaluating the mitigation effect of the business plan. This in turn led to a high degree of auditor judgment, subjectivity and effort in performing procedures and evaluating audit evidence relating to management’s business plan with cash flow projection.</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among others, (i) testing management’s process for developing the business plan with cash flow projection included in the going concern assessment; (ii) testing the completeness, accuracy, and relevance of underlying data used in developing the business plan with cash flow projection; and (iii) evaluating the reasonableness of the significant assumptions and judgments made by management in evaluating whether the business plan will be effectively implemented and in forecasting future gross profit, operating cost, working capital and hence future cash flows arising from the implementation of the business plan by considering the Company’s historical performance, relevant industry forecasts and market developments. This matter is also described in the Emphasis of Matter section of our report.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200" w:type="dxa"/>
            <w:vAlign w:val="bottom"/>
            <w:tcBorders>
              <w:bottom w:val="single" w:sz="8" w:color="auto"/>
            </w:tcBorders>
            <w:gridSpan w:val="3"/>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02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82,754</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2(k)</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due from an equity investee</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7(b)</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US$37,215 and US$29,163</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 of December 31, 2022 and 2023, respectively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64,556</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receivable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Prepaid media costs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current assets, net of allowance for credit losses of US$nil and US$8,384 as of</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2022 and 2023, respectively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18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204,660</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159,803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an equity investee</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7(a)</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assets, net of allowance for credit losses of US$4,043 and US$nil as of</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2022 and 2023, respectively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8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17,122</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221,782</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163,704</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200" w:type="dxa"/>
            <w:vAlign w:val="bottom"/>
            <w:tcBorders>
              <w:bottom w:val="single" w:sz="8" w:color="auto"/>
            </w:tcBorders>
            <w:gridSpan w:val="3"/>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020" w:type="dxa"/>
            <w:vAlign w:val="bottom"/>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payable (including accounts payable of the consolidated variable interest</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entity (“VIE”) and its subsidiaries without recourse to the Company of US$2,008 and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US$1,065 as of December 31, 2022 and 2023, respectively)</w:t>
            </w: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41,728</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revenue (including deferred revenue of the consolidated VIE and its</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 without recourse to the Company of US$29 and US$nil as of December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 2022 and 2023, respectively)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liabilities and other current liabilities (including accrued liabilities and other</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liabilities of the consolidated VIE and its subsidiaries without recourse to the</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 of US$861 and US$646 as of December 31, 2022 and 2023, respectively)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30,539</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 liabilities (including lease liabilities of the consolidated VIE and its subsidiaries</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without recourse to the Company of US$111 and US$64 as of December 31, 2022</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2023, respectively)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Bank borrowings (including bank borrowing of the consolidated VIE and its</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subsidiaries without recourse to the Company of US$1,590 and US$1,951 as of</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2022 and 2023, respectively)</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44,283</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 payable (including income tax payable of the consolidated VIE and its</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subsidiaries without recourse to the Company of US$501 and US$433 as of</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December 31, 2022 and 2023, respectively)</w:t>
            </w:r>
          </w:p>
        </w:tc>
        <w:tc>
          <w:tcPr>
            <w:tcW w:w="10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137,716</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120,072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 liabilities (including lease liabilities of the consolidated VIE and its subsidiaries</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without recourse to the Company of US$24 and US$48 as of December 31, 2022 and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 respectively)</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tax liabilities (including deferred liabilities of the consolidated VIE and its</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subsidiaries without recourse to the Company of US$64 and US$26 as of December</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31, 2022 and 2023, respectively)</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liabilities and other liabilities</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142,493</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72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Ordinary shares – Class A (80,000,000 shares authorized as of December 31, 2022 and</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2023, respectively; 43,736,801 and 44,477,356 shares issued and outstanding as of</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 2022 and 2023, respectively)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Ordinary shares – Class B (20,000,000 shares authorized as of December 31, 2022 and</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2023, respectively; 5,034,427 and 5,034,427 shares issued and outstanding as of</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2022 and 2023, respectively)</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Treasury shares (5,843,335 and 6,398,616 shares as of December 31, 2022 and 2023,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(28,457)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529,455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(422,112)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iClick Interactive Asia Group Limited shareholders’ equity</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74,930</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79,289</w:t>
            </w:r>
          </w:p>
        </w:tc>
        <w:tc>
          <w:tcPr>
            <w:tcW w:w="1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221,782</w:t>
            </w: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163,704</w:t>
            </w:r>
          </w:p>
        </w:tc>
        <w:tc>
          <w:tcPr>
            <w:tcW w:w="0" w:type="dxa"/>
            <w:vAlign w:val="bottom"/>
          </w:tcPr>
          <w:p>
            <w:pPr>
              <w:spacing w:after="0"/>
              <w:rPr>
                <w:sz w:val="1"/>
                <w:szCs w:val="1"/>
                <w:color w:val="auto"/>
              </w:rPr>
            </w:pPr>
          </w:p>
        </w:tc>
      </w:tr>
      <w:tr>
        <w:trPr>
          <w:trHeight w:val="20"/>
        </w:trPr>
        <w:tc>
          <w:tcPr>
            <w:tcW w:w="7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jc w:val="both"/>
        <w:ind w:right="47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CONSOLIDATED STATEMENTS OF COMPREHENSIVE LOSS FOR THE YEARS ENDED DECEMBER 31, 2021, 2022 AND 2023 </w:t>
      </w:r>
      <w:r>
        <w:rPr>
          <w:rFonts w:ascii="Times New Roman" w:cs="Times New Roman" w:eastAsia="Times New Roman" w:hAnsi="Times New Roman"/>
          <w:sz w:val="17"/>
          <w:szCs w:val="17"/>
          <w:color w:val="auto"/>
        </w:rPr>
        <w:t>(US$’000, except share data and per share data, or otherwise noted)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060" w:type="dxa"/>
            <w:vAlign w:val="bottom"/>
            <w:tcBorders>
              <w:bottom w:val="single" w:sz="8" w:color="auto"/>
            </w:tcBorders>
            <w:gridSpan w:val="5"/>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2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92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94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307,702</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169,080</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133,217</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(218,549)</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(173,212)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(98,375)</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profit/(loss)</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89,153</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34,842</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(9,527)</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(9,216)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(52,872)</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(44,613)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(39,643)</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(51,668)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(80,137)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(102,042)</w:t>
            </w:r>
          </w:p>
        </w:tc>
        <w:tc>
          <w:tcPr>
            <w:tcW w:w="1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(190,037)</w:t>
            </w:r>
          </w:p>
        </w:tc>
        <w:tc>
          <w:tcPr>
            <w:tcW w:w="1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(75,653)</w:t>
            </w: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(194,169)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(40,811)</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(4,089)</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(19,165)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share of loss from an equity investee and income tax expense</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(13,951)</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(213,913)</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7(a)</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(202,806)</w:t>
            </w:r>
          </w:p>
        </w:tc>
        <w:tc>
          <w:tcPr>
            <w:tcW w:w="1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174"/>
        </w:trPr>
        <w:tc>
          <w:tcPr>
            <w:tcW w:w="590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attributable to iClick Interactive Asia Group Limited’s ordinary</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(13,631)</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(200,875)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(38,690)</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(202,806)</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retirement benefits plan – prior service cost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8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(207,866)</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(38,905)</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8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iClick Interactive Asia Group Limited</w:t>
            </w: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(205,821)</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(38,673)</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iClick Interactive Asia Group Limited</w:t>
            </w: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Basic</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(0.28)</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Diluted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(0.28)</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194"/>
        </w:trPr>
        <w:tc>
          <w:tcPr>
            <w:tcW w:w="59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 in per share</w:t>
            </w: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Basic</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48,187,235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50,420,225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51,118,300</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Diluted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48,187,235</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50,420,225</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51,118,300</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right="4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CHANGES IN SHAREHOLDERS’ EQUITY FOR THE YEARS ENDED DECEMBER 31, 2021, 2022 AND 2023 </w:t>
      </w:r>
      <w:r>
        <w:rPr>
          <w:rFonts w:ascii="Times New Roman" w:cs="Times New Roman" w:eastAsia="Times New Roman" w:hAnsi="Times New Roman"/>
          <w:sz w:val="18"/>
          <w:szCs w:val="18"/>
          <w:color w:val="auto"/>
        </w:rPr>
        <w:t>(US$’000, except share data and per share data, or otherwise noted)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iClick</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Interactive</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Asia Group</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64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660" w:type="dxa"/>
            <w:vAlign w:val="bottom"/>
            <w:gridSpan w:val="2"/>
            <w:vMerge w:val="continue"/>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780" w:type="dxa"/>
            <w:vAlign w:val="bottom"/>
            <w:gridSpan w:val="2"/>
            <w:vMerge w:val="continue"/>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(losses)/income</w:t>
            </w:r>
          </w:p>
        </w:tc>
        <w:tc>
          <w:tcPr>
            <w:tcW w:w="14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6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4"/>
        </w:trPr>
        <w:tc>
          <w:tcPr>
            <w:tcW w:w="12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31, 2020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45,816,823</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2,396,372</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(10,341)</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492,400</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(207,606)</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272,102</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279,088</w:t>
            </w: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Reissuance of</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upon</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options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vesting</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RSUs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677,530</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(677,530)</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upon</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of</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572,500</w:t>
            </w:r>
          </w:p>
        </w:tc>
        <w:tc>
          <w:tcPr>
            <w:tcW w:w="16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ordinary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604,960</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(10,687)</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(10,687)</w:t>
            </w: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upon</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Baozun</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 (Notes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1(c) and</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20(c))</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649,349</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18,539</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18,540</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ordinary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upon</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for</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consideration</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payable</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 4(a))</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183,740</w:t>
            </w: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Business</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combination</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 4(b))</w:t>
            </w: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for the</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translation</w:t>
            </w: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0" w:type="dxa"/>
            <w:vAlign w:val="bottom"/>
          </w:tcPr>
          <w:p>
            <w:pPr>
              <w:spacing w:after="0"/>
              <w:rPr>
                <w:sz w:val="1"/>
                <w:szCs w:val="1"/>
                <w:color w:val="auto"/>
              </w:rPr>
            </w:pPr>
          </w:p>
        </w:tc>
      </w:tr>
      <w:tr>
        <w:trPr>
          <w:trHeight w:val="174"/>
        </w:trPr>
        <w:tc>
          <w:tcPr>
            <w:tcW w:w="12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47,899,942</w:t>
            </w:r>
          </w:p>
        </w:tc>
        <w:tc>
          <w:tcPr>
            <w:tcW w:w="16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2,323,802</w:t>
            </w: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(20,908)</w:t>
            </w:r>
          </w:p>
        </w:tc>
        <w:tc>
          <w:tcPr>
            <w:tcW w:w="1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525,508</w:t>
            </w:r>
          </w:p>
        </w:tc>
        <w:tc>
          <w:tcPr>
            <w:tcW w:w="1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(221,237)</w:t>
            </w:r>
          </w:p>
        </w:tc>
        <w:tc>
          <w:tcPr>
            <w:tcW w:w="1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284,352</w:t>
            </w:r>
          </w:p>
        </w:tc>
        <w:tc>
          <w:tcPr>
            <w:tcW w:w="14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60" w:type="dxa"/>
            <w:vAlign w:val="bottom"/>
            <w:shd w:val="clear" w:color="auto" w:fill="CCEEFF"/>
          </w:tcPr>
          <w:p>
            <w:pPr>
              <w:spacing w:after="0"/>
              <w:rPr>
                <w:sz w:val="18"/>
                <w:szCs w:val="1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291,589</w:t>
            </w:r>
          </w:p>
        </w:tc>
        <w:tc>
          <w:tcPr>
            <w:tcW w:w="0" w:type="dxa"/>
            <w:vAlign w:val="bottom"/>
          </w:tcPr>
          <w:p>
            <w:pPr>
              <w:spacing w:after="0"/>
              <w:rPr>
                <w:sz w:val="1"/>
                <w:szCs w:val="1"/>
                <w:color w:val="auto"/>
              </w:rPr>
            </w:pPr>
          </w:p>
        </w:tc>
      </w:tr>
      <w:tr>
        <w:trPr>
          <w:trHeight w:val="225"/>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31, 2021</w:t>
            </w: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720"/>
          </w:cols>
          <w:pgMar w:left="840" w:top="513" w:right="339" w:bottom="1068"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right="2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CHANGES IN SHAREHOLDERS’ EQUITY (CONTINUED) FOR THE YEARS ENDED DECEMBER 31, 2021, 2022 AND 2023 </w:t>
      </w:r>
      <w:r>
        <w:rPr>
          <w:rFonts w:ascii="Times New Roman" w:cs="Times New Roman" w:eastAsia="Times New Roman" w:hAnsi="Times New Roman"/>
          <w:sz w:val="18"/>
          <w:szCs w:val="18"/>
          <w:color w:val="auto"/>
        </w:rPr>
        <w:t>(US$’000, except share data and per share data, or otherwise noted)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iClick</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Interactive</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Asia Group</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660" w:type="dxa"/>
            <w:vAlign w:val="bottom"/>
            <w:gridSpan w:val="2"/>
            <w:vMerge w:val="continue"/>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780" w:type="dxa"/>
            <w:vAlign w:val="bottom"/>
            <w:gridSpan w:val="2"/>
            <w:vMerge w:val="continue"/>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income/(losses)</w:t>
            </w:r>
          </w:p>
        </w:tc>
        <w:tc>
          <w:tcPr>
            <w:tcW w:w="14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4"/>
        </w:trPr>
        <w:tc>
          <w:tcPr>
            <w:tcW w:w="12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31, 2021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47,899,942</w:t>
            </w: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2,323,802</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(20,908)</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525,508</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(221,237)</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284,352</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291,589</w:t>
            </w: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Reissuance of</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upon</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options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vesting</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RSUs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139,871</w:t>
            </w:r>
          </w:p>
        </w:tc>
        <w:tc>
          <w:tcPr>
            <w:tcW w:w="16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(139,871)</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compensation</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expense</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upon</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vesting of</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RSUs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6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ordinary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3,659,404</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 of</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 a</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subsidiary</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from non-</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controlling</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 1(a)</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(iii))</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386,415</w:t>
            </w: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for the</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(200,875)</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(200,875)</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(202,806)</w:t>
            </w: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translation</w:t>
            </w: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174"/>
        </w:trPr>
        <w:tc>
          <w:tcPr>
            <w:tcW w:w="12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as of</w:t>
            </w:r>
          </w:p>
        </w:tc>
        <w:tc>
          <w:tcPr>
            <w:tcW w:w="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48,771,228</w:t>
            </w:r>
          </w:p>
        </w:tc>
        <w:tc>
          <w:tcPr>
            <w:tcW w:w="160" w:type="dxa"/>
            <w:vAlign w:val="bottom"/>
            <w:shd w:val="clear" w:color="auto" w:fill="CCEEFF"/>
          </w:tcPr>
          <w:p>
            <w:pPr>
              <w:spacing w:after="0"/>
              <w:rPr>
                <w:sz w:val="18"/>
                <w:szCs w:val="1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5,843,335</w:t>
            </w: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(28,457)</w:t>
            </w:r>
          </w:p>
        </w:tc>
        <w:tc>
          <w:tcPr>
            <w:tcW w:w="160" w:type="dxa"/>
            <w:vAlign w:val="bottom"/>
            <w:shd w:val="clear" w:color="auto" w:fill="CCEEFF"/>
          </w:tcPr>
          <w:p>
            <w:pPr>
              <w:spacing w:after="0"/>
              <w:rPr>
                <w:sz w:val="18"/>
                <w:szCs w:val="18"/>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529,455</w:t>
            </w:r>
          </w:p>
        </w:tc>
        <w:tc>
          <w:tcPr>
            <w:tcW w:w="1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(422,112)</w:t>
            </w:r>
          </w:p>
        </w:tc>
        <w:tc>
          <w:tcPr>
            <w:tcW w:w="140" w:type="dxa"/>
            <w:vAlign w:val="bottom"/>
            <w:shd w:val="clear" w:color="auto" w:fill="CCEEFF"/>
          </w:tcPr>
          <w:p>
            <w:pPr>
              <w:spacing w:after="0"/>
              <w:rPr>
                <w:sz w:val="18"/>
                <w:szCs w:val="1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9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74,930</w:t>
            </w:r>
          </w:p>
        </w:tc>
        <w:tc>
          <w:tcPr>
            <w:tcW w:w="14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6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79,289</w:t>
            </w:r>
          </w:p>
        </w:tc>
        <w:tc>
          <w:tcPr>
            <w:tcW w:w="0" w:type="dxa"/>
            <w:vAlign w:val="bottom"/>
          </w:tcPr>
          <w:p>
            <w:pPr>
              <w:spacing w:after="0"/>
              <w:rPr>
                <w:sz w:val="1"/>
                <w:szCs w:val="1"/>
                <w:color w:val="auto"/>
              </w:rPr>
            </w:pPr>
          </w:p>
        </w:tc>
      </w:tr>
      <w:tr>
        <w:trPr>
          <w:trHeight w:val="225"/>
        </w:trPr>
        <w:tc>
          <w:tcPr>
            <w:tcW w:w="1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780"/>
          </w:cols>
          <w:pgMar w:left="840" w:top="513" w:right="2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0" w:type="dxa"/>
            <w:vAlign w:val="bottom"/>
          </w:tcPr>
          <w:p>
            <w:pPr>
              <w:spacing w:after="0"/>
              <w:rPr>
                <w:sz w:val="15"/>
                <w:szCs w:val="15"/>
                <w:color w:val="auto"/>
              </w:rPr>
            </w:pP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Treasury shares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 iClick</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Interactive</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Asia Group</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Statutory</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560" w:type="dxa"/>
            <w:vAlign w:val="bottom"/>
            <w:vMerge w:val="restart"/>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income/(losses)</w:t>
            </w:r>
          </w:p>
        </w:tc>
        <w:tc>
          <w:tcPr>
            <w:tcW w:w="140" w:type="dxa"/>
            <w:vAlign w:val="bottom"/>
          </w:tcPr>
          <w:p>
            <w:pPr>
              <w:spacing w:after="0"/>
              <w:rPr>
                <w:sz w:val="15"/>
                <w:szCs w:val="15"/>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5"/>
                <w:szCs w:val="15"/>
                <w:color w:val="auto"/>
              </w:rPr>
            </w:pPr>
          </w:p>
        </w:tc>
        <w:tc>
          <w:tcPr>
            <w:tcW w:w="5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7"/>
        </w:trPr>
        <w:tc>
          <w:tcPr>
            <w:tcW w:w="1100" w:type="dxa"/>
            <w:vAlign w:val="bottom"/>
            <w:tcBorders>
              <w:top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31, 2022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48,771,228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5,843,335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(28,457)</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529,455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(422,112)</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74,930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79,289</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Reissuance of</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treasury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upon</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exercise of</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options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and vesting</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 RSUs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79,136</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(79,136)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Issuance of</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upon</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vesting of</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RSUs</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ordinary</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shares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634,415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Purchase of</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 a</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subsidiary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from non-</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controlling</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(Note 1(a)</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(iii))</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386,419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for the</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year</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(38,870)</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Change in net</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retirement</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benefits plan</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prior</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service cost</w:t>
            </w:r>
          </w:p>
        </w:tc>
        <w:tc>
          <w:tcPr>
            <w:tcW w:w="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95"/>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currency</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translation</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67"/>
        </w:trPr>
        <w:tc>
          <w:tcPr>
            <w:tcW w:w="110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49,511,783</w:t>
            </w:r>
          </w:p>
        </w:tc>
        <w:tc>
          <w:tcPr>
            <w:tcW w:w="14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6,398,614</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(28,656)</w:t>
            </w:r>
          </w:p>
        </w:tc>
        <w:tc>
          <w:tcPr>
            <w:tcW w:w="16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530,521</w:t>
            </w:r>
          </w:p>
        </w:tc>
        <w:tc>
          <w:tcPr>
            <w:tcW w:w="1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(460,802)</w:t>
            </w:r>
          </w:p>
        </w:tc>
        <w:tc>
          <w:tcPr>
            <w:tcW w:w="16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4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37,125</w:t>
            </w:r>
          </w:p>
        </w:tc>
        <w:tc>
          <w:tcPr>
            <w:tcW w:w="1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4,127</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41,252</w:t>
            </w:r>
          </w:p>
        </w:tc>
        <w:tc>
          <w:tcPr>
            <w:tcW w:w="0" w:type="dxa"/>
            <w:vAlign w:val="bottom"/>
          </w:tcPr>
          <w:p>
            <w:pPr>
              <w:spacing w:after="0"/>
              <w:rPr>
                <w:sz w:val="1"/>
                <w:szCs w:val="1"/>
                <w:color w:val="auto"/>
              </w:rPr>
            </w:pPr>
          </w:p>
        </w:tc>
      </w:tr>
      <w:tr>
        <w:trPr>
          <w:trHeight w:val="205"/>
        </w:trPr>
        <w:tc>
          <w:tcPr>
            <w:tcW w:w="11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0300"/>
          </w:cols>
          <w:pgMar w:left="840" w:top="513"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648081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300"/>
          </w:cols>
          <w:pgMar w:left="840" w:top="513" w:right="75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ind w:right="4740"/>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FOR THE YEARS ENDED DECEMBER 31, 2021, 2022 AND 2023 </w:t>
      </w:r>
      <w:r>
        <w:rPr>
          <w:rFonts w:ascii="Times New Roman" w:cs="Times New Roman" w:eastAsia="Times New Roman" w:hAnsi="Times New Roman"/>
          <w:sz w:val="17"/>
          <w:szCs w:val="17"/>
          <w:color w:val="auto"/>
        </w:rPr>
        <w:t>(US$’000, except share data and per share data, or otherwise noted)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(16,598)</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(202,806)</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(38,870)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of property and equipment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648</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842</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3,238</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2,990</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right-of-use assets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2,785</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2,650</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Gains on disposals of property and equipment</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Allowance for/(reversal of) credit losses on accounts receivable</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12,424</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18,542</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Allowance for credit losses on loans and interest receivable</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3,661</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expenses in relation to ordinary shares subscription from Baozun Inc.</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share-based compensation expenses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11,969</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3,794</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Fair value losses/(gains) on short-term investments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2,368</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Fair value gain on long-term investment</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80,137</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intangible assets</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49,778</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long-term investments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4,038</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10,805</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property and equipment</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Impairment of right-of-use assets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2,365</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Fair value changes on contingent consideration payables</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(418)</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8,396</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tax</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(905)</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(11,557)</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 of losses from an equity investee</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(60,284)</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102,028</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Prepayments and other assets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3,333</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8,478</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Rebates receivables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5,626</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media costs</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(1,463)</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17,515</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23,447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(24,859)</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 and other current liabilities</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(1,504)</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3,999</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(5,323)</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(6,935)</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payable</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(1,839)</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Income tax recoverable</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Lease liabilities</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(2,781)</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(2,776)</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Amount due from an equity investee</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Net cash (used in)/provided by operating activities</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(19,673)</w:t>
            </w:r>
          </w:p>
        </w:tc>
        <w:tc>
          <w:tcPr>
            <w:tcW w:w="2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71,104</w:t>
            </w:r>
          </w:p>
        </w:tc>
        <w:tc>
          <w:tcPr>
            <w:tcW w:w="2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(19,426)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9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(1,386)</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intangible assets</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(203)</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Redemption/(purchase) of short-term investments</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15,633</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(Purchase)/disposal of other long-term investments</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(4,108)</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Prepayment for long-term investment costs</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(394)</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(Purchase)/redemption of time deposits</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(11,039)</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11,118</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businesses, net of cash received</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(10,007)</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(7,742)</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interest in a subsidiary from non-controlling interests</w:t>
            </w:r>
          </w:p>
        </w:tc>
        <w:tc>
          <w:tcPr>
            <w:tcW w:w="10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Loan to third parties</w:t>
            </w: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(17,303)</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Repayment of loan from third parties</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6,400</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434</w:t>
            </w:r>
          </w:p>
        </w:tc>
        <w:tc>
          <w:tcPr>
            <w:tcW w:w="2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disposals of property and equipment</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00" w:type="dxa"/>
            <w:vAlign w:val="bottom"/>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(22,390)</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(3,977)</w:t>
            </w:r>
          </w:p>
        </w:tc>
        <w:tc>
          <w:tcPr>
            <w:tcW w:w="2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(987)</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right="44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CONSOLIDATED STATEMENTS OF CASH FLOWS (CONTINUED) FOR THE YEARS ENDED DECEMBER 31, 2021, 2022 AND 2023 </w:t>
      </w:r>
      <w:r>
        <w:rPr>
          <w:rFonts w:ascii="Times New Roman" w:cs="Times New Roman" w:eastAsia="Times New Roman" w:hAnsi="Times New Roman"/>
          <w:sz w:val="17"/>
          <w:szCs w:val="17"/>
          <w:color w:val="auto"/>
        </w:rPr>
        <w:t>(US$’000, except share data and per share data, or otherwise noted)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9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248,784</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Repayments of bank borrowings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(231,025)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(209,789)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(10,687)</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(7,574)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proceeds from issuance of ordinary shares upon subscription from Baozun Inc.</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(37,289)</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 and restricted cash</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(17,320)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beginning of year</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94,377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exchange rate changes on cash and cash equivalents and restricted cash</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end of year</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2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105,297</w:t>
            </w:r>
          </w:p>
        </w:tc>
        <w:tc>
          <w:tcPr>
            <w:tcW w:w="20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9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Reconciliation of cash and cash equivalents and restricted cash within the consolidated</w:t>
            </w: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sheets to the amounts shown in the consolidated statements of cash flows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above:</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41,443</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82,754</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Restricted cash, current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36,146</w:t>
            </w: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w:t>
            </w: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77,589</w:t>
            </w: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105,297</w:t>
            </w:r>
          </w:p>
        </w:tc>
        <w:tc>
          <w:tcPr>
            <w:tcW w:w="2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Interests paid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(3,677)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ordinary shares upon acquisition of interest in a subsidiary from non-controlling</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interests</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ordinary shares upon settlement for contingent consideration payable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Transfer of prepayments for long-term investments to other long-term investments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8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05"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225" w:lineRule="exact"/>
        <w:rPr>
          <w:sz w:val="20"/>
          <w:szCs w:val="20"/>
          <w:color w:val="auto"/>
        </w:rPr>
      </w:pPr>
    </w:p>
    <w:p>
      <w:pPr>
        <w:ind w:left="660" w:hanging="652"/>
        <w:spacing w:after="0"/>
        <w:tabs>
          <w:tab w:leader="none" w:pos="6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Interactive Asia Group Limited (“iClick Cayman”) and its subsidiaries are collectively referred to as the Company. iClick Cayman was incorporated under the law of Cayman Islands as a limited company on February 3, 2010. The Company is principally engaged in (i) the provision of online advertising services (“Marketing Solutions”) and (ii) the provision of software and data analytical tool licenses, customer relationship management solutions, and digitalized operational solutions (“Enterprise Solutions”). The Company’s principal operations and geographic market are in Greater China and have offices in Hong Kong and The People’s Republic of China (“the PRC”). There are also sales teams in Singapore and the United Kingdom.</w:t>
      </w:r>
    </w:p>
    <w:p>
      <w:pPr>
        <w:spacing w:after="0" w:line="18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iClick Cayman, its principal subsidiaries and consolidated VIE and the VIE’s subsidiaries (defined in Note 1(b)) as follows:</w:t>
      </w:r>
    </w:p>
    <w:p>
      <w:pPr>
        <w:spacing w:after="0" w:line="15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interest held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 equity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 contractual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Relationship</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arrangements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incorporation/</w:t>
            </w:r>
          </w:p>
        </w:tc>
        <w:tc>
          <w:tcPr>
            <w:tcW w:w="16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incorporation/</w:t>
            </w: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3"/>
        </w:trPr>
        <w:tc>
          <w:tcPr>
            <w:tcW w:w="2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 (i))</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7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Tetris Media Limited</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Subsidiary</w:t>
            </w:r>
          </w:p>
        </w:tc>
        <w:tc>
          <w:tcPr>
            <w:tcW w:w="1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July 2007</w:t>
            </w: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Hong Kong</w:t>
            </w:r>
          </w:p>
        </w:tc>
        <w:tc>
          <w:tcPr>
            <w:tcW w:w="1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Investment holding</w:t>
            </w:r>
          </w:p>
        </w:tc>
        <w:tc>
          <w:tcPr>
            <w:tcW w:w="0" w:type="dxa"/>
            <w:vAlign w:val="bottom"/>
          </w:tcPr>
          <w:p>
            <w:pPr>
              <w:spacing w:after="0"/>
              <w:rPr>
                <w:sz w:val="1"/>
                <w:szCs w:val="1"/>
                <w:color w:val="auto"/>
              </w:rPr>
            </w:pPr>
          </w:p>
        </w:tc>
      </w:tr>
      <w:tr>
        <w:trPr>
          <w:trHeight w:val="126"/>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December</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4"/>
                <w:szCs w:val="14"/>
                <w:color w:val="auto"/>
              </w:rPr>
              <w:t>Online advertising,</w:t>
            </w:r>
          </w:p>
        </w:tc>
        <w:tc>
          <w:tcPr>
            <w:tcW w:w="0" w:type="dxa"/>
            <w:vAlign w:val="bottom"/>
          </w:tcPr>
          <w:p>
            <w:pPr>
              <w:spacing w:after="0"/>
              <w:rPr>
                <w:sz w:val="1"/>
                <w:szCs w:val="1"/>
                <w:color w:val="auto"/>
              </w:rPr>
            </w:pPr>
          </w:p>
        </w:tc>
      </w:tr>
      <w:tr>
        <w:trPr>
          <w:trHeight w:val="148"/>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iClick Interactive Asia Limited</w:t>
            </w: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continue"/>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Hong Kong</w:t>
            </w: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SaaS products and</w:t>
            </w: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2008</w:t>
            </w:r>
          </w:p>
        </w:tc>
        <w:tc>
          <w:tcPr>
            <w:tcW w:w="1040" w:type="dxa"/>
            <w:vAlign w:val="bottom"/>
            <w:gridSpan w:val="2"/>
            <w:vMerge w:val="continue"/>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services</w:t>
            </w:r>
          </w:p>
        </w:tc>
        <w:tc>
          <w:tcPr>
            <w:tcW w:w="0" w:type="dxa"/>
            <w:vAlign w:val="bottom"/>
          </w:tcPr>
          <w:p>
            <w:pPr>
              <w:spacing w:after="0"/>
              <w:rPr>
                <w:sz w:val="1"/>
                <w:szCs w:val="1"/>
                <w:color w:val="auto"/>
              </w:rPr>
            </w:pPr>
          </w:p>
        </w:tc>
      </w:tr>
      <w:tr>
        <w:trPr>
          <w:trHeight w:val="126"/>
        </w:trPr>
        <w:tc>
          <w:tcPr>
            <w:tcW w:w="2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China Search (Asia) Limited</w:t>
            </w:r>
          </w:p>
        </w:tc>
        <w:tc>
          <w:tcPr>
            <w:tcW w:w="10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September</w:t>
            </w:r>
          </w:p>
        </w:tc>
        <w:tc>
          <w:tcPr>
            <w:tcW w:w="10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Hong Kong</w:t>
            </w:r>
          </w:p>
        </w:tc>
        <w:tc>
          <w:tcPr>
            <w:tcW w:w="13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Online advertising</w:t>
            </w:r>
          </w:p>
        </w:tc>
        <w:tc>
          <w:tcPr>
            <w:tcW w:w="0" w:type="dxa"/>
            <w:vAlign w:val="bottom"/>
          </w:tcPr>
          <w:p>
            <w:pPr>
              <w:spacing w:after="0"/>
              <w:rPr>
                <w:sz w:val="1"/>
                <w:szCs w:val="1"/>
                <w:color w:val="auto"/>
              </w:rPr>
            </w:pPr>
          </w:p>
        </w:tc>
      </w:tr>
      <w:tr>
        <w:trPr>
          <w:trHeight w:val="171"/>
        </w:trPr>
        <w:tc>
          <w:tcPr>
            <w:tcW w:w="2700" w:type="dxa"/>
            <w:vAlign w:val="bottom"/>
            <w:vMerge w:val="continue"/>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2010</w:t>
            </w:r>
          </w:p>
        </w:tc>
        <w:tc>
          <w:tcPr>
            <w:tcW w:w="1040" w:type="dxa"/>
            <w:vAlign w:val="bottom"/>
            <w:gridSpan w:val="2"/>
            <w:vMerge w:val="continue"/>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iClick Interactive (Singapore) Pte. Ltd.</w:t>
            </w:r>
          </w:p>
        </w:tc>
        <w:tc>
          <w:tcPr>
            <w:tcW w:w="10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Subsidiary</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January 2011</w:t>
            </w:r>
          </w:p>
        </w:tc>
        <w:tc>
          <w:tcPr>
            <w:tcW w:w="10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Singapore</w:t>
            </w: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Online advertising</w:t>
            </w:r>
          </w:p>
        </w:tc>
        <w:tc>
          <w:tcPr>
            <w:tcW w:w="0" w:type="dxa"/>
            <w:vAlign w:val="bottom"/>
          </w:tcPr>
          <w:p>
            <w:pPr>
              <w:spacing w:after="0"/>
              <w:rPr>
                <w:sz w:val="1"/>
                <w:szCs w:val="1"/>
                <w:color w:val="auto"/>
              </w:rPr>
            </w:pPr>
          </w:p>
        </w:tc>
      </w:tr>
      <w:tr>
        <w:trPr>
          <w:trHeight w:val="126"/>
        </w:trPr>
        <w:tc>
          <w:tcPr>
            <w:tcW w:w="2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iClick Data Technology (Beijing) Limited</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Online advertising,</w:t>
            </w:r>
          </w:p>
        </w:tc>
        <w:tc>
          <w:tcPr>
            <w:tcW w:w="0" w:type="dxa"/>
            <w:vAlign w:val="bottom"/>
          </w:tcPr>
          <w:p>
            <w:pPr>
              <w:spacing w:after="0"/>
              <w:rPr>
                <w:sz w:val="1"/>
                <w:szCs w:val="1"/>
                <w:color w:val="auto"/>
              </w:rPr>
            </w:pPr>
          </w:p>
        </w:tc>
      </w:tr>
      <w:tr>
        <w:trPr>
          <w:trHeight w:val="149"/>
        </w:trPr>
        <w:tc>
          <w:tcPr>
            <w:tcW w:w="2700" w:type="dxa"/>
            <w:vAlign w:val="bottom"/>
            <w:vMerge w:val="continue"/>
            <w:shd w:val="clear" w:color="auto" w:fill="CCEEFF"/>
          </w:tcPr>
          <w:p>
            <w:pPr>
              <w:spacing w:after="0"/>
              <w:rPr>
                <w:sz w:val="12"/>
                <w:szCs w:val="12"/>
                <w:color w:val="auto"/>
              </w:rPr>
            </w:pPr>
          </w:p>
        </w:tc>
        <w:tc>
          <w:tcPr>
            <w:tcW w:w="10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January 2011</w:t>
            </w:r>
          </w:p>
        </w:tc>
        <w:tc>
          <w:tcPr>
            <w:tcW w:w="10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The PRC</w:t>
            </w:r>
          </w:p>
        </w:tc>
        <w:tc>
          <w:tcPr>
            <w:tcW w:w="13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SaaS products and</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(“Beijing WFOE”)</w:t>
            </w:r>
          </w:p>
        </w:tc>
        <w:tc>
          <w:tcPr>
            <w:tcW w:w="1080" w:type="dxa"/>
            <w:vAlign w:val="bottom"/>
            <w:gridSpan w:val="3"/>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services</w:t>
            </w: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Search Asia Technology (Shenzhen) Co., Ltd.</w:t>
            </w:r>
          </w:p>
        </w:tc>
        <w:tc>
          <w:tcPr>
            <w:tcW w:w="10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Subsidiary</w:t>
            </w:r>
          </w:p>
        </w:tc>
        <w:tc>
          <w:tcPr>
            <w:tcW w:w="1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January 2011</w:t>
            </w:r>
          </w:p>
        </w:tc>
        <w:tc>
          <w:tcPr>
            <w:tcW w:w="10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The PRC</w:t>
            </w: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Online advertising</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Performance Media Group Limited</w:t>
            </w:r>
          </w:p>
        </w:tc>
        <w:tc>
          <w:tcPr>
            <w:tcW w:w="108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Subsidiary</w:t>
            </w:r>
          </w:p>
        </w:tc>
        <w:tc>
          <w:tcPr>
            <w:tcW w:w="1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January 2013</w:t>
            </w:r>
          </w:p>
        </w:tc>
        <w:tc>
          <w:tcPr>
            <w:tcW w:w="104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13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Online advertising</w:t>
            </w:r>
          </w:p>
        </w:tc>
        <w:tc>
          <w:tcPr>
            <w:tcW w:w="0" w:type="dxa"/>
            <w:vAlign w:val="bottom"/>
          </w:tcPr>
          <w:p>
            <w:pPr>
              <w:spacing w:after="0"/>
              <w:rPr>
                <w:sz w:val="1"/>
                <w:szCs w:val="1"/>
                <w:color w:val="auto"/>
              </w:rPr>
            </w:pPr>
          </w:p>
        </w:tc>
      </w:tr>
      <w:tr>
        <w:trPr>
          <w:trHeight w:val="126"/>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4"/>
                <w:szCs w:val="14"/>
                <w:color w:val="auto"/>
              </w:rPr>
              <w:t>Online advertising,</w:t>
            </w: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CMRS Digital Solutions Limited</w:t>
            </w: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April 2008</w:t>
            </w: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Hong Kong</w:t>
            </w: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SaaS products and</w:t>
            </w: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services</w:t>
            </w: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Online advertising,</w:t>
            </w:r>
          </w:p>
        </w:tc>
        <w:tc>
          <w:tcPr>
            <w:tcW w:w="0" w:type="dxa"/>
            <w:vAlign w:val="bottom"/>
          </w:tcPr>
          <w:p>
            <w:pPr>
              <w:spacing w:after="0"/>
              <w:rPr>
                <w:sz w:val="1"/>
                <w:szCs w:val="1"/>
                <w:color w:val="auto"/>
              </w:rPr>
            </w:pPr>
          </w:p>
        </w:tc>
      </w:tr>
      <w:tr>
        <w:trPr>
          <w:trHeight w:val="149"/>
        </w:trPr>
        <w:tc>
          <w:tcPr>
            <w:tcW w:w="2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Beyond Digital Solutions Limited</w:t>
            </w:r>
          </w:p>
        </w:tc>
        <w:tc>
          <w:tcPr>
            <w:tcW w:w="10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April 2010</w:t>
            </w:r>
          </w:p>
        </w:tc>
        <w:tc>
          <w:tcPr>
            <w:tcW w:w="10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Hong Kong</w:t>
            </w:r>
          </w:p>
        </w:tc>
        <w:tc>
          <w:tcPr>
            <w:tcW w:w="13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SaaS products and</w:t>
            </w:r>
          </w:p>
        </w:tc>
        <w:tc>
          <w:tcPr>
            <w:tcW w:w="0" w:type="dxa"/>
            <w:vAlign w:val="bottom"/>
          </w:tcPr>
          <w:p>
            <w:pPr>
              <w:spacing w:after="0"/>
              <w:rPr>
                <w:sz w:val="1"/>
                <w:szCs w:val="1"/>
                <w:color w:val="auto"/>
              </w:rPr>
            </w:pPr>
          </w:p>
        </w:tc>
      </w:tr>
      <w:tr>
        <w:trPr>
          <w:trHeight w:val="171"/>
        </w:trPr>
        <w:tc>
          <w:tcPr>
            <w:tcW w:w="2700" w:type="dxa"/>
            <w:vAlign w:val="bottom"/>
            <w:vMerge w:val="continue"/>
            <w:shd w:val="clear" w:color="auto" w:fill="CCEEFF"/>
          </w:tcPr>
          <w:p>
            <w:pPr>
              <w:spacing w:after="0"/>
              <w:rPr>
                <w:sz w:val="14"/>
                <w:szCs w:val="14"/>
                <w:color w:val="auto"/>
              </w:rPr>
            </w:pPr>
          </w:p>
        </w:tc>
        <w:tc>
          <w:tcPr>
            <w:tcW w:w="1080" w:type="dxa"/>
            <w:vAlign w:val="bottom"/>
            <w:gridSpan w:val="3"/>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services</w:t>
            </w:r>
          </w:p>
        </w:tc>
        <w:tc>
          <w:tcPr>
            <w:tcW w:w="0" w:type="dxa"/>
            <w:vAlign w:val="bottom"/>
          </w:tcPr>
          <w:p>
            <w:pPr>
              <w:spacing w:after="0"/>
              <w:rPr>
                <w:sz w:val="1"/>
                <w:szCs w:val="1"/>
                <w:color w:val="auto"/>
              </w:rPr>
            </w:pPr>
          </w:p>
        </w:tc>
      </w:tr>
      <w:tr>
        <w:trPr>
          <w:trHeight w:val="126"/>
        </w:trPr>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4"/>
                <w:szCs w:val="14"/>
                <w:color w:val="auto"/>
              </w:rPr>
              <w:t>Online advertising,</w:t>
            </w:r>
          </w:p>
        </w:tc>
        <w:tc>
          <w:tcPr>
            <w:tcW w:w="0" w:type="dxa"/>
            <w:vAlign w:val="bottom"/>
          </w:tcPr>
          <w:p>
            <w:pPr>
              <w:spacing w:after="0"/>
              <w:rPr>
                <w:sz w:val="1"/>
                <w:szCs w:val="1"/>
                <w:color w:val="auto"/>
              </w:rPr>
            </w:pPr>
          </w:p>
        </w:tc>
      </w:tr>
      <w:tr>
        <w:trPr>
          <w:trHeight w:val="148"/>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CruiSo Digital Solutions Limited</w:t>
            </w: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May 2011</w:t>
            </w: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Hong Kong</w:t>
            </w: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SaaS products and</w:t>
            </w: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services</w:t>
            </w:r>
          </w:p>
        </w:tc>
        <w:tc>
          <w:tcPr>
            <w:tcW w:w="0" w:type="dxa"/>
            <w:vAlign w:val="bottom"/>
          </w:tcPr>
          <w:p>
            <w:pPr>
              <w:spacing w:after="0"/>
              <w:rPr>
                <w:sz w:val="1"/>
                <w:szCs w:val="1"/>
                <w:color w:val="auto"/>
              </w:rPr>
            </w:pPr>
          </w:p>
        </w:tc>
      </w:tr>
      <w:tr>
        <w:trPr>
          <w:trHeight w:val="126"/>
        </w:trPr>
        <w:tc>
          <w:tcPr>
            <w:tcW w:w="2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Tetris Information Technology (Shanghai)</w:t>
            </w: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300" w:type="dxa"/>
            <w:vAlign w:val="bottom"/>
            <w:gridSpan w:val="2"/>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Online advertising,</w:t>
            </w:r>
          </w:p>
        </w:tc>
        <w:tc>
          <w:tcPr>
            <w:tcW w:w="0" w:type="dxa"/>
            <w:vAlign w:val="bottom"/>
          </w:tcPr>
          <w:p>
            <w:pPr>
              <w:spacing w:after="0"/>
              <w:rPr>
                <w:sz w:val="1"/>
                <w:szCs w:val="1"/>
                <w:color w:val="auto"/>
              </w:rPr>
            </w:pPr>
          </w:p>
        </w:tc>
      </w:tr>
      <w:tr>
        <w:trPr>
          <w:trHeight w:val="148"/>
        </w:trPr>
        <w:tc>
          <w:tcPr>
            <w:tcW w:w="2700" w:type="dxa"/>
            <w:vAlign w:val="bottom"/>
            <w:vMerge w:val="continue"/>
            <w:shd w:val="clear" w:color="auto" w:fill="CCEEFF"/>
          </w:tcPr>
          <w:p>
            <w:pPr>
              <w:spacing w:after="0"/>
              <w:rPr>
                <w:sz w:val="12"/>
                <w:szCs w:val="12"/>
                <w:color w:val="auto"/>
              </w:rPr>
            </w:pPr>
          </w:p>
        </w:tc>
        <w:tc>
          <w:tcPr>
            <w:tcW w:w="10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April 2008</w:t>
            </w:r>
          </w:p>
        </w:tc>
        <w:tc>
          <w:tcPr>
            <w:tcW w:w="10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The PRC</w:t>
            </w:r>
          </w:p>
        </w:tc>
        <w:tc>
          <w:tcPr>
            <w:tcW w:w="130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SaaS products and</w:t>
            </w:r>
          </w:p>
        </w:tc>
        <w:tc>
          <w:tcPr>
            <w:tcW w:w="0" w:type="dxa"/>
            <w:vAlign w:val="bottom"/>
          </w:tcPr>
          <w:p>
            <w:pPr>
              <w:spacing w:after="0"/>
              <w:rPr>
                <w:sz w:val="1"/>
                <w:szCs w:val="1"/>
                <w:color w:val="auto"/>
              </w:rPr>
            </w:pPr>
          </w:p>
        </w:tc>
      </w:tr>
      <w:tr>
        <w:trPr>
          <w:trHeight w:val="171"/>
        </w:trPr>
        <w:tc>
          <w:tcPr>
            <w:tcW w:w="2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 Ltd.</w:t>
            </w:r>
          </w:p>
        </w:tc>
        <w:tc>
          <w:tcPr>
            <w:tcW w:w="1080" w:type="dxa"/>
            <w:vAlign w:val="bottom"/>
            <w:gridSpan w:val="3"/>
            <w:vMerge w:val="continue"/>
            <w:shd w:val="clear" w:color="auto" w:fill="CCEEFF"/>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services</w:t>
            </w:r>
          </w:p>
        </w:tc>
        <w:tc>
          <w:tcPr>
            <w:tcW w:w="0" w:type="dxa"/>
            <w:vAlign w:val="bottom"/>
          </w:tcPr>
          <w:p>
            <w:pPr>
              <w:spacing w:after="0"/>
              <w:rPr>
                <w:sz w:val="1"/>
                <w:szCs w:val="1"/>
                <w:color w:val="auto"/>
              </w:rPr>
            </w:pPr>
          </w:p>
        </w:tc>
      </w:tr>
      <w:tr>
        <w:trPr>
          <w:trHeight w:val="126"/>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OptAim (Beijing) Information Technology</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November</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00" w:type="dxa"/>
            <w:vAlign w:val="bottom"/>
            <w:gridSpan w:val="2"/>
          </w:tcPr>
          <w:p>
            <w:pPr>
              <w:ind w:left="160"/>
              <w:spacing w:after="0" w:line="126" w:lineRule="exact"/>
              <w:rPr>
                <w:sz w:val="20"/>
                <w:szCs w:val="20"/>
                <w:color w:val="auto"/>
              </w:rPr>
            </w:pPr>
            <w:r>
              <w:rPr>
                <w:rFonts w:ascii="Times New Roman" w:cs="Times New Roman" w:eastAsia="Times New Roman" w:hAnsi="Times New Roman"/>
                <w:sz w:val="14"/>
                <w:szCs w:val="14"/>
                <w:color w:val="auto"/>
              </w:rPr>
              <w:t>Online advertising,</w:t>
            </w:r>
          </w:p>
        </w:tc>
        <w:tc>
          <w:tcPr>
            <w:tcW w:w="0" w:type="dxa"/>
            <w:vAlign w:val="bottom"/>
          </w:tcPr>
          <w:p>
            <w:pPr>
              <w:spacing w:after="0"/>
              <w:rPr>
                <w:sz w:val="1"/>
                <w:szCs w:val="1"/>
                <w:color w:val="auto"/>
              </w:rPr>
            </w:pPr>
          </w:p>
        </w:tc>
      </w:tr>
      <w:tr>
        <w:trPr>
          <w:trHeight w:val="148"/>
        </w:trPr>
        <w:tc>
          <w:tcPr>
            <w:tcW w:w="2700" w:type="dxa"/>
            <w:vAlign w:val="bottom"/>
            <w:vMerge w:val="continue"/>
          </w:tcPr>
          <w:p>
            <w:pPr>
              <w:spacing w:after="0"/>
              <w:rPr>
                <w:sz w:val="12"/>
                <w:szCs w:val="12"/>
                <w:color w:val="auto"/>
              </w:rPr>
            </w:pP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Subsidiary</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continue"/>
          </w:tcPr>
          <w:p>
            <w:pPr>
              <w:spacing w:after="0"/>
              <w:rPr>
                <w:sz w:val="12"/>
                <w:szCs w:val="12"/>
                <w:color w:val="auto"/>
              </w:rPr>
            </w:pPr>
          </w:p>
        </w:tc>
        <w:tc>
          <w:tcPr>
            <w:tcW w:w="10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The PRC</w:t>
            </w:r>
          </w:p>
        </w:tc>
        <w:tc>
          <w:tcPr>
            <w:tcW w:w="13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color w:val="auto"/>
              </w:rPr>
              <w:t>SaaS products and</w:t>
            </w:r>
          </w:p>
        </w:tc>
        <w:tc>
          <w:tcPr>
            <w:tcW w:w="0" w:type="dxa"/>
            <w:vAlign w:val="bottom"/>
          </w:tcPr>
          <w:p>
            <w:pPr>
              <w:spacing w:after="0"/>
              <w:rPr>
                <w:sz w:val="1"/>
                <w:szCs w:val="1"/>
                <w:color w:val="auto"/>
              </w:rPr>
            </w:pPr>
          </w:p>
        </w:tc>
      </w:tr>
      <w:tr>
        <w:trPr>
          <w:trHeight w:val="188"/>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 Ltd. (“OptAim WFOE”)</w:t>
            </w:r>
          </w:p>
        </w:tc>
        <w:tc>
          <w:tcPr>
            <w:tcW w:w="1080" w:type="dxa"/>
            <w:vAlign w:val="bottom"/>
            <w:gridSpan w:val="3"/>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2014</w:t>
            </w:r>
          </w:p>
        </w:tc>
        <w:tc>
          <w:tcPr>
            <w:tcW w:w="1040" w:type="dxa"/>
            <w:vAlign w:val="bottom"/>
            <w:gridSpan w:val="2"/>
            <w:vMerge w:val="continue"/>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services</w:t>
            </w:r>
          </w:p>
        </w:tc>
        <w:tc>
          <w:tcPr>
            <w:tcW w:w="0" w:type="dxa"/>
            <w:vAlign w:val="bottom"/>
          </w:tcPr>
          <w:p>
            <w:pPr>
              <w:spacing w:after="0"/>
              <w:rPr>
                <w:sz w:val="1"/>
                <w:szCs w:val="1"/>
                <w:color w:val="auto"/>
              </w:rPr>
            </w:pPr>
          </w:p>
        </w:tc>
      </w:tr>
    </w:tbl>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58"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 (Continued)</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financial statements of iClick Cayman, its principal subsidiaries and consolidated VIE and the VIE’s subsidiaries (defined in Note 1(b)) as follows: (Continued)</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Effective</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8"/>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interest held</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8"/>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through</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8"/>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ownership/</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8"/>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contractual</w:t>
            </w:r>
          </w:p>
        </w:tc>
        <w:tc>
          <w:tcPr>
            <w:tcW w:w="40" w:type="dxa"/>
            <w:vAlign w:val="bottom"/>
          </w:tcPr>
          <w:p>
            <w:pPr>
              <w:spacing w:after="0"/>
              <w:rPr>
                <w:sz w:val="12"/>
                <w:szCs w:val="12"/>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 of</w:t>
            </w:r>
          </w:p>
        </w:tc>
        <w:tc>
          <w:tcPr>
            <w:tcW w:w="14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Place of</w:t>
            </w: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48"/>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arrangements</w:t>
            </w:r>
          </w:p>
        </w:tc>
        <w:tc>
          <w:tcPr>
            <w:tcW w:w="40" w:type="dxa"/>
            <w:vAlign w:val="bottom"/>
          </w:tcPr>
          <w:p>
            <w:pPr>
              <w:spacing w:after="0"/>
              <w:rPr>
                <w:sz w:val="12"/>
                <w:szCs w:val="12"/>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140" w:type="dxa"/>
            <w:vAlign w:val="bottom"/>
          </w:tcPr>
          <w:p>
            <w:pPr>
              <w:spacing w:after="0"/>
              <w:rPr>
                <w:sz w:val="12"/>
                <w:szCs w:val="12"/>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9"/>
              </w:rPr>
              <w:t>incorporation/</w:t>
            </w:r>
          </w:p>
        </w:tc>
        <w:tc>
          <w:tcPr>
            <w:tcW w:w="1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65"/>
        </w:trPr>
        <w:tc>
          <w:tcPr>
            <w:tcW w:w="2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Relationship</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(Note (i))</w:t>
            </w:r>
          </w:p>
        </w:tc>
        <w:tc>
          <w:tcPr>
            <w:tcW w:w="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establishment</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establishment</w:t>
            </w:r>
          </w:p>
        </w:tc>
        <w:tc>
          <w:tcPr>
            <w:tcW w:w="140" w:type="dxa"/>
            <w:vAlign w:val="bottom"/>
          </w:tcPr>
          <w:p>
            <w:pPr>
              <w:spacing w:after="0"/>
              <w:rPr>
                <w:sz w:val="14"/>
                <w:szCs w:val="14"/>
                <w:color w:val="auto"/>
              </w:rPr>
            </w:pPr>
          </w:p>
        </w:tc>
        <w:tc>
          <w:tcPr>
            <w:tcW w:w="16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Principal activities</w:t>
            </w:r>
          </w:p>
        </w:tc>
      </w:tr>
      <w:tr>
        <w:trPr>
          <w:trHeight w:val="129"/>
        </w:trPr>
        <w:tc>
          <w:tcPr>
            <w:tcW w:w="29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Anhui Zhiyunzhong Information Technology Co., Ltd.</w:t>
            </w:r>
          </w:p>
        </w:tc>
        <w:tc>
          <w:tcPr>
            <w:tcW w:w="1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November</w:t>
            </w:r>
          </w:p>
        </w:tc>
        <w:tc>
          <w:tcPr>
            <w:tcW w:w="1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Online advertising, SaaS</w:t>
            </w:r>
          </w:p>
        </w:tc>
      </w:tr>
      <w:tr>
        <w:trPr>
          <w:trHeight w:val="161"/>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(“OptAim Anhui”)</w:t>
            </w:r>
          </w:p>
        </w:tc>
        <w:tc>
          <w:tcPr>
            <w:tcW w:w="1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Subsidiary</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100 %</w:t>
            </w: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2017</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The PRC</w:t>
            </w:r>
          </w:p>
        </w:tc>
        <w:tc>
          <w:tcPr>
            <w:tcW w:w="1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products and services</w:t>
            </w:r>
          </w:p>
        </w:tc>
      </w:tr>
      <w:tr>
        <w:trPr>
          <w:trHeight w:val="136"/>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2"/>
          </w:tcPr>
          <w:p>
            <w:pPr>
              <w:ind w:left="140"/>
              <w:spacing w:after="0" w:line="136" w:lineRule="exact"/>
              <w:rPr>
                <w:sz w:val="20"/>
                <w:szCs w:val="20"/>
                <w:color w:val="auto"/>
              </w:rPr>
            </w:pPr>
            <w:r>
              <w:rPr>
                <w:rFonts w:ascii="Times New Roman" w:cs="Times New Roman" w:eastAsia="Times New Roman" w:hAnsi="Times New Roman"/>
                <w:sz w:val="13"/>
                <w:szCs w:val="13"/>
                <w:color w:val="auto"/>
              </w:rPr>
              <w:t>Online advertising, SaaS</w:t>
            </w:r>
          </w:p>
        </w:tc>
      </w:tr>
      <w:tr>
        <w:trPr>
          <w:trHeight w:val="161"/>
        </w:trPr>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Tetris (Shanghai) Data Technology Co., Ltd.</w:t>
            </w:r>
          </w:p>
        </w:tc>
        <w:tc>
          <w:tcPr>
            <w:tcW w:w="10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Subsidiary</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100 %</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October 2020</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The PRC</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products and services</w:t>
            </w:r>
          </w:p>
        </w:tc>
      </w:tr>
      <w:tr>
        <w:trPr>
          <w:trHeight w:val="136"/>
        </w:trPr>
        <w:tc>
          <w:tcPr>
            <w:tcW w:w="29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Zhiyunzhong  (Shanghai)  Technology  Co.,  Ltd.</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0"/>
              <w:spacing w:after="0" w:line="136" w:lineRule="exact"/>
              <w:rPr>
                <w:sz w:val="20"/>
                <w:szCs w:val="20"/>
                <w:color w:val="auto"/>
              </w:rPr>
            </w:pPr>
            <w:r>
              <w:rPr>
                <w:rFonts w:ascii="Times New Roman" w:cs="Times New Roman" w:eastAsia="Times New Roman" w:hAnsi="Times New Roman"/>
                <w:sz w:val="13"/>
                <w:szCs w:val="13"/>
                <w:color w:val="auto"/>
              </w:rPr>
              <w:t>September</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161"/>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(“Shanghai OptAim”)</w:t>
            </w:r>
          </w:p>
        </w:tc>
        <w:tc>
          <w:tcPr>
            <w:tcW w:w="1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Subsidiary</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100 %</w:t>
            </w: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2014</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The PRC</w:t>
            </w:r>
          </w:p>
        </w:tc>
        <w:tc>
          <w:tcPr>
            <w:tcW w:w="1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Online advertising</w:t>
            </w:r>
          </w:p>
        </w:tc>
      </w:tr>
      <w:tr>
        <w:trPr>
          <w:trHeight w:val="136"/>
        </w:trPr>
        <w:tc>
          <w:tcPr>
            <w:tcW w:w="29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Beijing  OptAim  Network  Technology  Co.,  Ltd.</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3"/>
                <w:szCs w:val="13"/>
                <w:color w:val="auto"/>
              </w:rPr>
              <w:t>September</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61"/>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(“Beijing OptAim”)</w:t>
            </w:r>
          </w:p>
        </w:tc>
        <w:tc>
          <w:tcPr>
            <w:tcW w:w="10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VIE</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100 %</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2012</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The PRC</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Online advertising</w:t>
            </w:r>
          </w:p>
        </w:tc>
      </w:tr>
      <w:tr>
        <w:trPr>
          <w:trHeight w:val="136"/>
        </w:trPr>
        <w:tc>
          <w:tcPr>
            <w:tcW w:w="29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Shanghai Myhayo Technology Co., Ltd. (“Myhayo”)</w:t>
            </w:r>
          </w:p>
        </w:tc>
        <w:tc>
          <w:tcPr>
            <w:tcW w:w="1080" w:type="dxa"/>
            <w:vAlign w:val="bottom"/>
            <w:gridSpan w:val="3"/>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VIE’s</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ind w:left="140"/>
              <w:spacing w:after="0" w:line="136" w:lineRule="exact"/>
              <w:rPr>
                <w:sz w:val="20"/>
                <w:szCs w:val="20"/>
                <w:color w:val="auto"/>
              </w:rPr>
            </w:pPr>
            <w:r>
              <w:rPr>
                <w:rFonts w:ascii="Times New Roman" w:cs="Times New Roman" w:eastAsia="Times New Roman" w:hAnsi="Times New Roman"/>
                <w:sz w:val="13"/>
                <w:szCs w:val="13"/>
                <w:color w:val="auto"/>
              </w:rPr>
              <w:t>Mobile content aggregator and</w:t>
            </w:r>
          </w:p>
        </w:tc>
      </w:tr>
      <w:tr>
        <w:trPr>
          <w:trHeight w:val="161"/>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(Note (ii))</w:t>
            </w:r>
          </w:p>
        </w:tc>
        <w:tc>
          <w:tcPr>
            <w:tcW w:w="1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subsidiary</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36.8 %</w:t>
            </w: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May 2017</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The PRC</w:t>
            </w:r>
          </w:p>
        </w:tc>
        <w:tc>
          <w:tcPr>
            <w:tcW w:w="1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online advertising</w:t>
            </w:r>
          </w:p>
        </w:tc>
      </w:tr>
      <w:tr>
        <w:trPr>
          <w:trHeight w:val="136"/>
        </w:trPr>
        <w:tc>
          <w:tcPr>
            <w:tcW w:w="29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Anhui  Myhayo  Technology  Co.,  Ltd.  (“Anhui</w:t>
            </w:r>
          </w:p>
        </w:tc>
        <w:tc>
          <w:tcPr>
            <w:tcW w:w="1080" w:type="dxa"/>
            <w:vAlign w:val="bottom"/>
            <w:gridSpan w:val="3"/>
          </w:tcPr>
          <w:p>
            <w:pPr>
              <w:ind w:left="140"/>
              <w:spacing w:after="0" w:line="136" w:lineRule="exact"/>
              <w:rPr>
                <w:sz w:val="20"/>
                <w:szCs w:val="20"/>
                <w:color w:val="auto"/>
              </w:rPr>
            </w:pPr>
            <w:r>
              <w:rPr>
                <w:rFonts w:ascii="Times New Roman" w:cs="Times New Roman" w:eastAsia="Times New Roman" w:hAnsi="Times New Roman"/>
                <w:sz w:val="13"/>
                <w:szCs w:val="13"/>
                <w:color w:val="auto"/>
              </w:rPr>
              <w:t>VIE’s</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3"/>
                <w:szCs w:val="13"/>
                <w:color w:val="auto"/>
              </w:rPr>
              <w:t>September</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2"/>
          </w:tcPr>
          <w:p>
            <w:pPr>
              <w:ind w:left="140"/>
              <w:spacing w:after="0" w:line="136" w:lineRule="exact"/>
              <w:rPr>
                <w:sz w:val="20"/>
                <w:szCs w:val="20"/>
                <w:color w:val="auto"/>
              </w:rPr>
            </w:pPr>
            <w:r>
              <w:rPr>
                <w:rFonts w:ascii="Times New Roman" w:cs="Times New Roman" w:eastAsia="Times New Roman" w:hAnsi="Times New Roman"/>
                <w:sz w:val="13"/>
                <w:szCs w:val="13"/>
                <w:color w:val="auto"/>
              </w:rPr>
              <w:t>Mobile content aggregator and</w:t>
            </w:r>
          </w:p>
        </w:tc>
      </w:tr>
      <w:tr>
        <w:trPr>
          <w:trHeight w:val="161"/>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Myhayo”) (Note (ii))</w:t>
            </w:r>
          </w:p>
        </w:tc>
        <w:tc>
          <w:tcPr>
            <w:tcW w:w="10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subsidiary</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36.8 %</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2018</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The PRC</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online advertising</w:t>
            </w:r>
          </w:p>
        </w:tc>
      </w:tr>
      <w:tr>
        <w:trPr>
          <w:trHeight w:val="136"/>
        </w:trPr>
        <w:tc>
          <w:tcPr>
            <w:tcW w:w="29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Changyi  (Shanghai)  Information  Technology  Ltd.</w:t>
            </w: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161"/>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(“Changyi”) (Note (iii))</w:t>
            </w:r>
          </w:p>
        </w:tc>
        <w:tc>
          <w:tcPr>
            <w:tcW w:w="1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Subsidiary</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100 %</w:t>
            </w: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January 2014</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The PRC</w:t>
            </w:r>
          </w:p>
        </w:tc>
        <w:tc>
          <w:tcPr>
            <w:tcW w:w="1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SaaS products and services</w:t>
            </w:r>
          </w:p>
        </w:tc>
      </w:tr>
      <w:tr>
        <w:trPr>
          <w:trHeight w:val="136"/>
        </w:trPr>
        <w:tc>
          <w:tcPr>
            <w:tcW w:w="298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Xi’an Changzhan Information Technology Ltd. (“Xian</w:t>
            </w: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tcPr>
          <w:p>
            <w:pPr>
              <w:spacing w:after="0"/>
              <w:rPr>
                <w:sz w:val="11"/>
                <w:szCs w:val="11"/>
                <w:color w:val="auto"/>
              </w:rPr>
            </w:pPr>
          </w:p>
        </w:tc>
      </w:tr>
      <w:tr>
        <w:trPr>
          <w:trHeight w:val="161"/>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Changyi”)</w:t>
            </w:r>
          </w:p>
        </w:tc>
        <w:tc>
          <w:tcPr>
            <w:tcW w:w="108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rPr>
              <w:t>Subsidiary</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100 %</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August 2019</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The PRC</w:t>
            </w: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SaaS products and services</w:t>
            </w:r>
          </w:p>
        </w:tc>
      </w:tr>
      <w:tr>
        <w:trPr>
          <w:trHeight w:val="136"/>
        </w:trPr>
        <w:tc>
          <w:tcPr>
            <w:tcW w:w="2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40"/>
              <w:spacing w:after="0" w:line="136" w:lineRule="exact"/>
              <w:rPr>
                <w:sz w:val="20"/>
                <w:szCs w:val="20"/>
                <w:color w:val="auto"/>
              </w:rPr>
            </w:pPr>
            <w:r>
              <w:rPr>
                <w:rFonts w:ascii="Times New Roman" w:cs="Times New Roman" w:eastAsia="Times New Roman" w:hAnsi="Times New Roman"/>
                <w:sz w:val="13"/>
                <w:szCs w:val="13"/>
                <w:color w:val="auto"/>
              </w:rPr>
              <w:t>September</w:t>
            </w: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r>
      <w:tr>
        <w:trPr>
          <w:trHeight w:val="161"/>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Optimal Power Limited (“Optimal”)</w:t>
            </w:r>
          </w:p>
        </w:tc>
        <w:tc>
          <w:tcPr>
            <w:tcW w:w="1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Subsidiary</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100 %</w:t>
            </w: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2019</w:t>
            </w:r>
          </w:p>
        </w:tc>
        <w:tc>
          <w:tcPr>
            <w:tcW w:w="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BVI</w:t>
            </w:r>
          </w:p>
        </w:tc>
        <w:tc>
          <w:tcPr>
            <w:tcW w:w="1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Investment holding</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jc w:val="both"/>
        <w:ind w:left="1340" w:right="20" w:hanging="657"/>
        <w:spacing w:after="0" w:line="266" w:lineRule="auto"/>
        <w:tabs>
          <w:tab w:leader="none" w:pos="1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for the impacts from the transactions detailed in Note (iii) below, there was no change in iClick Cayman’s effective interest held through equity ownership/ contractual arrangements over the principal subsidiaries and consolidated VIE and the VIE’s subsidiaries during the years ended December 31, 2021, 2022 and 2023.</w:t>
      </w:r>
    </w:p>
    <w:p>
      <w:pPr>
        <w:spacing w:after="0" w:line="175" w:lineRule="exact"/>
        <w:rPr>
          <w:rFonts w:ascii="Times New Roman" w:cs="Times New Roman" w:eastAsia="Times New Roman" w:hAnsi="Times New Roman"/>
          <w:sz w:val="18"/>
          <w:szCs w:val="18"/>
          <w:color w:val="auto"/>
        </w:rPr>
      </w:pPr>
    </w:p>
    <w:p>
      <w:pPr>
        <w:jc w:val="both"/>
        <w:ind w:left="1340" w:hanging="657"/>
        <w:spacing w:after="0" w:line="266" w:lineRule="auto"/>
        <w:tabs>
          <w:tab w:leader="none" w:pos="1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iClick Cayman owns less than 50% ownership in these entities, these entities are consolidated as iClick Cayman obtains control with its controlling voting right at the level of both shareholders and board of directors pursuant to agreements with other investors of these entities.</w:t>
      </w:r>
    </w:p>
    <w:p>
      <w:pPr>
        <w:spacing w:after="0" w:line="175" w:lineRule="exact"/>
        <w:rPr>
          <w:rFonts w:ascii="Times New Roman" w:cs="Times New Roman" w:eastAsia="Times New Roman" w:hAnsi="Times New Roman"/>
          <w:sz w:val="18"/>
          <w:szCs w:val="18"/>
          <w:color w:val="auto"/>
        </w:rPr>
      </w:pPr>
    </w:p>
    <w:p>
      <w:pPr>
        <w:jc w:val="both"/>
        <w:ind w:left="1340" w:hanging="657"/>
        <w:spacing w:after="0" w:line="255" w:lineRule="auto"/>
        <w:tabs>
          <w:tab w:leader="none" w:pos="1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and during the year ended December 31, 2021, iClick Cayman held 59.84% equity interest of Changyi. In August 2022, iClick Cayman acquired the remaining 40.16% equity interest of Changyi from non-controlling interests using cash consideration of US$722 and 1,545,663 class A ordinary shares of iClick Cayman with a fair market value of US$1,577, resulting in a transfer of non-controlling interests of US$833 to additional paid-in capital for the year ended December 31, 2022. Out of the 1,545,663 consideration ordinary shares, 386,415 and 386,419 shares were issued in 2022 and 2023, respectively. The remaining 772,829 shares will be issued by two instalments in 2024 and 2025. Upon completion of this transaction in 2022, iClick Cayman owns 100% equity interests in Changyi.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58"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iClick Cayman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Company’s operations are conducted through Beijing OptAim and its subsidiaries (together, “OptAim VIE”). OptAim WFOE, a wholly-owned subsidiary of iClick Cayman, or a wholly foreign owned enterprise (“WFOE”) of iClick Cayman, entered into a series of contractual agreements among Beijing OptAim and Beijing OptAim’s legal shareholders.</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evaluated the contractual relationships among iClick Cayman, OptAim WFOE and OptAim VIE as detailed below, and concluded that OptAim WFOE is the primary beneficiary of OptAim VIE. As a result, OptAim VIE’s results of operations, assets and liabilities have been included in the Company’s consolidated financial statements.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an internal restructuring within the Company in 2021 to move the VIE structure from OptAim WFOE to Beijing WFOE (being another wholly-owned subsidiary of iClick Cayman in the PRC), on November 1, 2021, the VIE contractual agreements as detailed below were amended and restated, which were to provide Beijing WFOE with the power, rights and obligations equivalent in all material respects to those it would possess as the principal equity holder of OptAim VIE by signing such contractual agreements among Beijing OptAim and Beijing OptAim’s legal shareholders to have Beijing WFOE replacing OptAim WFOE as the primary beneficiary of OptAim VIE.</w:t>
      </w:r>
    </w:p>
    <w:p>
      <w:pPr>
        <w:spacing w:after="0" w:line="18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OptAim VIE</w:t>
      </w:r>
    </w:p>
    <w:p>
      <w:pPr>
        <w:spacing w:after="0" w:line="22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Cayman’s relationships with Beijing OptAim and its shareholders are governed by the following contractual arrangements:</w:t>
      </w:r>
    </w:p>
    <w:p>
      <w:pPr>
        <w:spacing w:after="0" w:line="162" w:lineRule="exact"/>
        <w:rPr>
          <w:sz w:val="20"/>
          <w:szCs w:val="20"/>
          <w:color w:val="auto"/>
        </w:rPr>
      </w:pPr>
    </w:p>
    <w:p>
      <w:pPr>
        <w:ind w:left="1340" w:hanging="657"/>
        <w:spacing w:after="0"/>
        <w:tabs>
          <w:tab w:leader="none" w:pos="13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 Agreement</w:t>
      </w:r>
    </w:p>
    <w:p>
      <w:pPr>
        <w:spacing w:after="0" w:line="22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Under the cooperative agreement between OptAim WFOE/Beijing WFOE and Beijing OptAim, OptAim WFOE/Beijing WFOE has the exclusive right to provide to Beijing OptAim, among others, technical consulting, technical support, business consulting, and appointment and dismissal of employees. OptAim WFOE/Beijing WFOE will collect a fee from Beijing OptAim to be determined at the sole discretion of OptAim WFOE/Beijing WFOE. The term of this agreement will not expire unless OptAim WFOE/Beijing WFOE provides prior written notice to Beijing OptAim.</w:t>
      </w:r>
    </w:p>
    <w:p>
      <w:pPr>
        <w:spacing w:after="0" w:line="187" w:lineRule="exact"/>
        <w:rPr>
          <w:sz w:val="20"/>
          <w:szCs w:val="20"/>
          <w:color w:val="auto"/>
        </w:rPr>
      </w:pPr>
    </w:p>
    <w:p>
      <w:pPr>
        <w:ind w:left="1340" w:hanging="657"/>
        <w:spacing w:after="0"/>
        <w:tabs>
          <w:tab w:leader="none" w:pos="1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Option Agreement</w:t>
      </w:r>
    </w:p>
    <w:p>
      <w:pPr>
        <w:spacing w:after="0" w:line="225"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The parties to the purchase option agreement are OptAim WFOE/Beijing WFOE, Beijing OptAim and each of the shareholders of Beijing OptAim. Under the purchase option agreement, each of the shareholders of Beijing OptAim irrevocably granted OptAim WFOE/Beijing WFOE or its designated representative(s) an exclusive option to purchase, to the extent permitted under PRC law, all or part of its equity interests in Beijing OptAim. OptAim WFOE/Beijing WFOE or its designated representative(s) have sole discretion as to when to exercise such options, either in part or in full. Without prior written consent from OptAim WFOE/Beijing WFOE, Beijing OptAim’s shareholders shall not sell, transfer, mortgage or otherwise dispose their equity interests in Beijing OptAim. The agreement will not expire until all shares of Beijing OptAim are transferred to OptAim WFOE/Beijing WFOE or its designated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58"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subsidiaries (Continued)</w:t>
      </w:r>
    </w:p>
    <w:p>
      <w:pPr>
        <w:spacing w:after="0" w:line="229" w:lineRule="exact"/>
        <w:rPr>
          <w:rFonts w:ascii="Times New Roman" w:cs="Times New Roman" w:eastAsia="Times New Roman" w:hAnsi="Times New Roman"/>
          <w:sz w:val="18"/>
          <w:szCs w:val="18"/>
          <w:b w:val="1"/>
          <w:bCs w:val="1"/>
          <w:color w:val="auto"/>
        </w:rPr>
      </w:pPr>
    </w:p>
    <w:p>
      <w:pPr>
        <w:ind w:left="1340" w:hanging="657"/>
        <w:spacing w:after="0"/>
        <w:tabs>
          <w:tab w:leader="none" w:pos="13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Pursuant to the irrevocable power of attorney executed by the shareholders of Beijing OptAim, Beijing OptAim appointed OptAim WFOE/Beijing WFOE as its attorney-in-fact to exercise all shareholders’ rights in Beijing OptAim, including, without limitation, the power to vote on all matters of Beijing OptAim.</w:t>
      </w:r>
    </w:p>
    <w:p>
      <w:pPr>
        <w:spacing w:after="0" w:line="176"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Beijing OptAim requires shareholder approval under PRC laws and regulations and the articles of association of Beijing OptAim. The power of attorney will remain in force until OptAim WFOE/Beijing WFOE provides prior written notice to Beijing OptAim.</w:t>
      </w:r>
    </w:p>
    <w:p>
      <w:pPr>
        <w:spacing w:after="0" w:line="176" w:lineRule="exact"/>
        <w:rPr>
          <w:sz w:val="20"/>
          <w:szCs w:val="20"/>
          <w:color w:val="auto"/>
        </w:rPr>
      </w:pPr>
    </w:p>
    <w:p>
      <w:pPr>
        <w:ind w:left="1340" w:hanging="657"/>
        <w:spacing w:after="0"/>
        <w:tabs>
          <w:tab w:leader="none" w:pos="1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Agreement</w:t>
      </w:r>
    </w:p>
    <w:p>
      <w:pPr>
        <w:spacing w:after="0" w:line="225"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Pursuant to the pledge agreement between OptAim WFOE/Beijing WFOE and the shareholders of Beijing OptAim, the shareholders of Beijing OptAim have pledged all of their equity interests in Beijing OptAim to OptAim WFOE/Beijing WFOE to guarantee the performance by Beijing OptAim under the cooperative agreement, purchase option agreement, and powers of attorney. If Beijing OptAim and/or its shareholders breach their contractual obligations under those agreements, OptAim WFOE/Beijing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 The shareholders of Beijing OptAim have completed the registration of the equity pledge with the relevant office of the Administration for Industry and Commerce in accordance with the PRC Property Rights Law on June 21, 2017.</w:t>
      </w:r>
    </w:p>
    <w:p>
      <w:pPr>
        <w:spacing w:after="0" w:line="19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Through the aforementioned contractual agreements, OptAim VIE is considered VIE in accordance with Generally Accepted Accounting Principles in the United States (“U.S. GAAP”) because iClick Cayman, through OptAim WFOE/Beijing WFOE, has the ability to:</w:t>
      </w:r>
    </w:p>
    <w:p>
      <w:pPr>
        <w:spacing w:after="0" w:line="176" w:lineRule="exact"/>
        <w:rPr>
          <w:sz w:val="20"/>
          <w:szCs w:val="20"/>
          <w:color w:val="auto"/>
        </w:rPr>
      </w:pPr>
    </w:p>
    <w:p>
      <w:pPr>
        <w:ind w:left="1340" w:hanging="657"/>
        <w:spacing w:after="0" w:line="282" w:lineRule="auto"/>
        <w:tabs>
          <w:tab w:leader="none" w:pos="1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VIE whereby having the power to direct OptAim VIE’s activities that most significantly drive the economic results of OptAim VIE;</w:t>
      </w:r>
    </w:p>
    <w:p>
      <w:pPr>
        <w:spacing w:after="0" w:line="161" w:lineRule="exact"/>
        <w:rPr>
          <w:rFonts w:ascii="Times New Roman" w:cs="Times New Roman" w:eastAsia="Times New Roman" w:hAnsi="Times New Roman"/>
          <w:sz w:val="18"/>
          <w:szCs w:val="18"/>
          <w:color w:val="auto"/>
        </w:rPr>
      </w:pPr>
    </w:p>
    <w:p>
      <w:pPr>
        <w:ind w:left="1340" w:hanging="657"/>
        <w:spacing w:after="0" w:line="282" w:lineRule="auto"/>
        <w:tabs>
          <w:tab w:leader="none" w:pos="1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and residual returns, and absorb substantially all the risks and expected losses from OptAim VIE as if it was their sole shareholder; and</w:t>
      </w:r>
    </w:p>
    <w:p>
      <w:pPr>
        <w:spacing w:after="0" w:line="161" w:lineRule="exact"/>
        <w:rPr>
          <w:rFonts w:ascii="Times New Roman" w:cs="Times New Roman" w:eastAsia="Times New Roman" w:hAnsi="Times New Roman"/>
          <w:sz w:val="18"/>
          <w:szCs w:val="18"/>
          <w:color w:val="auto"/>
        </w:rPr>
      </w:pPr>
    </w:p>
    <w:p>
      <w:pPr>
        <w:ind w:left="1340" w:hanging="657"/>
        <w:spacing w:after="0"/>
        <w:tabs>
          <w:tab w:leader="none" w:pos="13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of the equity interests in OptAim VIE.</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of December 31, 2022 and 2023, the total assets of OptAim VIE (excluding amounts due from subsidiaries of the Company) were US$7,110 and US$6,017, respectively, mainly comprising cash and cash equivalents, accounts receivable, prepaid media costs, property and equipment, intangible assets, right-of-use assets, other long-term investment and other assets. As of December 31, 2022 and 2023, the total liabilities of OptAim VIE (excluding amounts due to subsidiaries of the Company) were US$5,188 and US$4,233 respectively, mainly comprising accounts payable, deferred revenue, lease liabilities, bank borrowings, income tax payable, accrued liabilities and other current liabilities, and deferred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58"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225"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subsidiaries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aforementioned agreements, iClick Cayman has the power to direct activities of OptAim VIE, and can have assets transferred out of OptAim VIE. Therefore iClick Cayman considers that there is no asset in OptAim VIE that can be used only to settle obligations of OptAim VIE, except for registered capital and PRC statutory reserves of OptAim VIE amounting to US$2,081 and US$2,081, respectively, as of December 31, 2022 and 2023. As Beijing OptAim and its subsidiaries were incorporated as limited liability companies under the PRC Company Law, the creditors do not have recourse to the general credit of iClick Cayman for all the liabilities of OptAim VIE. Currently there is no contractual arrangement that could require iClick Cayman to provide additional financial support to OptAim VIE.</w:t>
      </w:r>
    </w:p>
    <w:p>
      <w:pPr>
        <w:spacing w:after="0" w:line="188"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iClick Cayman is conducting its PRC online advertising services business through OptAim VIE, iClick Cayman will, if needed, provide such support on a discretion basis in the future, which could expose iClick Cayman to a loss.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no VIE where iClick Cayman has variable interest but is not the primary beneficiary.</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opinion of iClick Cayman’s management, the contractual arrangements among its subsidiary, the VIE and the nominee shareholder are in compliance with current PRC laws and are legally binding and enforceable. However, uncertainties in the interpretation and enforcement of the PRC laws, regulations and policies could limit iClick Cayman’s ability to enforce these contractual arrangements. In addition, the nominee shareholder of the VIE is Mr. Jian Tang, the chairman of our board of directors and our chief executive officer, who controls around 30% of iClick Cayman in terms of voting power. Therefore, the enforceability of the contractual agreements between iClick Cayman’s subsidiary, the VIE and its nominee shareholder depends on whether the shareholder will fulfil these contractual agreements. As a result, iClick Cayman may be unable to consolidate the VIE and VIE’s subsidiaries in the consolidated financial statements.</w:t>
      </w:r>
    </w:p>
    <w:p>
      <w:pPr>
        <w:spacing w:after="0" w:line="19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Cayman’s ability to control OptAim VIE also depends on the power of attorney and the effect of the share pledge under the Pledge Agreement and OptAim WFOE/Beijing WFOE has to vote on all matters requiring shareholder approval in OptAim VIE. As noted above, iClick Cayman believes this power of attorney is legally enforceable but may not be as effective as direct equity ownership.</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shares to a new investor in 2021</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share subscription agreement entered into between iClick Cayman and a new investor Baozun Inc. (“Baozun”) in January 2021, iClick Cayman has issued a total of 649,349 Class B ordinary shares to Baozun for net cash proceeds received by iClick Cayman, after deducting an incremental cost of US$213, of US$17,010.</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proceeds received by iClick Cayman from the issuance of Class B ordinary shares to Baozun were calculated at US$26.52 per share, which was at discount as compared to the fair value of US$28.88 as determined based on the closing stock price as of the date of share issuance. The total discount of this share issuance amounting to US$1,530 represented an incentive to Baozun to enter into the strategic cooperation framework agreement with iClick Cayman, which was recognized as share-based compensation expenses in the consolidated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225"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Going concern and basis of preparation</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in accordance with the U.S. GAAP. Significant accounting policies followed by iClick Cayman in the preparation of the accompanying consolidated financial statements are summarized below.</w:t>
      </w:r>
    </w:p>
    <w:p>
      <w:pPr>
        <w:spacing w:after="0" w:line="121"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from November 14, 2022, iClick Cayman changed the ratio of the ADS representing its Class A ordinary shares from one ADS representing one-half of one Class A ordinary share to one ADS representing five Class A ordinary shares.</w:t>
      </w:r>
    </w:p>
    <w:p>
      <w:pPr>
        <w:spacing w:after="0" w:line="13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Liquidity and Capital Resources</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had continuing losses from operations since inception. The Company incurred net loss of US$16,598, US$202,806 and US$38,870 for the years ended December 31, 2021, 2022 and 2023, respectively. Accumulated deficit was amounted to US$422,112 and US$460,802 as of December 31, 2022 and 2023, respectively. Cash flows from operating activities were a net outflow of US$19,673, a net inflow of US$71,104 and a net outflow of US$19,426 for the years ended December 31, 2021, 2022 and 2023, respectively. As of December 31, 2023, certain financial covenant as set out in one of the loan agreements related to outstanding bank borrowings of RMB114.5 million (equivalent to US$20.0 million) due for repayment in March 2024 (which was subsequently extended to June 2024) was breached (see note 17) and the Company has subsequently obtained a waiver letter such that the bank would not demand early repayment from the Company before maturity of the borrowings. Net cash position (as calculated by the total of (i) cash and cash equivalents, (ii) time deposits, and (iii) restricted cash, net off with (i) bank borrowings) decreased significantly from US$61.0 million as of December 31, 2022 to US$39.4 million as of December 31, 2023. Such conditions and events raised substantial doubt about the Company’s ability to continue as a going concern.</w:t>
      </w:r>
    </w:p>
    <w:p>
      <w:pPr>
        <w:spacing w:after="0" w:line="14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has developed a business plan to maintain the Company’s gross profit, control operating costs and manage working capital going forward. Based on this plan, management prepared a cash flow projection covering a period of next twelve months from the date of issuance of the consolidated financial statements (“Projection Period”), which has taken into account the anticipated cash flows to be generated from the Company’s future operations and existing balance of cash and cash equivalents, time deposits, and restricted cash as at December 31, 2023.</w:t>
      </w:r>
    </w:p>
    <w:p>
      <w:pPr>
        <w:spacing w:after="0" w:line="142"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management’s cash flow projection and liquidity assessment, management is of the opinion that the Company has sufficient funds to meet its obligations or liabilities when they become due, and provide the required working capital and liquidity for continuous operation over the next twelve months from the date of issuance of these consolidated financial statements, despite the fact that the liquidity may continue to deteriorate shortly after the Projection Period. As a result, management concluded that the business plan, when implemented effectively, will alleviate the substantial doubt on the Company’s ability to continue as a going concern over the next twelve months from the date of issuance of these consolidated financial statements. Accordingly, the Company’s consolidated financial statements have been prepared on a going concern basis, which contemplates the realization of assets and liquidation of liabilities during the normal course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13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that revenue recognition in determining whether iClick Cayman is the principal or an agent to the arrangements with merchants, allowance for credit losses on accounts receivable, impairment assessment of goodwill and long-lived assets, fair value determination related to the accounting for business combinations, and impairment assessment of investments in equity securities without readily determinable fair value reflect more significant judgments and estimates used in the preparation of its consolidated financial statements.</w:t>
      </w:r>
    </w:p>
    <w:p>
      <w:pPr>
        <w:spacing w:after="0" w:line="1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13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consolidated financial statements include the financial statements of iClick Cayman, its subsidiaries, its VIE and a VIE’s subsidiaries for which iClick Cayman or its subsidiary is the primary beneficiary. All transactions and balances among iClick Cayman, its subsidiaries, its VIE and a VIE’s subsidiaries have been eliminated upon consolidation.</w:t>
      </w:r>
    </w:p>
    <w:p>
      <w:pPr>
        <w:spacing w:after="0" w:line="13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subsidiary is an entity in which iClick Cayman,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52"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VIE is an entity in which iClick Cayman, or its subsidiary, through contractual agreements, bears the risks of, and enjoys the rewards normally associated with ownership of the entity. In determining whether iClick Cayman or its subsidiaries are the primary beneficiary, iClick Cayman considered whether it has the power to direct activities that are significant to the VIE’s economic performance, and also the Company’s obligation to absorb losses of the VIE that could potentially be significant to the VIE or the right to receive benefits from the VIE that could potentially be significant to the VIE. Beijing WFOE and ultimately iClick Cayman hold all the variable interests of the VIE and its subsidiaries, and has been determined to be the primary beneficiary of the VIE.</w:t>
      </w:r>
    </w:p>
    <w:p>
      <w:pPr>
        <w:spacing w:after="0" w:line="14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Non-controlling interests are recognized to reflect the portion of their equity that is not attributable, directly or indirectly, to iClick Cayman as the controlling shareholder. Non-controlling interests in the results and equity of subsidiaries are shown separately in the consolidated statement of comprehensive loss, statement of changes in equity and balance sheet,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reporting currency of iClick Cayman is the United States dollars (“US$”). iClick Cayman is a holding company engaged in capital raising and financing activities denominated in US$. As such, iClick Cayman’s functional currency has been determined to be the US$. The functional currency of iClick Cayman’s subsidiaries is the local currency of the country in which they are domiciled.</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gains/(losses),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equity and comprehensive loss.</w:t>
      </w:r>
    </w:p>
    <w:p>
      <w:pPr>
        <w:spacing w:after="0" w:line="18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When available, iClick Cayman uses quoted market prices to determine the fair value of an asset or liability. If quoted market prices are not available, the Company will measure fair value using valuation techniques that use, when possible, current market-based or independently sourced market parameters, such as interest rates and currency rates. Valuation techniques used to measure fair value must maximize the use of observable inputs and minimize the use of unobservable inputs.</w:t>
      </w:r>
    </w:p>
    <w:p>
      <w:pPr>
        <w:spacing w:after="0" w:line="18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measurements are based on a fair value hierarchy, based on three levels of inputs, of which the first two are considered observable and the last unobservable, that may be used to measure fair value which are the following:</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 Quoted prices (unadjusted) in active markets for identical assets or liabilities that iClick Cayman has the ability to access at the measurement date.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such as quoted market prices for similar assets and liabilities;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 Unobservable inputs to the valuation methodology that are significant to the measurement of the fair value of the assets or liabilities.</w:t>
      </w:r>
    </w:p>
    <w:p>
      <w:pPr>
        <w:spacing w:after="0" w:line="162" w:lineRule="exact"/>
        <w:rPr>
          <w:sz w:val="20"/>
          <w:szCs w:val="20"/>
          <w:color w:val="auto"/>
        </w:rPr>
      </w:pPr>
    </w:p>
    <w:p>
      <w:pPr>
        <w:ind w:left="1340" w:hanging="657"/>
        <w:spacing w:after="0"/>
        <w:tabs>
          <w:tab w:leader="none" w:pos="13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 on a recurring basis</w:t>
      </w:r>
    </w:p>
    <w:p>
      <w:pPr>
        <w:spacing w:after="0" w:line="185"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Observable inputs are based on market data obtained from independent sources. iClick Cayman uses a combination of valuation methodologies, including market and income approaches based on iClick Cayman’s best estimate, which is determined by using information including but not limited to the pricing of recent rounds of financing of the investees, future cash flow forecasts, liquidity factors and multiples of a selection of comparable companies. iClick Cayman’s contingent consideration (Note 4 (a)), and debt investments (Note 2(k)) are measured using unobservable inputs that require a high level of judgment to determine fair value, and thus classified as Level 3 (Note 3(c)).</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(Continued)</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iClick Cayman values its investments in wealth management products issued by banks classified as short-term investments in the consolidated balance sheets (Note 2(k)) using quoted subscription or redemption prices published by the banks and financial institution. Accordingly, iClick Cayman classifies the valuation techniques that use these inputs as Level 2.</w:t>
      </w:r>
    </w:p>
    <w:p>
      <w:pPr>
        <w:spacing w:after="0" w:line="13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carrying amounts of cash and cash equivalents, time deposits, restricted cash, accounts receivable, amount due from an equity investee, rebates receivable, accounts payable, other financial assets and liabilities approximate their fair values due to the short-term nature of these instruments. Based on the borrowing rates currently available to the Company for debt with similar terms, the carrying amounts of the short-term bank borrowings approximate their fair values (using Level 2 inputs).</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values its listed equity securities using quoted prices for the underlying securities in active markets.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Accordingly, the Company classifies the valuation techniques that use these inputs as Level 1.</w:t>
      </w:r>
    </w:p>
    <w:p>
      <w:pPr>
        <w:spacing w:after="0" w:line="166" w:lineRule="exact"/>
        <w:rPr>
          <w:sz w:val="20"/>
          <w:szCs w:val="20"/>
          <w:color w:val="auto"/>
        </w:rPr>
      </w:pPr>
    </w:p>
    <w:p>
      <w:pPr>
        <w:ind w:left="1340" w:hanging="657"/>
        <w:spacing w:after="0"/>
        <w:tabs>
          <w:tab w:leader="none" w:pos="1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 on a non-recurring basis</w:t>
      </w:r>
    </w:p>
    <w:p>
      <w:pPr>
        <w:spacing w:after="0" w:line="18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Company measures an equity investment accounted for using the equity method at fair value on a non-recurring basis only if an impairment charge were to be recognized. For the years ended December 31, 2021, 2022 and 2023, no impairments were recorded on the investment in an equity investee which would require fair value measurement on a non-recurring basis.</w:t>
      </w:r>
    </w:p>
    <w:p>
      <w:pPr>
        <w:spacing w:after="0" w:line="153"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Equity investments accounted for using the net asset value per share as a practical expedient (Note 2(k)(i)) and measurement alternative (Note 2(m)) are generally not categorized in the fair value hierarchy. However, if equity investments without readily determinable fair values accounted for using the measurement alternative were re-measured during the year, they would be classified within Level 3 in the fair value hierarchy because the Company estimated the value of the investments based on valuation methods using the observable transaction price at the transaction date and other unobservable inputs. See Note 2(m) for details.</w:t>
      </w:r>
    </w:p>
    <w:p>
      <w:pPr>
        <w:spacing w:after="0" w:line="143"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restricted cash</w:t>
      </w:r>
    </w:p>
    <w:p>
      <w:pPr>
        <w:spacing w:after="0" w:line="188"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12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2022 and 2023, the Company’s restricted cash mainly represents balance held in restricted bank accounts as required by certain loan agreements and escrow amount deposited for a business acquisition.</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deposits</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deposits represent demand deposits placed with banks with original maturities of more than three months but less than one year. Interest income is recognized using the effective interest method in the consolidated statements of comprehensive loss during the periods. Time deposits are valued based on the prevailing interest rates in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are presented net of allowance for credit losses. The Company evaluates its accounts receivable for expected credit losses on a regular basis. The Company maintains an estimated allowance for credit losses which reflects its best estimate of amounts that potentially will not be collected. See Note 2(j) for details of current expected credit losses on accounts receivable.</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Rebates receivable</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Rebates receivable represent sales rebates that have already been earned but not received from third party publishers. The Company earns its rebates from purchasing advertising spaces from these website publishers.</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expected credit losses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cash and cash equivalents, time deposits, restricted cash, accounts receivable, amount due from an equity investee, rebates receivable, other current assets and other assets are within the scope of current expected credit losses assessment. The Company has identified the relevant risk characteristics of its customers and the related receivables and other current assets which include size, type of the services the Company provides, or a combination of these characteristics. Receivables with similar risk characteristics have been grouped into pools for collective evaluation. Receivables that do not share similar risk characteristics are evaluated on an individual basis and are not included in the collective evaluation. For each pool for collective evaluation, the Company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Company’s receivables. Additionally, external data and macroeconomic factors are also considered. This is assessed at each quarter based on specific facts and circumstances.</w:t>
      </w:r>
    </w:p>
    <w:p>
      <w:pPr>
        <w:spacing w:after="0" w:line="122"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estimated the allowance for credit losses on loans and interest receivable as included in other current assets (2022: other assets) on the consolidated balance sheets not sharing similar risk characteristics on an individual basis. The key factors considered when determining the above allowances for credit losses include the estimated loan collection schedule under different scenarios and their corresponding probability of occurrence, discount rate, financial condition and performance data of the borrowers and their cash flow forecasts considering current and future economic conditions.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expected credit losses (Continued)</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movement in the allowance for credit losses for the years ended December 31, 2022 and 2023.</w:t>
      </w: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2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Loans and interest receivable</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440" w:type="dxa"/>
            <w:vAlign w:val="bottom"/>
            <w:gridSpan w:val="3"/>
          </w:tcPr>
          <w:p>
            <w:pPr>
              <w:jc w:val="center"/>
              <w:ind w:left="539"/>
              <w:spacing w:after="0" w:line="149" w:lineRule="exact"/>
              <w:rPr>
                <w:sz w:val="20"/>
                <w:szCs w:val="20"/>
                <w:color w:val="auto"/>
              </w:rPr>
            </w:pPr>
            <w:r>
              <w:rPr>
                <w:rFonts w:ascii="Times New Roman" w:cs="Times New Roman" w:eastAsia="Times New Roman" w:hAnsi="Times New Roman"/>
                <w:sz w:val="14"/>
                <w:szCs w:val="14"/>
                <w:b w:val="1"/>
                <w:bCs w:val="1"/>
                <w:color w:val="auto"/>
              </w:rPr>
              <w:t>(Note)</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220" w:type="dxa"/>
            <w:vAlign w:val="bottom"/>
            <w:gridSpan w:val="5"/>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For the years ended</w:t>
            </w:r>
          </w:p>
        </w:tc>
        <w:tc>
          <w:tcPr>
            <w:tcW w:w="2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00" w:type="dxa"/>
            <w:vAlign w:val="bottom"/>
          </w:tcPr>
          <w:p>
            <w:pPr>
              <w:spacing w:after="0"/>
              <w:rPr>
                <w:sz w:val="15"/>
                <w:szCs w:val="15"/>
                <w:color w:val="auto"/>
              </w:rPr>
            </w:pPr>
          </w:p>
        </w:tc>
        <w:tc>
          <w:tcPr>
            <w:tcW w:w="1440" w:type="dxa"/>
            <w:vAlign w:val="bottom"/>
            <w:tcBorders>
              <w:bottom w:val="single" w:sz="8" w:color="auto"/>
            </w:tcBorders>
            <w:gridSpan w:val="3"/>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Borders>
              <w:bottom w:val="single" w:sz="8" w:color="auto"/>
            </w:tcBorders>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Provision/(reversal) for the year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written off</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w:t>
            </w:r>
          </w:p>
        </w:tc>
        <w:tc>
          <w:tcPr>
            <w:tcW w:w="1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37,215</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29,163</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14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Allowance for credit losses on accounts receivable are estimated by grouping accounts receivable into pools based on relevant credit risk characteristics of the debtors. Accounts receivable relating to debtors with known financial difficulties or significant doubt on collection of receivables are assessed individually for specific provision for impairment allowance. As of December 31, 2022 and 2023, the balance of specific provision for credit losses in respect of these individually assessed receivables was US$20,233 and US$15,092, respectively. Accounts receivable relating to other debtors are assessed collectively for the risk of default, taking into account the nature of the debtor, its geographical location and its ageing category, and applying the expected credit loss rates to the respective gross carrying amounts of accounts receivable. The expected credit loss rates of each pool are determined based on historical loss experience as adjusted with current and forward-looking information such as macroeconomic factors affecting the ability of the debtors to settle the receivables.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w:t>
            </w: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7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investments under current assets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Fund investments (Note (i))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Listed equity securities (Note (ii))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Wealth management products (Note (iii))</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Other long-term investments under non-current assets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Available-for-sale debt investments (Note (iv))</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 investments (Note 2(m))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540" w:type="dxa"/>
            <w:vAlign w:val="bottom"/>
            <w:vMerge w:val="restart"/>
          </w:tcPr>
          <w:p>
            <w:pPr>
              <w:ind w:left="4140"/>
              <w:spacing w:after="0"/>
              <w:rPr>
                <w:sz w:val="20"/>
                <w:szCs w:val="20"/>
                <w:color w:val="auto"/>
              </w:rPr>
            </w:pPr>
            <w:r>
              <w:rPr>
                <w:rFonts w:ascii="Times New Roman" w:cs="Times New Roman" w:eastAsia="Times New Roman" w:hAnsi="Times New Roman"/>
                <w:sz w:val="18"/>
                <w:szCs w:val="18"/>
                <w:color w:val="auto"/>
              </w:rPr>
              <w:t>F-23</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58" w:lineRule="exact"/>
        <w:rPr>
          <w:sz w:val="20"/>
          <w:szCs w:val="20"/>
          <w:color w:val="auto"/>
        </w:rPr>
      </w:pPr>
    </w:p>
    <w:p>
      <w:pPr>
        <w:ind w:left="660" w:hanging="652"/>
        <w:spacing w:after="0"/>
        <w:tabs>
          <w:tab w:leader="none" w:pos="6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161" w:lineRule="exact"/>
        <w:rPr>
          <w:rFonts w:ascii="Times New Roman" w:cs="Times New Roman" w:eastAsia="Times New Roman" w:hAnsi="Times New Roman"/>
          <w:sz w:val="18"/>
          <w:szCs w:val="18"/>
          <w:b w:val="1"/>
          <w:bCs w:val="1"/>
          <w:color w:val="auto"/>
        </w:rPr>
      </w:pPr>
    </w:p>
    <w:p>
      <w:pPr>
        <w:ind w:left="1340" w:hanging="657"/>
        <w:spacing w:after="0"/>
        <w:tabs>
          <w:tab w:leader="none" w:pos="13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investments</w:t>
      </w:r>
    </w:p>
    <w:p>
      <w:pPr>
        <w:spacing w:after="0" w:line="158"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Fund investments over which the Company does not have the ability to exercise significant influence, are required to be measured at fair value under ASC 321 “Investments—Equity Securities” (“ASC 321”). The Company has adopted the practical expedient in ASC 820 “Fair Value Measurements and Disclosures” (“ASC 820”) to estimate fair value using the net asset value per share (or its equivalent) of these investments which were without readily determinable fair value. Fund investments included in the consolidated balance sheet as short-term investments as of December 31, 2022 and 2023 amounted to US$3,665 and US$3,784 respectively and the change in fair value recorded in consolidated statement of comprehensive loss. Fair value change of US$452, US$17 and US$119 were recognized under “other gains/(losses), net” for the years ended December 31, 2021, 2022 and 2023 respectively.</w:t>
      </w:r>
    </w:p>
    <w:p>
      <w:pPr>
        <w:spacing w:after="0" w:line="111" w:lineRule="exact"/>
        <w:rPr>
          <w:sz w:val="20"/>
          <w:szCs w:val="20"/>
          <w:color w:val="auto"/>
        </w:rPr>
      </w:pPr>
    </w:p>
    <w:p>
      <w:pPr>
        <w:ind w:left="1340" w:hanging="657"/>
        <w:spacing w:after="0"/>
        <w:tabs>
          <w:tab w:leader="none" w:pos="13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equity securities</w:t>
      </w:r>
    </w:p>
    <w:p>
      <w:pPr>
        <w:spacing w:after="0" w:line="158"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Investments in listed equity securities are reported at fair value in the consolidated balance sheets and the fair value gains and losses are recorded in the consolidated statements of comprehensive loss under ASU 2016 - 01. Listed equity securities recorded in the consolidated balance sheet as short-term investments as of December 31, 2022 and 2023 amounted to US$1,609 and US$403, respectively, and the fair value gain for the years ended December 31, 2021, 2022 and 2023 recorded in the consolidated statement of comprehensive loss under “other gains/(losses), net” amounted to US$127, US$100 and US$448, respectively.</w:t>
      </w:r>
    </w:p>
    <w:p>
      <w:pPr>
        <w:spacing w:after="0" w:line="120" w:lineRule="exact"/>
        <w:rPr>
          <w:sz w:val="20"/>
          <w:szCs w:val="20"/>
          <w:color w:val="auto"/>
        </w:rPr>
      </w:pPr>
    </w:p>
    <w:p>
      <w:pPr>
        <w:ind w:left="1340" w:hanging="657"/>
        <w:spacing w:after="0"/>
        <w:tabs>
          <w:tab w:leader="none" w:pos="1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management products</w:t>
      </w:r>
    </w:p>
    <w:p>
      <w:pPr>
        <w:spacing w:after="0" w:line="144"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Wealth management products are issued by banks in the PRC which are redeemable by the Company at any time. They are unsecured with variable interest rates and primarily invested in debt securities issued by the PRC government, corporate debt securities and central bank bills. The Company measures these investments at fair value using the quoted subscription or redemption prices published by the bank. Wealth management products recorded in the consolidated balance sheet as short-term investments as of December 31, 2022 and 2023 amounted to US$1,737 and US$1,536 respectively, the fair value gain for the years ended December 31, 2021, 2022 and the fair value loss the years ended December 31, 2023 recorded in the consolidated statement of comprehensive loss under “other gains/(losses), net” amounted to US$9, US$65 and US$1, respectively.</w:t>
      </w:r>
    </w:p>
    <w:p>
      <w:pPr>
        <w:spacing w:after="0" w:line="124" w:lineRule="exact"/>
        <w:rPr>
          <w:sz w:val="20"/>
          <w:szCs w:val="20"/>
          <w:color w:val="auto"/>
        </w:rPr>
      </w:pPr>
    </w:p>
    <w:p>
      <w:pPr>
        <w:ind w:left="1340" w:hanging="657"/>
        <w:spacing w:after="0"/>
        <w:tabs>
          <w:tab w:leader="none" w:pos="1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Available-for-sale debt investments</w:t>
      </w:r>
    </w:p>
    <w:p>
      <w:pPr>
        <w:spacing w:after="0" w:line="158"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Available-for-sale debt investments of the Company include investments in convertible notes issued by two private companies as accounted for under the fair value option, for which the total fair values as of December 31, 2022 and 2023 were US$3,000 and US$3,179, respectively. Interest income and all other changes in the carrying amount of this debt investment are recognized in earnings. The Company recorded fair value gain on debt investments of US$179 (2022: fair value losses of US$2,550)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an equity investee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in an equity investee represents the Company’s investment in a privately held company. The Company applies the equity method to account for an equity investment in common stock or in-substance common stock, according to Accounting Standards Codification (“ASC”) 323 “Investment — Equity Method and Joint Ventures,” over which it has significant influence but does not own a majority equity interest or otherwise control.</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equity method, the Company initially records the investments at cost and the difference between the cost of the equity investee and the fair value of the underlying net assets of the equity investee is recognized as equity method goodwill and intangible assets acquired, which is included in the equity method investments on the consolidated balance sheets. The Company subsequently adjusts the carrying amount of the investments to recognize its (i) proportionate share of each equity investee’s post-acquisition net income or loss into earnings, (ii) share of post-acquisition movements in accumulated other comprehensive income into other comprehensive income, and (iii) cash distributions from investees, after the date of investment. When the Company’s share of loss in the equity investee equals or exceeds its interest in the equity investee, the Company does not recognize further loss, unless the Company has incurred obligations or made payments or guarantees on behalf of the equity investee.</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evaluates its equity method investment for impairment under ASC 323-10. An impairment loss on the equity method investment is recognized in the consolidated statement of comprehensive loss when the decline in value is determined to be other-than-temporary. No impairment loss has been recorded during the years ended December 31, 2021, 2022 and 2023.</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long-term equity investments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other long-term equity investments as of December 31, 2022 and 2023 consist of equity securities without readily determinable fair value.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321 “Investments—Equity Securities”, the Company is required to measure its equity investments at fair value and any changes in fair value are recognized in earnings. For equity investments without readily determinable fair value and does not qualify for the existing practical expedient in ASC 820 to estimate fair value using the net asset value per share (or its equivalent) of the investments, the Company has elected to use the measurement alternative to measure its equity investments at cost, less any impairment, plus or minus changes resulting from observable price changes in orderly transactions for identical or similar investments of the same issuer, if any. Significant judgments are required to determine (i) whether observable price changes are orderly transactions and identical or similar to an investment held by iClick Cayman; and (ii) the selection of appropriate valuation methodologies and underlying assumptions, including expected volatility and the probability of exit events as it relates to liquidation and redemption features used to measure the price adjustments for the difference in rights and obligations between instruments.</w:t>
      </w:r>
    </w:p>
    <w:p>
      <w:pPr>
        <w:spacing w:after="0" w:line="19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Management makes a qualitative assessment as to whether the investment is impaired at each reporting date. If a qualitative assessment indicates that the investment is impaired, management estimates the investment’s fair value in accordance with the principles of ASC 820. If the fair value is less than the investment’s carrying value, iClick Cayman recognizes an impairment loss in net loss equal to the difference between the carrying value and fair value. Management applied judgment in</w:t>
      </w:r>
    </w:p>
    <w:p>
      <w:pPr>
        <w:spacing w:after="0" w:line="3" w:lineRule="exact"/>
        <w:rPr>
          <w:sz w:val="20"/>
          <w:szCs w:val="20"/>
          <w:color w:val="auto"/>
        </w:rPr>
      </w:pPr>
    </w:p>
    <w:p>
      <w:pPr>
        <w:ind w:left="920" w:hanging="264"/>
        <w:spacing w:after="0"/>
        <w:tabs>
          <w:tab w:leader="none" w:pos="9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the investment is impaired, (ii) estimating the impairment amount if an impairment exists, and</w:t>
      </w:r>
    </w:p>
    <w:p>
      <w:pPr>
        <w:spacing w:after="0" w:line="9"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98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valuation methods and key valuation assumptions and data used in estimating the impairment amounts. These judgments consider various factors and events including a) adverse performance of investees; b) adverse industry developments affecting investees; and c) adverse regulatory, social, economic or other developments affecting investees. These judgements include the selection of valuation methods in estimating fair value and the determination of key valuation assumptions used, comprising selection of comparable companies and multiples, and discount for lack of marketability. iClick Cayman recognized impairment losses of US$4,038, US$10,805 and US$1,034 for the years ended December 31, 2021, 2022 and 2023 respectively.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pacing w:after="0" w:line="126"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06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Over the shorter of lease term or 2 – 5 years</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2 – 5 years</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506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3 – 5 years</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Vehicles</w:t>
            </w:r>
          </w:p>
        </w:tc>
        <w:tc>
          <w:tcPr>
            <w:tcW w:w="506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3 – 5 years</w:t>
            </w:r>
          </w:p>
        </w:tc>
      </w:tr>
    </w:tbl>
    <w:p>
      <w:pPr>
        <w:spacing w:after="0" w:line="17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91" w:lineRule="exact"/>
        <w:rPr>
          <w:sz w:val="20"/>
          <w:szCs w:val="20"/>
          <w:color w:val="auto"/>
        </w:rPr>
      </w:pPr>
    </w:p>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accounts for acquisitions of entities that include inputs and processes and have the ability to create outputs as business combinations. The Company accounts for its business combinations using the acquisition method of accounting in accordance with ASC 805 “Business Combinations” (“ASC 805”). The cost of an acquisition is measured as the aggregate of the fair values at the date of exchange of the assets given, liabilities incurred, and equity instruments issued as well as the contingent considerations as of the acquisition date.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comprehensive loss as gain on bargain purchase. During the measurement period, which can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statements of comprehensive loss.</w:t>
      </w:r>
    </w:p>
    <w:p>
      <w:pPr>
        <w:spacing w:after="0" w:line="1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mainly consist of computer software licenses purchased from external parties and computer software and systems, developed technologies, customer relationship, brand name, contract backlog and advertising contract acquired through the acquisitions of subsidiaries. Identifiable intangible assets are carried at acquisition cost less accumulated amortization and impairment loss, if any. Amortization of finite lived intangible assets is computed using the straight-line method over the following estimated useful lives, which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 and systems</w:t>
            </w:r>
          </w:p>
        </w:tc>
        <w:tc>
          <w:tcPr>
            <w:tcW w:w="5400" w:type="dxa"/>
            <w:vAlign w:val="bottom"/>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2 – 5 years</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technologies</w:t>
            </w:r>
          </w:p>
        </w:tc>
        <w:tc>
          <w:tcPr>
            <w:tcW w:w="540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5 years</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w:t>
            </w:r>
          </w:p>
        </w:tc>
        <w:tc>
          <w:tcPr>
            <w:tcW w:w="5400" w:type="dxa"/>
            <w:vAlign w:val="bottom"/>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4 – 5 years</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Brand name</w:t>
            </w:r>
          </w:p>
        </w:tc>
        <w:tc>
          <w:tcPr>
            <w:tcW w:w="540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4 years</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backlog</w:t>
            </w:r>
          </w:p>
        </w:tc>
        <w:tc>
          <w:tcPr>
            <w:tcW w:w="5400" w:type="dxa"/>
            <w:vAlign w:val="bottom"/>
            <w:shd w:val="clear" w:color="auto" w:fill="CCEEFF"/>
          </w:tcPr>
          <w:p>
            <w:pPr>
              <w:ind w:left="4120"/>
              <w:spacing w:after="0"/>
              <w:rPr>
                <w:sz w:val="20"/>
                <w:szCs w:val="20"/>
                <w:color w:val="auto"/>
              </w:rPr>
            </w:pPr>
            <w:r>
              <w:rPr>
                <w:rFonts w:ascii="Times New Roman" w:cs="Times New Roman" w:eastAsia="Times New Roman" w:hAnsi="Times New Roman"/>
                <w:sz w:val="18"/>
                <w:szCs w:val="18"/>
                <w:color w:val="auto"/>
              </w:rPr>
              <w:t>3 years</w:t>
            </w:r>
          </w:p>
        </w:tc>
        <w:tc>
          <w:tcPr>
            <w:tcW w:w="6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Advertising contract</w:t>
            </w:r>
          </w:p>
        </w:tc>
        <w:tc>
          <w:tcPr>
            <w:tcW w:w="540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30 years</w:t>
            </w:r>
          </w:p>
        </w:tc>
        <w:tc>
          <w:tcPr>
            <w:tcW w:w="640" w:type="dxa"/>
            <w:vAlign w:val="bottom"/>
          </w:tcPr>
          <w:p>
            <w:pPr>
              <w:spacing w:after="0"/>
              <w:rPr>
                <w:sz w:val="20"/>
                <w:szCs w:val="20"/>
                <w:color w:val="auto"/>
              </w:rPr>
            </w:pPr>
          </w:p>
        </w:tc>
      </w:tr>
      <w:tr>
        <w:trPr>
          <w:trHeight w:val="846"/>
        </w:trPr>
        <w:tc>
          <w:tcPr>
            <w:tcW w:w="6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0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F-26</w:t>
            </w:r>
          </w:p>
        </w:tc>
      </w:tr>
      <w:tr>
        <w:trPr>
          <w:trHeight w:val="561"/>
        </w:trPr>
        <w:tc>
          <w:tcPr>
            <w:tcW w:w="6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goodwill</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represents the excess of the purchase consideration over the fair value of assets and liabilities of businesses acquired. Goodwill is not subject to regular periodic amortization. Instead, management conducts a goodwill impairment test at the reporting unit level annually in the fourth quarter, or more frequently when events or circumstances occur indicating that the recorded goodwill may be impaired.</w:t>
      </w:r>
    </w:p>
    <w:p>
      <w:pPr>
        <w:spacing w:after="0" w:line="179"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reporting unit is an operating segment or a component of an operating segment which is a business and for which discrete financial information is available and reviewed by a segment manager. The Company’s reporting units include (i) the Marketing Solutions and (ii) the Enterprise Solutions.</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guidance from ASU No. 2017-04, Intangibles - Goodwill and Other (Topic 350): Simplifying the Accounting for Goodwill Impairment, for the purpose of the goodwill impairment test, the Company first assesses qualitative factors to determine whether it is more likely than not that the fair value of the reporting unit is less than its carrying amount. If an initial qualitative assessment identifies that it is more likely than not that the carrying value of a reporting unit exceeds its estimated fair value, an additional quantitative evaluation is performed. Alternatively, the Company may elect to proceed directly to the quantitative goodwill impairment test. As part of the quantitative goodwill impairment test, the Company compares the fair value of each reporting unit to its carrying value, with an impairment charge recorded for the amount by which the carrying amount exceeds the reporting unit’s fair value up to a maximum amount of the goodwill balance for the reporting unit.</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evaluation of reporting units using a quantitative assessment, the Company determines the fair values of the Marketing Solutions reporting unit and the Enterprise Solutions reporting unit as of December 31, 2022 based on an income approach. Under the income approach, the Company estimates the fair value of the reporting units based on discounted cash flow method derived from the reporting unit’s long-term forecasts which included a five-year future cash flow projection and an estimated terminal value. The cash flow projection is based on management’s most recent view of the long-term outlook for the reporting units in order to come up with revenue growth rates, gross margin, the estimated terminal value using a terminal year long-term future growth rate, discount rates, and other assumptions deemed reasonable by management.</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Application of a goodwill impairment test requires significant management judgment, including the identification of reporting units, assigning assets and liabilities to reporting units, assigning goodwill to reporting units, and estimating the fair value of each reporting unit. Estimating fair value of individual reporting units requires the exercise of significant management judgment, including judgment in an income approach about appropriate revenue growth rates, gross margin, an estimated terminal value using a terminal year long-term future growth rate and a discount rate for the reporting units. Changes in these estimates and assumptions could materially affect the estimation of fair value for each reporting unit.</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December 31, 2022, the Company determined that there were sufficient indicators to trigger a quantitative goodwill impairment analysis. The indicators included, among others: (1) the underperformance against plan of the Company’s reporting units due to the negative impact of the COVID-19 outbreak to the macroeconomy of the PRC, (2) a revision of the Company’s forecasted future earnings due to intensified industry competition, and (3) a decline in iClick Cayman’s market capitalization in 2022. The Company’s annual quantitative goodwill impairment analysis as of December 31, 2022 indicated that both Marketing Solutions and Enterprise Solutions reporting units were fully impaired. Accordingly, the Company recognized an impairment charge of US$53,024 and US$27,113 for the Marketing Solutions reporting unit and the Enterprise Solutions reporting unit, respectively, for the year ended December 31, 2022. There was no goodwill during the year ended and as of December 31, 2023.</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Long-lived assets of the Company including property and equipment, intangible assets (other than goodwill) and right-of-use-assets which are held and used are reviewed for impairment when events or changes in the circumstances indicate that the carrying value of an asset or asset group may no longer be recoverable. For an asset or asset group that is held and used, the asset or asset group represents the lowest level for which identifiable cash flows are largely independent of the cash flows of other assets or asset groups. Factors considered by the Company in its impairment assessments of long-lived assets that are held and used include, but are not limited to, significant underperformance relative to historical or projected operating results; significant changes in the manner of use of the acquired assets or asset groups or the strategy for the overall business; and significant negative industry or economic trends. When the carrying value of a long-lived asset or asset group that is held and use may not be recoverable based upon the existence of one or more of the above indicators of impairment, the Company estimates the future undiscounted cash flows expected to result from the use of the asset or asset group and its eventual disposition. If the sum of the expected future undiscounted cash flows and eventual disposition is less than the carrying amount of the asset or asset group, the Company recognizes an impairment loss. An impairment loss is reflected as the amount by which the carrying amount of the asset or asset group exceeds the fair value of the asset or asset group, based on the fair value if available, or discounted cash flows, if fair value is not available. The discounted cash flow model on which the fair value of the asset or asset group as part of the Company’s impairment tests is based includes significant assumptions relating to revenue growth rates, gross margin, and other controllable expenses.</w:t>
      </w:r>
    </w:p>
    <w:p>
      <w:pPr>
        <w:spacing w:after="0" w:line="194"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identified certain long-lived asset groups which were held and used that were subject to indicators (which were similar to the indicators for goodwill impairment as explained in Note 2(q)) to trigger quantitative impairment assessments as of December 31, 2022 and 2023. Based on the Company’s impairment assessments on those long-lived asset groups as of December 31, 2022 and 2023, the Company recorded impairment of long-lived assets of US$53,349 (out of which US$49,778, US$1,206 and US$2,365 were related to intangible assets (other than goodwill), property and equipment, and right-of-use assets, respectively) and US$3,248 (out of which US$439, US$185 and US$2,624 were related to intangible assets (other than goodwill), property and equipment, and right-of-use assets, respectively) during the years ended December 31, 2022 and 2023, respectively. Out of the total impairment charges of (i) US$53,349 and (ii) US$3,248 during the years ended December 31, 2022 and 2023, respectively, (i) US$48,946 and US$4,403 and (ii) US$411 and US$2,837 were recorded in (i) cost of revenues and (ii) operating expenses, respectively.</w:t>
      </w:r>
    </w:p>
    <w:p>
      <w:pPr>
        <w:spacing w:after="0" w:line="190"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accounting</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if an arrangement is a lease or contains a lease at lease inception. For operating leases, the Company recognizes right-of-use assets (“ROU assets”) and lease liabilities based on the present value of the lease payments over the lease term on the consolidated balance sheets at commencement date. The Company estimates its incremental borrowing rate based on the information available at the commencement date in determining the present value of lease payments. The incremental borrowing rate is estimated to approximate the interest rate on a collateralized basis with similar terms and payments, and in economic environments where the leased asset is located.</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records rent expense for operating leases, including leases of office premises, on a straight-line basis over the lease term. The Company begins recognition of rent expense on the commencement date, which is generally the date that the asset is made available for use. The lease liability is included in lease liabilities, current and lease liabilities, non-current within the consolidated balance sheets, which are reduced as lease related payments are made. The ROU asset is amortized on a periodic basis over the expected term of the lease. See Note 14 for additional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revenue</w:t>
      </w:r>
    </w:p>
    <w:p>
      <w:pPr>
        <w:spacing w:after="0" w:line="229"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Cayman accounted for those shares repurchased as treasury shares at cost in accordance with ASC 505-30, and the treasury shares acquired are shown separately in shareholders’ equity as iClick Cayman has not yet decided on the ultimate disposition of those shares. If and when iClick Cayman cancels the treasury shares, the difference between the original issuance price and the repurchase price will be debited into additional paid-in capital.</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cost of revenues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our revenue recognized from contracts with customers disaggregated by the four types of pricing models: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over time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Sales agent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Cost-plus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 SaaS products and services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57,756</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62,207</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88,013</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w:t>
            </w:r>
          </w:p>
        </w:tc>
        <w:tc>
          <w:tcPr>
            <w:tcW w:w="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Recognized at point in time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Specified actions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212,353</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94,498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SaaS products and services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219,689</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95,415</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307,702</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169,080</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Company’s Marketing Solutions service offerings are the provisions of online advertising services. The Company utilizes a combination of pricing models and revenue is recognized when the related services are delivered based on the specific terms of the contract, which are commonly based on (i) agreed incentive to be earned for being a sales agent of a publisher, (ii) cost-plus or (iii) specified actions (e.g. cost per impression (“CPM”) and cost per click (“CPC”)) and related campaign budgets, depending on the customers’ preferences and their campaigns launched. The Company also offers the Enterprise Solutions via the offering of SaaS products and services.</w:t>
      </w:r>
    </w:p>
    <w:p>
      <w:pPr>
        <w:spacing w:after="0" w:line="18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recognizes revenue when the Company satisfies a performance obligation by transferring a promised service to a customer. The Company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 Collectability is assessed based on a number of factors, including the creditworthiness of a customer, the size and nature of a customer’s business and transaction history. Revenues are recorded net of value-added taxes.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cost of revenues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follows the guidance provided in ASC 606, Revenue from Contracts with Customers, for determining whether the Company is the principal or an agent in arrangements with customers that involve another party that contributes to providing a specified service to a customer. In these instances, the Company determines whether it has promised to provide the specified service itself (as principal) or to arrange for the specified service to be provided by another party (as an agent). This determination depends on the facts and circumstances of each arrangement and, in some instances, involves significant judgment. The Company recognizes revenue from sales agent and cost-plus arrangement amounting to US$30,257, US$11,458, and US$6,579 for the years ended December 31, 2021, 2022 and 2023, respectively, on a net basis as the Company is not primarily responsible for the fulfillment considering iClick Cayman only acts as an intermediary in executing transactions between the publishers and the customers, does not have control of the promised service as iClick Cayman only places orders based on specification set out by the customers, and does not have full discretion in establishing prices and therefore is the agent in the arrangement with customers. All other revenue of US$277,445, US$157,622 and US$126,638 for the years ended December 31, 2021, 2022 and 2023, respectively, are reported on a gross basis, as the Company has determined it is the principal in the arrangement.</w:t>
      </w:r>
    </w:p>
    <w:p>
      <w:pPr>
        <w:spacing w:after="0" w:line="18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Sales agent</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arrangement with a particular publisher, the Company acts as a sales agent for this publisher in selling marketing spaces to marketing clients. In return, the Company earns incentives from this publisher based on contractually stipulated amounts when certain spending thresholds are achieved. The Company considers this particular publisher as a customer and record such incentives as net revenues. Incentives from this publisher are calculated on both a quarterly and an annual basis in accordance with the terms as set out in the arrangement.</w:t>
      </w:r>
    </w:p>
    <w:p>
      <w:pPr>
        <w:spacing w:after="0" w:line="142"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under this arrangement is recognized over time given the Company considers this particular publisher simultaneously receives and consumes the benefits provided by the Company’s performance as the Company performs. In other words, when the Company purchases marketing spaces on behalf of the marketing clients throughout the marketing campaigns as requested by them, this particular publisher simultaneously receives and consumes the benefit of the marketing spaces being purchased and therefore the Company is entitled to incentive payment from this publisher.</w:t>
      </w:r>
    </w:p>
    <w:p>
      <w:pPr>
        <w:spacing w:after="0" w:line="1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grants rebates to marketing clients under the sales agent arrangement. The majority of marketing clients under this arrangement are not customers under either the cost-plus arrangement or specified actions arrangement. The Company records rebates granted to such marketing clients as reduction of revenue.</w:t>
      </w:r>
    </w:p>
    <w:p>
      <w:pPr>
        <w:spacing w:after="0" w:line="18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Cost-plus</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cost-plus advertisement campaigns, sales are recognized at the fair value of the amount received. Discounts granted to marketing clients under cost-plus marketing campaigns are recorded as a reduction of revenue. The determination of whether revenue should be reported on a gross or net basis is based on an assessment of whether the Company is acting as the principal or an agent in the transactions. In the normal course of business, the Company acts as an intermediary in executing transactions between website publishers and marketing clients. The specified service in the cost-plus arrangement is the provision of marketing space, which is controlled by the website publishers, rather than the Company. The Company assists the marketing clients to place orders with specific website publishers based on specification set out the marketing clients. The Company does not have the ability to direct the use of marketing space and does not have any inventory risk. Pricing is generally based on the actual advertising spending incurred by the marketing clients plus a margin. Accordingly, the Company concludes that it is not the principal in these arrangements and reports revenue earned and costs incurred related to these transactions on a net basis.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right="5120" w:hanging="652"/>
        <w:spacing w:after="0" w:line="503" w:lineRule="auto"/>
        <w:tabs>
          <w:tab w:leader="none" w:pos="6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and cost of revenues (Continued) </w:t>
      </w:r>
      <w:r>
        <w:rPr>
          <w:rFonts w:ascii="Times New Roman" w:cs="Times New Roman" w:eastAsia="Times New Roman" w:hAnsi="Times New Roman"/>
          <w:sz w:val="18"/>
          <w:szCs w:val="18"/>
          <w:i w:val="1"/>
          <w:iCs w:val="1"/>
          <w:color w:val="auto"/>
        </w:rPr>
        <w:t>Cost-plus (Continued)</w:t>
      </w: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under this arrangement is recognized over time as the Company considers its customers simultaneously receive and consume the benefits provided by the Company’s performance. At the time the Company purchases marketing spaces during the contract term for its customers, the customers’ advertisements could be placed throughout the marketing campaign. Revenue recognition under this arrangement is not based on an occurrence of significant act or milestone method.</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Throughout the various services delivered to clients under the cost-plus arrangements, the Company earns rebates from publishers and grant rebates to marketing clients. The rebates that the Company grants to marketing clients under cost-plus arrangement are recorded as reduction of revenue, based on the spending amount the marketing clients would actually incur to earn the corresponding level of rebates. The rebates that the Company receives from publishers under the cost-plus arrangements are recorded as revenue. These rebates are recognized when a particular milestone is achieved (i.e. applying the relevant rebates based on the level of spending threshold actually achieved) and spending has actually occurred.</w:t>
      </w:r>
    </w:p>
    <w:p>
      <w:pPr>
        <w:spacing w:after="0" w:line="18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Specified actions</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generates revenue from performing specified actions (e.g a CPM and CPC basis). Revenue is recognized on a CPM or CPC basis as impressions or clicks are delivered while revenue is recognized once agreed actions are performed. For the specified actions advertisement campaigns, the Company is the principal as it has the obligation to deliver successful actions requested by marketing clients. Also, the Company will only be paid if successful actions can be delivered and is exposed to risk of loss. In terms of pricing, the Company has complete latitude in establishing the selling prices of each of the CPM and CPC pricing model. The Company’s margin may vary as the costs incurred to deliver successful actions may vary and is therefore exposed to risk of loss whereby validating its degree of responsibility to its customers. Although the inventory risk under specified actions arrangement is considered to be low, the Company concludes that it is the principal in such arrangement as it is the principal ultimately responsible for delivering successful actions and in charge of establishing the price per action. Accordingly, the Company reports revenue earned and costs incurred related to these transactions on a gross basis.</w:t>
      </w:r>
    </w:p>
    <w:p>
      <w:pPr>
        <w:spacing w:after="0" w:line="207"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under this arrangement is recognized at point-in-time when the Company is able to deliver the specified actions as requested by the customers. Upon the occurrence of the specified actions, the customers take control of the specified actions and this is when the Company recognizes the corresponding revenue. Unlike the cost-plus arrangement, when the Company purchases marketing spaces in order to deliver the specified actions, the customers do not receive and consume the benefit as the benefit to be received by the customers is the occurrence of the specified actions. Also, the Company does not create or enhance an asset that the customers control as the marketing spaces ultimately belong to the publishers. The Company does not have any right to payment for simply purchasing the marketing spaces and would only be compensated upon delivery of the specified actions.</w:t>
      </w:r>
    </w:p>
    <w:p>
      <w:pPr>
        <w:spacing w:after="0" w:line="191"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grants rebates to marketing clients under the specified actions arrangement. Same as the treatment under cost-plus arrangement, the rebates that the Company grants to marketing clients under cost-plus arrangement are recorded as reduction of revenue and are recorded based on the amount the marketing clients would actually incur to earn the corresponding level of rebates. The rebates that the Company receives from publishers under the specified actions arrangement are recorded as a reduction of cost of revenues. These rebates are recognized when a particular milestone is achieved (i.e. applying the relevant rebates based on the level of spending threshold actually achieved) and spending has actually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right="5120" w:hanging="652"/>
        <w:spacing w:after="0" w:line="503" w:lineRule="auto"/>
        <w:tabs>
          <w:tab w:leader="none" w:pos="672"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and cost of revenues (Continued) </w:t>
      </w:r>
      <w:r>
        <w:rPr>
          <w:rFonts w:ascii="Times New Roman" w:cs="Times New Roman" w:eastAsia="Times New Roman" w:hAnsi="Times New Roman"/>
          <w:sz w:val="18"/>
          <w:szCs w:val="18"/>
          <w:i w:val="1"/>
          <w:iCs w:val="1"/>
          <w:color w:val="auto"/>
        </w:rPr>
        <w:t>Specified actions (Continued)</w:t>
      </w: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revenues consists of the costs to purchase space for the online advertising operations, amortization expenses related to the Company’s computer software and systems, salaries and benefits of relevant operations and support personnel and depreciation of relevant property and equipment and impairment on relevant intangible assets. The Company becomes obligated to make payments related to website publishers in the period the marketing impressions and click-through occur. Such expenses are classified as cost of revenues in the consolidated statements of comprehensive loss as incurred. Cost of revenues also includes rebates received from website publishers which are recorded as a reduction of cost of revenues when the Company is acting as a principal in a transaction.</w:t>
      </w:r>
    </w:p>
    <w:p>
      <w:pPr>
        <w:spacing w:after="0" w:line="18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SaaS products and services</w:t>
      </w:r>
    </w:p>
    <w:p>
      <w:pPr>
        <w:spacing w:after="0" w:line="227"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this arrangement, the Company offers SaaS products and services through provision of software and data analytical tool licenses, customer relationship management (“CRM”) solutions and digitalized operational solutions services. Revenues under this arrangement primarily consist of fees for (i) licensing to provide customers with access to one or more of the existing cloud applications for e-commerce, marketing and customer management, (ii) the development of new cloud applications customized for individual customer, (iii) licenses for on-premises software, and (iv) various combinations of software and data analytical tool licenses, CRM solutions, and digitalized operational solutions services provided by the Company. Contracts with customers under this arrangement are generally with a term of 1 to 24 months.</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from licensing of existing cloud applications are generally recognized ratably over time over the contract term beginning on the date that the licensing service is made available to the customer, whereby the Company considers that its customers simultaneously receive and consume the benefits provided by the use of existing cloud applications. The Company does not have other right to consideration in exchange for goods or service that the Company has transferred to a customer when that right is conditional on something other than the passage of time.</w:t>
      </w:r>
    </w:p>
    <w:p>
      <w:pPr>
        <w:spacing w:after="0" w:line="196"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from developing new cloud applications exclusively customized for customers and licenses for on-premises software is recognized at point-in-time when the Company is able to deliver the cloud applications to customers or when the Company provides customers with right to use the on-premises software. The Company considers the transfer of control of new cloud applications/software to customer, which represents a distinct performance obligation, to be completed when such cloud applications/software are on-premise and fully functional such that the customer can use and benefit from the cloud applications/software on its own.</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Besides, the Company also provides certain additional services along with the above arrangements of cloud application development and software licensing, such as technical support, bug fixes, CMR solutions and digitalized operational solutions. These additional services are considered to be a series of distinct services that are substantially the same and have the same duration and measure of progress; therefore, the Company concludes that they represent a separate combined performance obligation. Revenues from such additional services are recognized ratably over-time over the contract period.</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respective stand-alone selling prices of each of these performance obligations are determined based upon observable prices in stand-alone transactions and contractually stated price whereby no allocation of selling prices among individual performance obligations are required.</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revenues for SaaS products and services primarily comprises amortization expenses related to the Company’s computer software and systems, salaries and benefits of relevant operations and support personnel, depreciation of relevant property and equipment and other direct service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right="5120" w:hanging="652"/>
        <w:spacing w:after="0" w:line="503" w:lineRule="auto"/>
        <w:tabs>
          <w:tab w:leader="none" w:pos="6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recognition and cost of revenues (Continued) </w:t>
      </w:r>
      <w:r>
        <w:rPr>
          <w:rFonts w:ascii="Times New Roman" w:cs="Times New Roman" w:eastAsia="Times New Roman" w:hAnsi="Times New Roman"/>
          <w:sz w:val="18"/>
          <w:szCs w:val="18"/>
          <w:i w:val="1"/>
          <w:iCs w:val="1"/>
          <w:color w:val="auto"/>
        </w:rPr>
        <w:t>Contract balances</w:t>
      </w: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Timing of revenue recognition may differ from the timing of invoicing to customers. Accounts receivable represent amounts invoiced and revenue recognized prior to invoicing when the Company has satisfied its performance obligations and has the unconditional right to payment. The Company normally does not have contract assets, which are primarily unbilled accounts receivable that are conditional on something other than the passage of time.</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revenue represents contract liabilities which related to unsatisfied performance obligations at the end of the period. Due to the generally short-term duration of the contracts, the majority of the performance obligations are satisfied in the following reporting period. Revenue recognized during the years ended December 31, 2022 and 2023, respectively, relating to deferred revenue as of January 1, 2022 and 2023 was US$13,108 and US$8,767, respectively. For the amount remained as deferred revenue as of January 1, 2022 and 2023, respectively, but not recognized as revenue during the years ended December 31, 2022 and 2023, respectively, there is still a contractual obligation for the Company to provide service whereby the Company is not obliged to make any refund of the amount received from customers. Such amount will be recognized as revenue when all of the revenue recognition criteria are met.</w:t>
      </w:r>
    </w:p>
    <w:p>
      <w:pPr>
        <w:spacing w:after="0" w:line="20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Practical Expedients</w:t>
      </w:r>
    </w:p>
    <w:p>
      <w:pPr>
        <w:spacing w:after="0" w:line="21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used the following practical expedients as allowed under ASC 606:</w:t>
      </w:r>
    </w:p>
    <w:p>
      <w:pPr>
        <w:spacing w:after="0" w:line="198" w:lineRule="exact"/>
        <w:rPr>
          <w:rFonts w:ascii="Times New Roman" w:cs="Times New Roman" w:eastAsia="Times New Roman" w:hAnsi="Times New Roman"/>
          <w:sz w:val="18"/>
          <w:szCs w:val="18"/>
          <w:b w:val="1"/>
          <w:bCs w:val="1"/>
          <w:color w:val="auto"/>
        </w:rPr>
      </w:pPr>
    </w:p>
    <w:p>
      <w:pPr>
        <w:ind w:left="1340" w:right="20" w:hanging="657"/>
        <w:spacing w:after="0" w:line="282" w:lineRule="auto"/>
        <w:tabs>
          <w:tab w:leader="none" w:pos="13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price allocated to the performance obligations that are unsatisfied, or partially unsatisfied, has not been disclosed as substantially all of the Company’s contracts have a duration of one year or less.</w:t>
      </w:r>
    </w:p>
    <w:p>
      <w:pPr>
        <w:spacing w:after="0" w:line="148" w:lineRule="exact"/>
        <w:rPr>
          <w:rFonts w:ascii="Times New Roman" w:cs="Times New Roman" w:eastAsia="Times New Roman" w:hAnsi="Times New Roman"/>
          <w:sz w:val="18"/>
          <w:szCs w:val="18"/>
          <w:color w:val="auto"/>
        </w:rPr>
      </w:pPr>
    </w:p>
    <w:p>
      <w:pPr>
        <w:jc w:val="both"/>
        <w:ind w:left="1340" w:hanging="657"/>
        <w:spacing w:after="0" w:line="266" w:lineRule="auto"/>
        <w:tabs>
          <w:tab w:leader="none" w:pos="13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terms and conditions vary by contract type, although terms generally include a requirement of prepayment or payment within one year or less. In instances where the timing of revenue recognition differs from the timing of invoicing, the Company has determined that its contracts generally do not include a significant financing component.</w:t>
      </w:r>
    </w:p>
    <w:p>
      <w:pPr>
        <w:spacing w:after="0" w:line="162" w:lineRule="exact"/>
        <w:rPr>
          <w:rFonts w:ascii="Times New Roman" w:cs="Times New Roman" w:eastAsia="Times New Roman" w:hAnsi="Times New Roman"/>
          <w:sz w:val="18"/>
          <w:szCs w:val="18"/>
          <w:color w:val="auto"/>
        </w:rPr>
      </w:pPr>
    </w:p>
    <w:p>
      <w:pPr>
        <w:ind w:left="1340" w:right="20" w:hanging="657"/>
        <w:spacing w:after="0" w:line="282" w:lineRule="auto"/>
        <w:tabs>
          <w:tab w:leader="none" w:pos="134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generally expenses sales commissions when incurred because the amortization period would be one year or less. These costs are recorded within sales and marketing expenses.</w:t>
      </w:r>
    </w:p>
    <w:p>
      <w:pPr>
        <w:spacing w:after="0" w:line="13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media costs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media costs represent prepayments for online space paid by the Company to third party publishers of websites. Upon utilization, media costs are recognized in cost of revenues when the Company is determined as acting as the principal. However, when the Company is determined as acting as the agent, those costs are recognized as deduction to revenue by the Company. These prepayments are classified as current considering the corresponding online spaces are expected to be purchased and utilized within twelve months from the date of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(i) salary and welfare for research and development personnel,</w:t>
      </w:r>
    </w:p>
    <w:p>
      <w:pPr>
        <w:spacing w:after="0" w:line="27" w:lineRule="exact"/>
        <w:rPr>
          <w:sz w:val="20"/>
          <w:szCs w:val="20"/>
          <w:color w:val="auto"/>
        </w:rPr>
      </w:pPr>
    </w:p>
    <w:p>
      <w:pPr>
        <w:jc w:val="both"/>
        <w:ind w:left="660" w:hanging="4"/>
        <w:spacing w:after="0" w:line="255" w:lineRule="auto"/>
        <w:tabs>
          <w:tab w:leader="none" w:pos="93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expenses and (iii)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17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w:t>
      </w:r>
    </w:p>
    <w:p>
      <w:pPr>
        <w:spacing w:after="0" w:line="14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incurred development costs in connection with an internal-use enterprise resource planning (“ERP”) software to further enhance management to monitor the business. While internal and external costs incurred during the preliminary project stage are expensed as incurred, costs relating to activities during the application development stages have been capitalized. For the years ended December 31, 2021, 2022 and 2023, the Company has capitalized development costs related to ERP software of US$111, US$nil and US$nil, respectively, as intangible assets. In addition, the Company incurred other research and development costs in relation to other internal use software used to support its operations. Any development costs qualified for capitalization were immaterial for the periods presented. For the years ended December 31, 2021, 2022 and 2023, the Company has not capitalized any other costs related to internal use software other than the ERP software.</w:t>
      </w:r>
    </w:p>
    <w:p>
      <w:pPr>
        <w:spacing w:after="0" w:line="174" w:lineRule="exact"/>
        <w:rPr>
          <w:sz w:val="20"/>
          <w:szCs w:val="20"/>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and marketing expenses</w:t>
      </w:r>
    </w:p>
    <w:p>
      <w:pPr>
        <w:spacing w:after="0" w:line="21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and marketing expenses consist primarily of (i) advertising and marketing expenses, and (ii) salary and welfare for sales and marketing personnel. Advertising expenses are recorded as sales and marketing expenses when incurred, and totaled US$10,458, US$6,769 and US$2,997 for the years ended December 31, 2021, 2022 and 2023, respectively.</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consist primarily of (i) salary and welfare for general and administrative personnel,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professional service fees, and (iii) allowance for credit losses.</w:t>
      </w:r>
    </w:p>
    <w:p>
      <w:pPr>
        <w:spacing w:after="0" w:line="202" w:lineRule="exact"/>
        <w:rPr>
          <w:sz w:val="20"/>
          <w:szCs w:val="20"/>
          <w:color w:val="auto"/>
        </w:rPr>
      </w:pPr>
    </w:p>
    <w:p>
      <w:pPr>
        <w:ind w:left="660" w:hanging="652"/>
        <w:spacing w:after="0"/>
        <w:tabs>
          <w:tab w:leader="none" w:pos="66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social security and welfare benefits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of the Company in the PRC are entitled to staff welfare benefits including pension, work-related injury benefits, maternity insurance, medical insurance, unemployment benefit and housing fund plans through a PRC government-mandated multi-employer defined contribution plan. The Company is required to contribute to the plan based on certain percentages of the employees’ salaries, up to a maximum amount specified by the local government.</w:t>
      </w:r>
    </w:p>
    <w:p>
      <w:pPr>
        <w:spacing w:after="0" w:line="17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PRC government is responsible for the medical benefits and the pension liability to be paid to these employees and the Company’s obligations are limited to the amounts contributed and no legal obligation beyond the contributions made.</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also makes payments to other defined contribution plans for employees employed by subsidiaries outside the PRC. iClick Cayman and subsidiaries incorporated in Hong Kong are required to make contributions to Mandatory Provident Funds under the Hong Kong Mandatory Provident Fund Schemes Ordinance. Such contributions are recognized as an expense in profit or loss as incurred.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social security and welfare benefits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policies of iClick Cayman’s subsidiaries in Hong Kong in accordance with applicable labor protection laws in Hong Kong, all employees of such subsidiaries with more than 5 years of service are entitled to severance payment upon forced termination or retrenchment or in the event that the employee reaches the retirement age of 65. The entitlement to severance payment is determined according to several factors including but not limited to age, length of service and remuneration, and is subject to a maximum amount of Hong Kong dollars ("HK$") 390,000. The Company accounts for such severance liabilities based on an actuarial valuation using the projected unit credit method. There are no separate plan assets held in respect to these liabilities.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(ab)</w:t>
      </w:r>
      <w:r>
        <w:rPr>
          <w:sz w:val="20"/>
          <w:szCs w:val="20"/>
          <w:color w:val="auto"/>
        </w:rPr>
        <w:tab/>
      </w:r>
      <w:r>
        <w:rPr>
          <w:rFonts w:ascii="Times New Roman" w:cs="Times New Roman" w:eastAsia="Times New Roman" w:hAnsi="Times New Roman"/>
          <w:sz w:val="18"/>
          <w:szCs w:val="18"/>
          <w:b w:val="1"/>
          <w:bCs w:val="1"/>
          <w:color w:val="auto"/>
        </w:rPr>
        <w:t>Non-controlling interests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non-controlling interests are presented in the consolidated balance sheets, separately from equity attributable to the shareholders of iClick Cayman. Non-controlling interests are presented on the face of the consolidated statement of comprehensive loss as an allocation of the total income or loss for the year between non-controlling interests holders and the shareholders of iClick Cayman.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(ac)</w:t>
      </w:r>
      <w:r>
        <w:rPr>
          <w:sz w:val="20"/>
          <w:szCs w:val="20"/>
          <w:color w:val="auto"/>
        </w:rPr>
        <w:tab/>
      </w: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w:t>
      </w:r>
    </w:p>
    <w:p>
      <w:pPr>
        <w:spacing w:after="0" w:line="17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guidance on accounting for uncertainties in income taxes prescribes a more likely than not threshold for financial statement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Company’s uncertain tax positions and determining its provision for income taxes. The Company recognizes interests and penalties, if any, under accrued expenses and other current liabilities on its consolidated balance sheets and under other expenses in its statements of comprehensive loss. The Company did not recognize any significant interest and penalties associated with uncertain tax positions for the years ended December 31, 2021, 2022 and 2023. As of December 31, 2022 and 2023, the Company did not have any significant unrecognized uncertain tax positions.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(ad)</w:t>
      </w:r>
      <w:r>
        <w:rPr>
          <w:sz w:val="20"/>
          <w:szCs w:val="20"/>
          <w:color w:val="auto"/>
        </w:rPr>
        <w:tab/>
      </w: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iClick Cayman grants stock-based awards, including share options, restricted share units and warrants of iClick Cayman, to eligible employees, officers, directors, and non-employee consultants. The Company accounts for share-based awards granted to employees in accordance with ASC 718, “Compensation - Stock Compensation” and share-based awards granted to non-employees in accordance with ASC subtopic, 505-50 (“ASC 505-50”), “Equity-Based Payments to Non-Employees”. ASC 505. On January 1, 2019, the Company adopted ASU 2018-07, Compensation—Stock Compensation (Topic 718): Improvement to Nonemployee Share-based Payment Accounting to amend the accounting for share-based payment awards issued to non-employees. Under ASU 2018-07, the accounting for awards to non-employees are similar to the model for employee awards.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 and RSUs granted to employees</w:t>
      </w:r>
    </w:p>
    <w:p>
      <w:pPr>
        <w:spacing w:after="0" w:line="227"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Under the fair value recognition provisions of ASC 718-10, share-based compensation costs are measured at the grant date. The share-based compensation expenses have been categorized as either general and administrative expenses, sales and marketing expenses or research and development expenses, depending on the job functions of the grantees. For the options and RSUs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iClick Cayman’s share options, the binomial option pricing model has been applied. The fair value of RSUs is determined with reference to the fair value of the underlying shares.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 modification</w:t>
      </w:r>
    </w:p>
    <w:p>
      <w:pPr>
        <w:spacing w:after="0" w:line="22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Option, RSUs and warrants granted to non-employees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Pursuant to ASU No. 2018-07, Compensation—Stock Compensation (Topic 718): Improvements to Nonemployee Share-Based Payment Accounting (“ASU 2018-07”), stock-based awards granted to consultants and non-employees are accounted for in the same manner as awards granted to employees as described above.</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Options and warrants of iClick Cayman issued to non-employees are measured based on fair value of the options and warrants which are determined by using the binomial option pricing model and RSUs of iClick Cayman issued to non-employees are measured based on fair value of the RSUs which are determined with reference to the fair value of the underlying shares.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(ae)</w:t>
      </w:r>
      <w:r>
        <w:rPr>
          <w:sz w:val="20"/>
          <w:szCs w:val="20"/>
          <w:color w:val="auto"/>
        </w:rPr>
        <w:tab/>
      </w:r>
      <w:r>
        <w:rPr>
          <w:rFonts w:ascii="Times New Roman" w:cs="Times New Roman" w:eastAsia="Times New Roman" w:hAnsi="Times New Roman"/>
          <w:sz w:val="18"/>
          <w:szCs w:val="18"/>
          <w:b w:val="1"/>
          <w:bCs w:val="1"/>
          <w:color w:val="auto"/>
        </w:rPr>
        <w:t>Government subsidies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receives subsidies from Hong Kong and the local PRC government for general use. General-use subsidies which are not subject to any conditions or specific use requirements are recorded as subsidy income in the consolidated statements of comprehensive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(af)</w:t>
      </w:r>
      <w:r>
        <w:rPr>
          <w:sz w:val="20"/>
          <w:szCs w:val="20"/>
          <w:color w:val="auto"/>
        </w:rPr>
        <w:tab/>
      </w:r>
      <w:r>
        <w:rPr>
          <w:rFonts w:ascii="Times New Roman" w:cs="Times New Roman" w:eastAsia="Times New Roman" w:hAnsi="Times New Roman"/>
          <w:sz w:val="18"/>
          <w:szCs w:val="18"/>
          <w:b w:val="1"/>
          <w:bCs w:val="1"/>
          <w:color w:val="auto"/>
        </w:rPr>
        <w:t>Statutory reserves</w:t>
      </w:r>
    </w:p>
    <w:p>
      <w:pPr>
        <w:spacing w:after="0" w:line="229"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iClick Cayman’s subsidiaries, a consolidated VIE and subsidiaries incorporated in the PRC, are required on an annual basis to make appropriations of retained earnings set at certain percentage of after-tax profit determined in accordance with PRC accounting standards and regulations (“PRC GAAP”).</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Company is not required to make appropriation to other reserve funds and the Company does not have any intentions to make appropriations to any other reserve funds.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There are no legal requirements in the PRC to fund these reserves by transfer of cash to restricted accounts, and the Company was not done so.</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iClick Cayman in terms of cash dividends, loans or advances.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(ag)</w:t>
      </w:r>
      <w:r>
        <w:rPr>
          <w:sz w:val="20"/>
          <w:szCs w:val="20"/>
          <w:color w:val="auto"/>
        </w:rPr>
        <w:tab/>
      </w:r>
      <w:r>
        <w:rPr>
          <w:rFonts w:ascii="Times New Roman" w:cs="Times New Roman" w:eastAsia="Times New Roman" w:hAnsi="Times New Roman"/>
          <w:sz w:val="18"/>
          <w:szCs w:val="18"/>
          <w:b w:val="1"/>
          <w:bCs w:val="1"/>
          <w:color w:val="auto"/>
        </w:rPr>
        <w:t>Related parties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(ah)</w:t>
      </w:r>
      <w:r>
        <w:rPr>
          <w:sz w:val="20"/>
          <w:szCs w:val="20"/>
          <w:color w:val="auto"/>
        </w:rPr>
        <w:tab/>
      </w: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Dividends are recognized when declared. No dividends were declared for the years ended December 31, 2021, 2022 and 2023, respectively. The Company does not have any present plan to pay any dividends on ordinary shares in the foreseeable future. The Company currently intends to retain the available funds and any future earnings to operate and expand its business.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(ai)</w:t>
      </w:r>
      <w:r>
        <w:rPr>
          <w:sz w:val="20"/>
          <w:szCs w:val="20"/>
          <w:color w:val="auto"/>
        </w:rPr>
        <w:tab/>
      </w:r>
      <w:r>
        <w:rPr>
          <w:rFonts w:ascii="Times New Roman" w:cs="Times New Roman" w:eastAsia="Times New Roman" w:hAnsi="Times New Roman"/>
          <w:sz w:val="18"/>
          <w:szCs w:val="18"/>
          <w:b w:val="1"/>
          <w:bCs w:val="1"/>
          <w:color w:val="auto"/>
        </w:rPr>
        <w:t>Loss per share</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holders of ordinary shares by the weighted average number of ordinary shares outstanding during the year using the two class method. The Company uses the two-class method to calculate net loss per share though both classes share the same rights in dividends. Therefore, basic and diluted loss per share are the same for both classes of ordinary shares. Using the two class method, net loss is allocated between ordinary shares based on their participating rights.</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ordinary shares issuable upon the conversion of the stock options and warrants and vesting of RSUs, using the treasury stock method.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(aj)</w:t>
            </w: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Comprehensive income/loss</w:t>
            </w:r>
          </w:p>
        </w:tc>
      </w:tr>
      <w:tr>
        <w:trPr>
          <w:trHeight w:val="414"/>
        </w:trPr>
        <w:tc>
          <w:tcPr>
            <w:tcW w:w="480" w:type="dxa"/>
            <w:vAlign w:val="bottom"/>
          </w:tcPr>
          <w:p>
            <w:pPr>
              <w:spacing w:after="0"/>
              <w:rPr>
                <w:sz w:val="24"/>
                <w:szCs w:val="24"/>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income/loss is defined as the change in shareholders’ equity of the Company during a period arising from</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 and other events and circumstances excluding transactions resulting from investments by shareholders and</w:t>
            </w:r>
          </w:p>
        </w:tc>
      </w:tr>
      <w:tr>
        <w:trPr>
          <w:trHeight w:val="234"/>
        </w:trPr>
        <w:tc>
          <w:tcPr>
            <w:tcW w:w="480" w:type="dxa"/>
            <w:vAlign w:val="bottom"/>
          </w:tcPr>
          <w:p>
            <w:pPr>
              <w:spacing w:after="0"/>
              <w:rPr>
                <w:sz w:val="20"/>
                <w:szCs w:val="20"/>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distributions to shareholders.</w:t>
            </w:r>
          </w:p>
        </w:tc>
      </w:tr>
      <w:tr>
        <w:trPr>
          <w:trHeight w:val="414"/>
        </w:trPr>
        <w:tc>
          <w:tcPr>
            <w:tcW w:w="480" w:type="dxa"/>
            <w:vAlign w:val="bottom"/>
          </w:tcPr>
          <w:p>
            <w:pPr>
              <w:spacing w:after="0"/>
              <w:rPr>
                <w:sz w:val="24"/>
                <w:szCs w:val="24"/>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income/loss  is  reported  in  the  consolidated  statements  of  comprehensive  loss.  Accumulated  other</w:t>
            </w:r>
          </w:p>
        </w:tc>
      </w:tr>
      <w:tr>
        <w:trPr>
          <w:trHeight w:val="234"/>
        </w:trPr>
        <w:tc>
          <w:tcPr>
            <w:tcW w:w="480" w:type="dxa"/>
            <w:vAlign w:val="bottom"/>
          </w:tcPr>
          <w:p>
            <w:pPr>
              <w:spacing w:after="0"/>
              <w:rPr>
                <w:sz w:val="20"/>
                <w:szCs w:val="20"/>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comprehensive income/losses of the Company include the foreign currency translation adjustments.</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(ak)</w:t>
            </w: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Segment reporting</w:t>
            </w:r>
          </w:p>
        </w:tc>
      </w:tr>
      <w:tr>
        <w:trPr>
          <w:trHeight w:val="414"/>
        </w:trPr>
        <w:tc>
          <w:tcPr>
            <w:tcW w:w="480" w:type="dxa"/>
            <w:vAlign w:val="bottom"/>
          </w:tcPr>
          <w:p>
            <w:pPr>
              <w:spacing w:after="0"/>
              <w:rPr>
                <w:sz w:val="24"/>
                <w:szCs w:val="24"/>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evaluated regularly by the chief operating decision maker (“CODM”), or decision making group, in deciding how to allocate</w:t>
            </w:r>
          </w:p>
        </w:tc>
      </w:tr>
      <w:tr>
        <w:trPr>
          <w:trHeight w:val="234"/>
        </w:trPr>
        <w:tc>
          <w:tcPr>
            <w:tcW w:w="480" w:type="dxa"/>
            <w:vAlign w:val="bottom"/>
          </w:tcPr>
          <w:p>
            <w:pPr>
              <w:spacing w:after="0"/>
              <w:rPr>
                <w:sz w:val="20"/>
                <w:szCs w:val="20"/>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resources and in assessing performance. The CODM is comprised of certain members of iClick Cayman’s management team.</w:t>
            </w:r>
          </w:p>
        </w:tc>
      </w:tr>
      <w:tr>
        <w:trPr>
          <w:trHeight w:val="414"/>
        </w:trPr>
        <w:tc>
          <w:tcPr>
            <w:tcW w:w="480" w:type="dxa"/>
            <w:vAlign w:val="bottom"/>
          </w:tcPr>
          <w:p>
            <w:pPr>
              <w:spacing w:after="0"/>
              <w:rPr>
                <w:sz w:val="24"/>
                <w:szCs w:val="24"/>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Company’s organizational structure is based on a number of factors that the CODM uses to evaluate, view and run its</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operations which include, but are not limited to, customer base, homogeneity of products and technology. The</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Company’s operating segments are based on this organizational structure and information reviewed by the Company’s CODM</w:t>
            </w:r>
          </w:p>
        </w:tc>
      </w:tr>
      <w:tr>
        <w:trPr>
          <w:trHeight w:val="234"/>
        </w:trPr>
        <w:tc>
          <w:tcPr>
            <w:tcW w:w="480" w:type="dxa"/>
            <w:vAlign w:val="bottom"/>
          </w:tcPr>
          <w:p>
            <w:pPr>
              <w:spacing w:after="0"/>
              <w:rPr>
                <w:sz w:val="20"/>
                <w:szCs w:val="20"/>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evaluate the operating segment results.</w:t>
            </w:r>
          </w:p>
        </w:tc>
      </w:tr>
      <w:tr>
        <w:trPr>
          <w:trHeight w:val="414"/>
        </w:trPr>
        <w:tc>
          <w:tcPr>
            <w:tcW w:w="480" w:type="dxa"/>
            <w:vAlign w:val="bottom"/>
          </w:tcPr>
          <w:p>
            <w:pPr>
              <w:spacing w:after="0"/>
              <w:rPr>
                <w:sz w:val="24"/>
                <w:szCs w:val="24"/>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 reports two operating segments: 1) Marketing Solutions, and 2) Enterprise Solutions. This segment reporting</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aligns with the manner in which the Company’s CODM currently receives and uses financial information to allocate resources</w:t>
            </w:r>
          </w:p>
        </w:tc>
      </w:tr>
      <w:tr>
        <w:trPr>
          <w:trHeight w:val="234"/>
        </w:trPr>
        <w:tc>
          <w:tcPr>
            <w:tcW w:w="480" w:type="dxa"/>
            <w:vAlign w:val="bottom"/>
          </w:tcPr>
          <w:p>
            <w:pPr>
              <w:spacing w:after="0"/>
              <w:rPr>
                <w:sz w:val="20"/>
                <w:szCs w:val="20"/>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evaluate the performance of reporting segments.</w:t>
            </w: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w:t>
            </w: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tc>
      </w:tr>
      <w:tr>
        <w:trPr>
          <w:trHeight w:val="414"/>
        </w:trPr>
        <w:tc>
          <w:tcPr>
            <w:tcW w:w="480" w:type="dxa"/>
            <w:vAlign w:val="bottom"/>
          </w:tcPr>
          <w:p>
            <w:pPr>
              <w:spacing w:after="0"/>
              <w:rPr>
                <w:sz w:val="24"/>
                <w:szCs w:val="24"/>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June 2022, the FASB issued ASU No. 2022-03, Fair Value Measurement (Topic 820)—Fair Value Measurement of Equity</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Subject to Contractual Sale Restrictions, which clarifies that a contractual restriction on the sale of an equity security</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 not considered part of the unit of account of the equity security and, therefore, is not considered in measuring fair value and</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 entity cannot, as a separate unit of account, recognize and measure a contractual sale restriction. The amendments in this</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update are effective for fiscal years beginning after December 15, 2023, including interim periods within those fiscal years.</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Early adoption of the amendments is permitted. The Company did not early adopt and is currently evaluating the impact of</w:t>
            </w:r>
          </w:p>
        </w:tc>
      </w:tr>
      <w:tr>
        <w:trPr>
          <w:trHeight w:val="234"/>
        </w:trPr>
        <w:tc>
          <w:tcPr>
            <w:tcW w:w="480" w:type="dxa"/>
            <w:vAlign w:val="bottom"/>
          </w:tcPr>
          <w:p>
            <w:pPr>
              <w:spacing w:after="0"/>
              <w:rPr>
                <w:sz w:val="20"/>
                <w:szCs w:val="20"/>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adopting this ASU on its consolidated financial statements.</w:t>
            </w:r>
          </w:p>
        </w:tc>
      </w:tr>
      <w:tr>
        <w:trPr>
          <w:trHeight w:val="414"/>
        </w:trPr>
        <w:tc>
          <w:tcPr>
            <w:tcW w:w="480" w:type="dxa"/>
            <w:vAlign w:val="bottom"/>
          </w:tcPr>
          <w:p>
            <w:pPr>
              <w:spacing w:after="0"/>
              <w:rPr>
                <w:sz w:val="24"/>
                <w:szCs w:val="24"/>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November 2023, the FASB issued ASU No. 2023 - 07, Segment Reporting (Topic 280): Improvements to Reportable</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Segment Disclosures, which requires incremental disclosures related to a public entity’s reportable segments but does not</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the definition of a segment, the method for determining segments, or the criteria for aggregating operating segments into</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reportable segments. The FASB issued the new guidance primarily to provide financial statement users with more disaggregated</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information about a public entity’s reportable segments. The new guidance is effective for fiscal years beginning after</w:t>
            </w:r>
          </w:p>
        </w:tc>
      </w:tr>
      <w:tr>
        <w:trPr>
          <w:trHeight w:val="216"/>
        </w:trPr>
        <w:tc>
          <w:tcPr>
            <w:tcW w:w="48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15, 2023, and interim periods within fiscal years beginning after December 15, 2024, and should be adopted</w:t>
            </w:r>
          </w:p>
        </w:tc>
      </w:tr>
      <w:tr>
        <w:trPr>
          <w:trHeight w:val="234"/>
        </w:trPr>
        <w:tc>
          <w:tcPr>
            <w:tcW w:w="480" w:type="dxa"/>
            <w:vAlign w:val="bottom"/>
          </w:tcPr>
          <w:p>
            <w:pPr>
              <w:spacing w:after="0"/>
              <w:rPr>
                <w:sz w:val="20"/>
                <w:szCs w:val="20"/>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retrospectively unless impracticable. Early adoption is permitted.</w:t>
            </w:r>
          </w:p>
        </w:tc>
      </w:tr>
      <w:tr>
        <w:trPr>
          <w:trHeight w:val="648"/>
        </w:trPr>
        <w:tc>
          <w:tcPr>
            <w:tcW w:w="480" w:type="dxa"/>
            <w:vAlign w:val="bottom"/>
          </w:tcPr>
          <w:p>
            <w:pPr>
              <w:spacing w:after="0"/>
              <w:rPr>
                <w:sz w:val="24"/>
                <w:szCs w:val="24"/>
                <w:color w:val="auto"/>
              </w:rPr>
            </w:pPr>
          </w:p>
        </w:tc>
        <w:tc>
          <w:tcPr>
            <w:tcW w:w="944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F-38</w:t>
            </w:r>
          </w:p>
        </w:tc>
      </w:tr>
      <w:tr>
        <w:trPr>
          <w:trHeight w:val="560"/>
        </w:trPr>
        <w:tc>
          <w:tcPr>
            <w:tcW w:w="48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(al)</w:t>
      </w:r>
      <w:r>
        <w:rPr>
          <w:sz w:val="20"/>
          <w:szCs w:val="20"/>
          <w:color w:val="auto"/>
        </w:rPr>
        <w:tab/>
      </w:r>
      <w:r>
        <w:rPr>
          <w:rFonts w:ascii="Times New Roman" w:cs="Times New Roman" w:eastAsia="Times New Roman" w:hAnsi="Times New Roman"/>
          <w:sz w:val="18"/>
          <w:szCs w:val="18"/>
          <w:b w:val="1"/>
          <w:bCs w:val="1"/>
          <w:color w:val="auto"/>
        </w:rPr>
        <w:t>Recently issued accounting pronouncements (Continued)</w:t>
      </w:r>
    </w:p>
    <w:p>
      <w:pPr>
        <w:spacing w:after="0" w:line="18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Board is issuing the amendments in this Update to enhance the transparency and decision usefulness of income tax disclosures. Investors currently rely on the rate reconciliation table and other disclosures, including total income taxes paid, to evaluate income tax risks and opportunities. While investors find these disclosures helpful, they suggested possible enhancements to better (1) understand an entity’s exposure to potential changes in jurisdictional tax legislation and the ensuing risks and opportunities, (2) assess income tax information that affects cash flow forecasts and capital allocation decisions, and (3) identify potential opportunities to increase future cash flows. The Board decided that the amendments should be effective for public business entities for annual periods beginning after December 15, 2024.</w:t>
      </w:r>
    </w:p>
    <w:p>
      <w:pPr>
        <w:spacing w:after="0" w:line="19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March, 2024, the SEC adopted its rules covering climate-related disclosures which require registrants to provide certain climate-related disclosures in registrants’ SEC filings. The rules require registrants to disclose strategy, governance, risk management, targets and goals, greenhouse gas emissions, and financial statement effects. The rules provide phased effective dates and transition provisions, with some entities required to adopt most elements of the new rules as early as 2025.</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is currently evaluating the impact of the above new accounting pronouncements or guidance on the consolidated financial statements.</w:t>
      </w:r>
    </w:p>
    <w:p>
      <w:pPr>
        <w:spacing w:after="0" w:line="117" w:lineRule="exact"/>
        <w:rPr>
          <w:sz w:val="20"/>
          <w:szCs w:val="20"/>
          <w:color w:val="auto"/>
        </w:rPr>
      </w:pPr>
    </w:p>
    <w:p>
      <w:pPr>
        <w:ind w:left="660" w:hanging="652"/>
        <w:spacing w:after="0"/>
        <w:tabs>
          <w:tab w:leader="none" w:pos="6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w:t>
      </w:r>
    </w:p>
    <w:p>
      <w:pPr>
        <w:spacing w:after="0" w:line="185" w:lineRule="exact"/>
        <w:rPr>
          <w:sz w:val="20"/>
          <w:szCs w:val="20"/>
          <w:color w:val="auto"/>
        </w:rPr>
      </w:pPr>
    </w:p>
    <w:p>
      <w:pPr>
        <w:ind w:left="660" w:hanging="652"/>
        <w:spacing w:after="0"/>
        <w:tabs>
          <w:tab w:leader="none" w:pos="66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China market in which the Company operates poses certain macro-economic and regulatory risks and uncertainties. These uncertainties extend to the ability of the Company to engage in online advertising businesses through contractual arrangements in the PRC since the internet and marketing services industries remain regulated. The Company conducts certain of its operations in the PRC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Company’s legal structure and scope of operations in the PRC, which could be subject to further restrictions resulting in limitations on the Company’s ability to conduct business in the PRC.</w:t>
      </w:r>
    </w:p>
    <w:p>
      <w:pPr>
        <w:spacing w:after="0" w:line="162" w:lineRule="exact"/>
        <w:rPr>
          <w:rFonts w:ascii="Times New Roman" w:cs="Times New Roman" w:eastAsia="Times New Roman" w:hAnsi="Times New Roman"/>
          <w:sz w:val="18"/>
          <w:szCs w:val="18"/>
          <w:b w:val="1"/>
          <w:bCs w:val="1"/>
          <w:color w:val="auto"/>
        </w:rPr>
      </w:pPr>
    </w:p>
    <w:p>
      <w:pPr>
        <w:jc w:val="both"/>
        <w:ind w:left="66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the PRC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225" w:lineRule="exact"/>
        <w:rPr>
          <w:sz w:val="20"/>
          <w:szCs w:val="20"/>
          <w:color w:val="auto"/>
        </w:rPr>
      </w:pPr>
    </w:p>
    <w:p>
      <w:pPr>
        <w:ind w:left="660" w:hanging="652"/>
        <w:spacing w:after="0"/>
        <w:tabs>
          <w:tab w:leader="none" w:pos="66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iClick Cayman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175" w:lineRule="exact"/>
        <w:rPr>
          <w:rFonts w:ascii="Times New Roman" w:cs="Times New Roman" w:eastAsia="Times New Roman" w:hAnsi="Times New Roman"/>
          <w:sz w:val="18"/>
          <w:szCs w:val="18"/>
          <w:b w:val="1"/>
          <w:bCs w:val="1"/>
          <w:color w:val="auto"/>
        </w:rPr>
      </w:pPr>
    </w:p>
    <w:p>
      <w:pPr>
        <w:ind w:left="1340" w:hanging="657"/>
        <w:spacing w:after="0"/>
        <w:tabs>
          <w:tab w:leader="none" w:pos="13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of such entities;</w:t>
      </w:r>
    </w:p>
    <w:p>
      <w:pPr>
        <w:spacing w:after="0" w:line="225" w:lineRule="exact"/>
        <w:rPr>
          <w:rFonts w:ascii="Times New Roman" w:cs="Times New Roman" w:eastAsia="Times New Roman" w:hAnsi="Times New Roman"/>
          <w:sz w:val="18"/>
          <w:szCs w:val="18"/>
          <w:color w:val="auto"/>
        </w:rPr>
      </w:pPr>
    </w:p>
    <w:p>
      <w:pPr>
        <w:ind w:left="1340" w:right="20" w:hanging="657"/>
        <w:spacing w:after="0" w:line="282" w:lineRule="auto"/>
        <w:tabs>
          <w:tab w:leader="none" w:pos="13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the conduct of any transactions between iClick Cayman’s PRC subsidiaries and OptAim VIE;</w:t>
      </w:r>
    </w:p>
    <w:p>
      <w:pPr>
        <w:spacing w:after="0" w:line="161" w:lineRule="exact"/>
        <w:rPr>
          <w:rFonts w:ascii="Times New Roman" w:cs="Times New Roman" w:eastAsia="Times New Roman" w:hAnsi="Times New Roman"/>
          <w:sz w:val="18"/>
          <w:szCs w:val="18"/>
          <w:color w:val="auto"/>
        </w:rPr>
      </w:pPr>
    </w:p>
    <w:p>
      <w:pPr>
        <w:ind w:left="1340" w:right="20" w:hanging="657"/>
        <w:spacing w:after="0" w:line="282" w:lineRule="auto"/>
        <w:tabs>
          <w:tab w:leader="none" w:pos="13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of OptAim VIE or iClick Cayman’s PRC subsidiaries, or imposing other requirements with which iClick Cayman or its PRC subsidiaries and OptAim VIE may not be able to comply;</w:t>
      </w:r>
    </w:p>
    <w:p>
      <w:pPr>
        <w:spacing w:after="0" w:line="161" w:lineRule="exact"/>
        <w:rPr>
          <w:rFonts w:ascii="Times New Roman" w:cs="Times New Roman" w:eastAsia="Times New Roman" w:hAnsi="Times New Roman"/>
          <w:sz w:val="18"/>
          <w:szCs w:val="18"/>
          <w:color w:val="auto"/>
        </w:rPr>
      </w:pPr>
    </w:p>
    <w:p>
      <w:pPr>
        <w:jc w:val="both"/>
        <w:ind w:left="1340" w:hanging="657"/>
        <w:spacing w:after="0" w:line="266" w:lineRule="auto"/>
        <w:tabs>
          <w:tab w:leader="none" w:pos="13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iClick Cayman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75" w:lineRule="exact"/>
        <w:rPr>
          <w:rFonts w:ascii="Times New Roman" w:cs="Times New Roman" w:eastAsia="Times New Roman" w:hAnsi="Times New Roman"/>
          <w:sz w:val="18"/>
          <w:szCs w:val="18"/>
          <w:color w:val="auto"/>
        </w:rPr>
      </w:pPr>
    </w:p>
    <w:p>
      <w:pPr>
        <w:ind w:left="1340" w:hanging="657"/>
        <w:spacing w:after="0"/>
        <w:tabs>
          <w:tab w:leader="none" w:pos="134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its use of the proceeds of any offering to finance its business and operations in the PRC.</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If the imposition of any of these penalties precludes the Company from operating its business, it would no longer be in a position to generate revenue or cash from it. If the imposition of any of these penalties causes iClick Cayman to lose its rights to direct the activities of its consolidated VIE or its rights to receive its economic benefits, iClick Cayman would no longer be able to consolidate these entities, and its financial statements would no longer reflect the results of operations from the business conducted by VIE except to the extent that iClick Cayman receives payments from VIE under the contractual arrangements. Either of these results, or any other significant penalties that might be imposed on iClick Cayman in this event, would have a material adverse effect on its financial condition and results of operations.</w:t>
      </w:r>
    </w:p>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On January 19, 2015, the Ministry of Commerce (“MOFCOM”), released for public comment a proposed PRC law, the Draft Foreign Investment Law, that appeared to include VIEs within the scope of entities that could be considered to be foreign investment enterprises (“FIEs”), that would be subject to restrictions under existing PRC law on foreign investment in certain categories of industry. The National People’s Congress approved the Foreign Investment Law on March 15, 2019, effective on January 1, 2020. The Foreign Investment Law removes all references to the terms of “de facto control” or “contractual control” as defined in the draft published in 2015. However, the Foreign Investment Law has a catch-all provision under the definition of “foreign investment” which includes investments made by foreign investors in China through means stipulated in laws or administrative regulations or other methods prescribed by the State Council. In the event that the State Council in the future promulgates laws and regulations that deem investments made by foreign investors through contractual arrangements as “foreign investment” the Company’s ability to use the contractual arrangements with its VIE and the Company ability to conduct business through the VIE could be severely limited.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225" w:lineRule="exact"/>
        <w:rPr>
          <w:sz w:val="20"/>
          <w:szCs w:val="20"/>
          <w:color w:val="auto"/>
        </w:rPr>
      </w:pPr>
    </w:p>
    <w:p>
      <w:pPr>
        <w:ind w:left="660" w:hanging="652"/>
        <w:spacing w:after="0"/>
        <w:tabs>
          <w:tab w:leader="none" w:pos="66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Furthermore, on December 19, 2020, the NDRC and MOFCOM promulgated the Foreign Investment Security Review Measures, which took effect on January 18, 2021. Under the Foreign Investment Security Review Measures, investments in military, national defense-related areas or in locations in proximity to military facilities, or investments that would result in acquiring the actual control of assets in certain key sectors, such as critical agricultural products, energy and resources, equipment manufacturing, infrastructure, transport, cultural products and services, IT, Internet products and services, financial services and technology sectors, are required to be approved by designated governmental authorities in advance. Although the term “investment through other means” is not clearly defined under the Foreign Investment Security Review Measures, iClick Cayman cannot rule out the possibility that control through contractual arrangement may be regarded as a form of actual control and therefore require approval from the competent governmental authority. As the Foreign Investment Security Review Measures were recently promulgated, there are great uncertainties with respect to its interpretation and implementation. Accordingly, there are substantial uncertainties as to whether the Company’s VIE structure may be deemed as a method of foreign investment in the future. If the VIE structure were to be deemed as a method of foreign investment under any future laws, regulations and rules, and if any of the Company’s business operations were to fall under the “negative list” for foreign investment, we would need to take further actions in order to comply with these laws, regulations and rules, which may materially and adversely affect our current corporate structure, business, financial condition and results of operations.</w:t>
      </w:r>
    </w:p>
    <w:p>
      <w:pPr>
        <w:spacing w:after="0" w:line="19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Cayman’s ability to control the VIE also depends on the powers of attorney the founders have to vote on all matters requiring shareholder approval in the VIE. As noted above, these powers of attorney are believed to be legally enforceable but may not be as effective as direct equity ownership.</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OptAim VIE holds assets that are important to the operation of the Company’s business, including patents for proprietary technology and trademarks. If OptAim VIE falls into bankruptcy and all or part of its assets become subject to liens or rights of third-party creditors, the Company may be unable to conduct major part of its business activities in the PRC, which could have a material adverse effect on the Company’s future financial position, results of operations or cash flows. However, the Company believes this is a normal business risk many companies face. The Company will continue to closely monitor the financial conditions of OptAim VIE.</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OptAim VIE’s assets comprise both recognized and unrecognized revenue-producing assets. The recognized revenue-producing assets include leasehold improvements, computers and network equipment and computer software which are recognized in the Company’s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225" w:lineRule="exact"/>
        <w:rPr>
          <w:sz w:val="20"/>
          <w:szCs w:val="20"/>
          <w:color w:val="auto"/>
        </w:rPr>
      </w:pPr>
    </w:p>
    <w:p>
      <w:pPr>
        <w:ind w:left="660" w:hanging="652"/>
        <w:spacing w:after="0"/>
        <w:tabs>
          <w:tab w:leader="none" w:pos="660"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financial data for the VIE and VIE’s subsidiaries on an aggregated basis. For purposes of this presentation, activities within and between the VIE and VIE’s subsidiaries have been eliminated, but transactions with other entities within the consolidated group have been included without elimination.</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Prepaid media costs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subsidiaries of the Company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subsidiaries of the Company</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0"/>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840" w:type="dxa"/>
            <w:vAlign w:val="bottom"/>
            <w:tcBorders>
              <w:bottom w:val="single" w:sz="8" w:color="auto"/>
            </w:tcBorders>
            <w:gridSpan w:val="7"/>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From subsidiaries of the Company (Note)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From third parties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22,837</w:t>
            </w:r>
          </w:p>
        </w:tc>
        <w:tc>
          <w:tcPr>
            <w:tcW w:w="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6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23,865</w:t>
            </w:r>
          </w:p>
        </w:tc>
        <w:tc>
          <w:tcPr>
            <w:tcW w:w="1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loss (Note)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56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PRC regulations (Continued)</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160" w:type="dxa"/>
            <w:vAlign w:val="bottom"/>
            <w:tcBorders>
              <w:bottom w:val="single" w:sz="8" w:color="auto"/>
            </w:tcBorders>
            <w:gridSpan w:val="5"/>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subsidiaries of the Company</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From third parties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Receipts of advances from group companies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Repayments for advances from group companies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Services from VIE and VIE’s subsidiaries to other group companies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VIE and VIE’s subsidiaries provide online advertising service to other group companies. For the years ended December 31, 2021, 2022 and 2023, the intercompany online advertising service revenues recognized by VIE and VIE’s subsidiaries were US$911, US$291 and US$2, respectively. These transactions are eliminated at the consolidation level.</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VIE and VIE’s subsidiaries also provide other marketing services to other group companies. For the years ended December 31, 2021, 2022 and 2023, the intercompany other marketing service revenues recognized by VIE and VIE’s subsidiaries were US$117, US$310 and US$nil, respectively. These transactions are eliminated at the consolidation level.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Services from other group companies to VIE and VIE’s subsidiaries</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WFOE as primary beneficiary and other subsidiaries of the Company provide online advertising service and SaaS services to VIE and VIE’s subsidiaries. For the years ended December 31, 2021, 2022 and 2023, the intercompany online advertising and SaaS service revenues from VIE and VIE’s subsidiaries recognized by WFOE as primary beneficiary and other subsidiaries of the Company were US$49, US$285 and US$5, respectively. These transactions are eliminated at the consolidation level.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and 2023, there were no balances for management fees charged to VIE and VIE’s subsidiaries.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accordance with the VIE arrangements, the Company has the power to direct activities of OptAim VIE, and can have assets transferred out of OptAim VIE. Therefore, the Company considers that there are no assets of OptAim VIE that can be used only to settle their obligations.</w:t>
      </w:r>
    </w:p>
    <w:p>
      <w:pPr>
        <w:spacing w:after="0" w:line="172" w:lineRule="exact"/>
        <w:rPr>
          <w:sz w:val="20"/>
          <w:szCs w:val="20"/>
          <w:color w:val="auto"/>
        </w:rPr>
      </w:pPr>
    </w:p>
    <w:p>
      <w:pPr>
        <w:ind w:left="660" w:hanging="652"/>
        <w:spacing w:after="0"/>
        <w:tabs>
          <w:tab w:leader="none" w:pos="66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exchange risk</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equity.</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225" w:lineRule="exact"/>
        <w:rPr>
          <w:sz w:val="20"/>
          <w:szCs w:val="20"/>
          <w:color w:val="auto"/>
        </w:rPr>
      </w:pPr>
    </w:p>
    <w:p>
      <w:pPr>
        <w:ind w:left="660" w:hanging="652"/>
        <w:spacing w:after="0"/>
        <w:tabs>
          <w:tab w:leader="none" w:pos="6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exchange risk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Company’s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revenues and expenses of the Company’s subsidiaries, VIE and VIE’s subsidiaries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Company’s operating activities are transacted in HK$. Foreign exchange risk arises from future commercial transactions, recognized assets and liabilities and net investments in foreign operations. The Company considers the foreign exchange risk in relation to transactions denominated in HK$ with respect to US$ is not significant as HK$ is pegged to US$.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liabilities measured at fair value on a recurring basis</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by level within the fair value hierarchy (Note 2(e)), financial assets and liabilities measured at fair value as of December 31, 2022 and 2023. As required by ASC 820, financial assets and financial liabilities are classified in their entirety based on the lowest level of input that is significant to the respective fair value measurement.</w:t>
      </w:r>
    </w:p>
    <w:p>
      <w:pPr>
        <w:spacing w:after="0" w:line="187"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6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Quoted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prices</w:t>
            </w:r>
          </w:p>
        </w:tc>
        <w:tc>
          <w:tcPr>
            <w:tcW w:w="1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1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6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 - wealth management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 - listed equity securities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investment - Available-for-sale debt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equity investments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14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6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4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9,316</w:t>
            </w:r>
          </w:p>
        </w:tc>
        <w:tc>
          <w:tcPr>
            <w:tcW w:w="0" w:type="dxa"/>
            <w:vAlign w:val="bottom"/>
          </w:tcPr>
          <w:p>
            <w:pPr>
              <w:spacing w:after="0"/>
              <w:rPr>
                <w:sz w:val="1"/>
                <w:szCs w:val="1"/>
                <w:color w:val="auto"/>
              </w:rPr>
            </w:pPr>
          </w:p>
        </w:tc>
      </w:tr>
      <w:tr>
        <w:trPr>
          <w:trHeight w:val="196"/>
        </w:trPr>
        <w:tc>
          <w:tcPr>
            <w:tcW w:w="4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December 31, 2023</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 - wealth management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 - listed equity securities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198"/>
        </w:trPr>
        <w:tc>
          <w:tcPr>
            <w:tcW w:w="4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long-term investment - Available-for-sale debt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225" w:lineRule="exact"/>
        <w:rPr>
          <w:sz w:val="20"/>
          <w:szCs w:val="20"/>
          <w:color w:val="auto"/>
        </w:rPr>
      </w:pPr>
    </w:p>
    <w:p>
      <w:pPr>
        <w:ind w:left="660" w:hanging="652"/>
        <w:spacing w:after="0"/>
        <w:tabs>
          <w:tab w:leader="none" w:pos="66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(Continued)</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liabilities measured at fair value on a recurring basis (Continued)</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the changes in Level 3 financial liabilities for the years ended December 31, 2022 and 2023.</w:t>
      </w:r>
    </w:p>
    <w:p>
      <w:pPr>
        <w:spacing w:after="0" w:line="169"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4"/>
          <w:szCs w:val="14"/>
          <w:b w:val="1"/>
          <w:bCs w:val="1"/>
          <w:color w:val="auto"/>
        </w:rPr>
        <w:t>Contingent consideration</w:t>
      </w:r>
    </w:p>
    <w:p>
      <w:pPr>
        <w:jc w:val="center"/>
        <w:ind w:left="5500"/>
        <w:spacing w:after="0" w:line="229" w:lineRule="auto"/>
        <w:rPr>
          <w:sz w:val="20"/>
          <w:szCs w:val="20"/>
          <w:color w:val="auto"/>
        </w:rPr>
      </w:pPr>
      <w:r>
        <w:rPr>
          <w:rFonts w:ascii="Times New Roman" w:cs="Times New Roman" w:eastAsia="Times New Roman" w:hAnsi="Times New Roman"/>
          <w:sz w:val="14"/>
          <w:szCs w:val="14"/>
          <w:b w:val="1"/>
          <w:bCs w:val="1"/>
          <w:color w:val="auto"/>
        </w:rPr>
        <w:t>payable</w:t>
      </w:r>
    </w:p>
    <w:p>
      <w:pPr>
        <w:ind w:left="7120"/>
        <w:spacing w:after="0" w:line="221" w:lineRule="auto"/>
        <w:rPr>
          <w:sz w:val="20"/>
          <w:szCs w:val="20"/>
          <w:color w:val="auto"/>
        </w:rPr>
      </w:pPr>
      <w:r>
        <w:rPr>
          <w:rFonts w:ascii="Times New Roman" w:cs="Times New Roman" w:eastAsia="Times New Roman" w:hAnsi="Times New Roman"/>
          <w:sz w:val="14"/>
          <w:szCs w:val="14"/>
          <w:b w:val="1"/>
          <w:bCs w:val="1"/>
          <w:color w:val="auto"/>
        </w:rPr>
        <w:t>For the years ended</w:t>
      </w:r>
    </w:p>
    <w:p>
      <w:pPr>
        <w:ind w:left="7280"/>
        <w:spacing w:after="0" w:line="232"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00" w:type="dxa"/>
        <w:tblCellMar>
          <w:top w:w="0" w:type="dxa"/>
          <w:left w:w="0" w:type="dxa"/>
          <w:bottom w:w="0" w:type="dxa"/>
          <w:right w:w="0" w:type="dxa"/>
        </w:tblCellMar>
      </w:tblPr>
      <w:tr>
        <w:trPr>
          <w:trHeight w:val="142"/>
        </w:trPr>
        <w:tc>
          <w:tcPr>
            <w:tcW w:w="54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 to accrued liabilities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presents the changes in Level 3 financial assets for the years ended December 31, 2022 and 2023.</w:t>
      </w:r>
    </w:p>
    <w:p>
      <w:pPr>
        <w:spacing w:after="0" w:line="232"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4"/>
          <w:szCs w:val="14"/>
          <w:b w:val="1"/>
          <w:bCs w:val="1"/>
          <w:color w:val="auto"/>
        </w:rPr>
        <w:t>Available-for-sale debt</w:t>
      </w:r>
    </w:p>
    <w:p>
      <w:pPr>
        <w:jc w:val="center"/>
        <w:ind w:left="5500"/>
        <w:spacing w:after="0" w:line="229" w:lineRule="auto"/>
        <w:rPr>
          <w:sz w:val="20"/>
          <w:szCs w:val="20"/>
          <w:color w:val="auto"/>
        </w:rPr>
      </w:pPr>
      <w:r>
        <w:rPr>
          <w:rFonts w:ascii="Times New Roman" w:cs="Times New Roman" w:eastAsia="Times New Roman" w:hAnsi="Times New Roman"/>
          <w:sz w:val="14"/>
          <w:szCs w:val="14"/>
          <w:b w:val="1"/>
          <w:bCs w:val="1"/>
          <w:color w:val="auto"/>
        </w:rPr>
        <w:t>investments</w:t>
      </w:r>
    </w:p>
    <w:p>
      <w:pPr>
        <w:ind w:left="7120"/>
        <w:spacing w:after="0" w:line="221" w:lineRule="auto"/>
        <w:rPr>
          <w:sz w:val="20"/>
          <w:szCs w:val="20"/>
          <w:color w:val="auto"/>
        </w:rPr>
      </w:pPr>
      <w:r>
        <w:rPr>
          <w:rFonts w:ascii="Times New Roman" w:cs="Times New Roman" w:eastAsia="Times New Roman" w:hAnsi="Times New Roman"/>
          <w:sz w:val="14"/>
          <w:szCs w:val="14"/>
          <w:b w:val="1"/>
          <w:bCs w:val="1"/>
          <w:color w:val="auto"/>
        </w:rPr>
        <w:t>For the years ended</w:t>
      </w:r>
    </w:p>
    <w:p>
      <w:pPr>
        <w:ind w:left="7280"/>
        <w:spacing w:after="0" w:line="232" w:lineRule="auto"/>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300" w:type="dxa"/>
        <w:tblCellMar>
          <w:top w:w="0" w:type="dxa"/>
          <w:left w:w="0" w:type="dxa"/>
          <w:bottom w:w="0" w:type="dxa"/>
          <w:right w:w="0" w:type="dxa"/>
        </w:tblCellMar>
      </w:tblPr>
      <w:tr>
        <w:trPr>
          <w:trHeight w:val="142"/>
        </w:trPr>
        <w:tc>
          <w:tcPr>
            <w:tcW w:w="54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r>
      <w:tr>
        <w:trPr>
          <w:trHeight w:val="20"/>
        </w:trPr>
        <w:tc>
          <w:tcPr>
            <w:tcW w:w="5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300" w:hanging="644"/>
        <w:spacing w:after="0"/>
        <w:tabs>
          <w:tab w:leader="none" w:pos="13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 on a non-recurring basis</w:t>
      </w:r>
    </w:p>
    <w:p>
      <w:pPr>
        <w:spacing w:after="0" w:line="225"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 without readily determinable fair value accounted for using the measurement alternative are recorded at fair value only if an impairment or observable price adjustment is recognized in the current period. These non-recurring fair value measurements use significant unobservable inputs (Level 3). The Company uses market approach based on the Company’s best estimate to determine the fair value of these investments. An observable price change is usually resulting from new rounds of financing of the investees. The Company determines whether the securities offered in new rounds of financing are similar to the equity securities held by the Company by comparing the rights and obligations of the securities. When the securities offered in new rounds of financing are determined to be similar to the securities held by the Company, the Company adjusts the observable price of the similar security to determine the amount that should be recorded as an adjustment in the carrying value of the security to reflect the current fair value of the security held by the Company. There were no fair value changes related to such equity securities due to the observable price change of the investment without readily determinable fair value in the consolidated balance sheets for the years ended December 31, 2022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225" w:lineRule="exact"/>
        <w:rPr>
          <w:sz w:val="20"/>
          <w:szCs w:val="20"/>
          <w:color w:val="auto"/>
        </w:rPr>
      </w:pPr>
    </w:p>
    <w:p>
      <w:pPr>
        <w:ind w:left="660" w:hanging="652"/>
        <w:spacing w:after="0"/>
        <w:tabs>
          <w:tab w:leader="none" w:pos="66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(Continued)</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 on a non-recurring basis (Continued)</w:t>
      </w:r>
    </w:p>
    <w:p>
      <w:pPr>
        <w:spacing w:after="0" w:line="225" w:lineRule="exact"/>
        <w:rPr>
          <w:rFonts w:ascii="Times New Roman" w:cs="Times New Roman" w:eastAsia="Times New Roman" w:hAnsi="Times New Roman"/>
          <w:sz w:val="18"/>
          <w:szCs w:val="18"/>
          <w:color w:val="auto"/>
        </w:rPr>
      </w:pPr>
    </w:p>
    <w:p>
      <w:pPr>
        <w:jc w:val="both"/>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assesses the existence of indicators for other-than-temporary impairment of the investments by considering factors as detailed in Note 2(m). The Company recognized US$4,038, US$10,805 and US$1,034 impairment charges to investments in equity securities without readily determinable fair value classified as other long-term investments for the years ended December 31, 2021, 2022 and 2023, respectively.</w:t>
      </w:r>
    </w:p>
    <w:p>
      <w:pPr>
        <w:spacing w:after="0" w:line="179" w:lineRule="exact"/>
        <w:rPr>
          <w:rFonts w:ascii="Times New Roman" w:cs="Times New Roman" w:eastAsia="Times New Roman" w:hAnsi="Times New Roman"/>
          <w:sz w:val="18"/>
          <w:szCs w:val="18"/>
          <w:color w:val="auto"/>
        </w:rPr>
      </w:pPr>
    </w:p>
    <w:p>
      <w:pPr>
        <w:jc w:val="both"/>
        <w:ind w:left="13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in determining the fair value of one investment in equity securities over which the Company identified impairment indicators, market multiple method was used, with significant input including (i) a discount for lack of marketability of 20%, and (ii) price-to-sales multiples of comparable companies of price - to - sales multiples of comparable companies of 7.6. As of December 31, 2023, in determining the fair value of two investments in equity securities, the Company assessed the investees’ financial performance to be unsatisfied with no obvious upturn or potential financing solutions in the foreseeable future, and the Company determined the fair value of these investments was less than their carrying value.</w:t>
      </w:r>
    </w:p>
    <w:p>
      <w:pPr>
        <w:spacing w:after="0" w:line="188"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the changes in financial assets measured using Level 3 input on a non-recurring basis for the years ended December 31, 2022 and 2023.</w:t>
      </w:r>
    </w:p>
    <w:p>
      <w:pPr>
        <w:spacing w:after="0" w:line="16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Other long-term equity investments</w:t>
      </w:r>
    </w:p>
    <w:tbl>
      <w:tblPr>
        <w:tblLayout w:type="fixed"/>
        <w:tblInd w:w="130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made/transferred from prepayments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during the year</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Transfer to short-term investments - listed equity securities (Note)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on investments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16"/>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1300" w:right="160"/>
        <w:spacing w:after="0" w:line="282" w:lineRule="auto"/>
        <w:rPr>
          <w:sz w:val="20"/>
          <w:szCs w:val="20"/>
          <w:color w:val="auto"/>
        </w:rPr>
      </w:pPr>
      <w:r>
        <w:rPr>
          <w:rFonts w:ascii="Times New Roman" w:cs="Times New Roman" w:eastAsia="Times New Roman" w:hAnsi="Times New Roman"/>
          <w:sz w:val="18"/>
          <w:szCs w:val="18"/>
          <w:color w:val="auto"/>
        </w:rPr>
        <w:t>The fair value hierarchy of an equity investment was transferred from level 3 to level 1 due to the public listing of the investee during the year ended December 31, 2022.</w:t>
      </w:r>
    </w:p>
    <w:p>
      <w:pPr>
        <w:spacing w:after="0" w:line="158" w:lineRule="exact"/>
        <w:rPr>
          <w:sz w:val="20"/>
          <w:szCs w:val="20"/>
          <w:color w:val="auto"/>
        </w:rPr>
      </w:pPr>
    </w:p>
    <w:p>
      <w:pPr>
        <w:ind w:left="660" w:hanging="652"/>
        <w:spacing w:after="0"/>
        <w:tabs>
          <w:tab w:leader="none" w:pos="660"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w:t>
      </w:r>
    </w:p>
    <w:p>
      <w:pPr>
        <w:spacing w:after="0" w:line="229" w:lineRule="exact"/>
        <w:rPr>
          <w:rFonts w:ascii="Times New Roman" w:cs="Times New Roman" w:eastAsia="Times New Roman" w:hAnsi="Times New Roman"/>
          <w:sz w:val="18"/>
          <w:szCs w:val="18"/>
          <w:b w:val="1"/>
          <w:bCs w:val="1"/>
          <w:color w:val="auto"/>
        </w:rPr>
      </w:pPr>
    </w:p>
    <w:p>
      <w:pPr>
        <w:ind w:left="1340" w:hanging="657"/>
        <w:spacing w:after="0"/>
        <w:tabs>
          <w:tab w:leader="none" w:pos="134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revenues</w:t>
      </w:r>
    </w:p>
    <w:p>
      <w:pPr>
        <w:spacing w:after="0" w:line="225"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2021 and 2022, no individual customer accounted for more than 10% of the net revenues. For the year ended December 31, 2023, one customer accounted for 11% of the net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225" w:lineRule="exact"/>
        <w:rPr>
          <w:sz w:val="20"/>
          <w:szCs w:val="20"/>
          <w:color w:val="auto"/>
        </w:rPr>
      </w:pPr>
    </w:p>
    <w:p>
      <w:pPr>
        <w:ind w:left="660" w:hanging="652"/>
        <w:spacing w:after="0"/>
        <w:tabs>
          <w:tab w:leader="none" w:pos="660"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 (Continued)</w:t>
      </w:r>
    </w:p>
    <w:p>
      <w:pPr>
        <w:spacing w:after="0" w:line="229" w:lineRule="exact"/>
        <w:rPr>
          <w:rFonts w:ascii="Times New Roman" w:cs="Times New Roman" w:eastAsia="Times New Roman" w:hAnsi="Times New Roman"/>
          <w:sz w:val="18"/>
          <w:szCs w:val="18"/>
          <w:b w:val="1"/>
          <w:bCs w:val="1"/>
          <w:color w:val="auto"/>
        </w:rPr>
      </w:pPr>
    </w:p>
    <w:p>
      <w:pPr>
        <w:ind w:left="1340" w:hanging="657"/>
        <w:spacing w:after="0"/>
        <w:tabs>
          <w:tab w:leader="none" w:pos="134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accounts receivable</w:t>
      </w:r>
    </w:p>
    <w:p>
      <w:pPr>
        <w:spacing w:after="0" w:line="225"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Company conducts credit evaluations on its customers and generally does not require collateral or other security from such customers. The Company generally grants up to 180 days of credit term to customers and periodically evaluates the creditworthiness of the existing customers in determining an allowance for doubtful accounts primarily based upon the age of the receivables and factors surrounding the credit risk of specific customers.</w:t>
      </w:r>
    </w:p>
    <w:p>
      <w:pPr>
        <w:spacing w:after="0" w:line="180"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As of December 31, 2022 and 2023, no individual customer accounted for more than 10% of the consolidated accounts receivable. The top 10 accounts receivable accounted for 59% and 42% of the consolidated accounts receivable as of December 31, 2022 and 2023, respectively.</w:t>
      </w:r>
    </w:p>
    <w:p>
      <w:pPr>
        <w:spacing w:after="0" w:line="176" w:lineRule="exact"/>
        <w:rPr>
          <w:sz w:val="20"/>
          <w:szCs w:val="20"/>
          <w:color w:val="auto"/>
        </w:rPr>
      </w:pPr>
    </w:p>
    <w:p>
      <w:pPr>
        <w:ind w:left="1340" w:hanging="657"/>
        <w:spacing w:after="0"/>
        <w:tabs>
          <w:tab w:leader="none" w:pos="1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w:t>
      </w:r>
    </w:p>
    <w:p>
      <w:pPr>
        <w:spacing w:after="0" w:line="225" w:lineRule="exact"/>
        <w:rPr>
          <w:sz w:val="20"/>
          <w:szCs w:val="20"/>
          <w:color w:val="auto"/>
        </w:rPr>
      </w:pPr>
    </w:p>
    <w:p>
      <w:pPr>
        <w:jc w:val="both"/>
        <w:ind w:left="1300"/>
        <w:spacing w:after="0" w:line="252" w:lineRule="auto"/>
        <w:rPr>
          <w:sz w:val="20"/>
          <w:szCs w:val="20"/>
          <w:color w:val="auto"/>
        </w:rPr>
      </w:pPr>
      <w:r>
        <w:rPr>
          <w:rFonts w:ascii="Times New Roman" w:cs="Times New Roman" w:eastAsia="Times New Roman" w:hAnsi="Times New Roman"/>
          <w:sz w:val="18"/>
          <w:szCs w:val="18"/>
          <w:color w:val="auto"/>
        </w:rPr>
        <w:t>As of December 31, 2022 and 2023, substantially all of the Company’s cash and cash equivalents, time deposits and restricted cash were mainly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Company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Company believes that it is not exposed to unusual risks as these financial institutions are PRC banks with high credit quality. The Company had not experienced any losses on its cash and cash equivalents, time deposits and restricted cash during the years ended December 31, 2021, 2022 and 2023 and believes that its credit risk to be minimal.</w:t>
      </w:r>
    </w:p>
    <w:p>
      <w:pPr>
        <w:spacing w:after="0" w:line="193" w:lineRule="exact"/>
        <w:rPr>
          <w:sz w:val="20"/>
          <w:szCs w:val="20"/>
          <w:color w:val="auto"/>
        </w:rPr>
      </w:pPr>
    </w:p>
    <w:p>
      <w:pPr>
        <w:ind w:left="660" w:hanging="652"/>
        <w:spacing w:after="0"/>
        <w:tabs>
          <w:tab w:leader="none" w:pos="660"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ind w:left="660" w:hanging="652"/>
        <w:spacing w:after="0"/>
        <w:tabs>
          <w:tab w:leader="none" w:pos="66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CMRS Group Holding Limited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2020, the Company acquired 100% equity interest in CMRS Group Holding Limited (“CMRS”), a company incorporated in Hong Kong. CMRS and its underlying subsidiaries (together, “CMRS Group”) are engaged in the provision of digital marketing, social media and key opinion leaders and smart content generation enterprise solution services. iClick Cayman expects to increase its market share in both Marketing and Enterprise Solutions segments with the combination of data-driven consumer experience management as well as digital content marketing and management to maximize digital marketing potential and efficiency through CMRS Group.</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purchase consideration for CMRS Group amounted to US$14,449. This comprised cash consideration of HK$33,594 (equivalent to approximately US$4,335), 182,950 Class A ordinary shares of iClick Cayman with a fair value of US$2,440 and contingent consideration payable at a fair value of US$7,674.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(Continued)</w:t>
      </w:r>
    </w:p>
    <w:p>
      <w:pPr>
        <w:spacing w:after="0" w:line="225" w:lineRule="exact"/>
        <w:rPr>
          <w:sz w:val="20"/>
          <w:szCs w:val="20"/>
          <w:color w:val="auto"/>
        </w:rPr>
      </w:pPr>
    </w:p>
    <w:p>
      <w:pPr>
        <w:ind w:left="660" w:right="4760" w:hanging="652"/>
        <w:spacing w:after="0" w:line="532" w:lineRule="auto"/>
        <w:tabs>
          <w:tab w:leader="none" w:pos="660" w:val="left"/>
        </w:tabs>
        <w:numPr>
          <w:ilvl w:val="0"/>
          <w:numId w:val="2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Acquisition of CMRS Group Holding Limited (Continued) </w:t>
      </w:r>
      <w:r>
        <w:rPr>
          <w:rFonts w:ascii="Times New Roman" w:cs="Times New Roman" w:eastAsia="Times New Roman" w:hAnsi="Times New Roman"/>
          <w:sz w:val="17"/>
          <w:szCs w:val="17"/>
          <w:color w:val="auto"/>
        </w:rPr>
        <w:t>The acquisition was recorded as a business combination.</w:t>
      </w:r>
    </w:p>
    <w:p>
      <w:pPr>
        <w:spacing w:after="0" w:line="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Fair value of consideration transferred:</w:t>
      </w: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(Note (i))</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Class A ordinary shares of iClick Cayman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(Note (ii))</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r>
      <w:tr>
        <w:trPr>
          <w:trHeight w:val="210"/>
        </w:trPr>
        <w:tc>
          <w:tcPr>
            <w:tcW w:w="77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14,449</w:t>
            </w:r>
          </w:p>
        </w:tc>
      </w:tr>
      <w:tr>
        <w:trPr>
          <w:trHeight w:val="20"/>
        </w:trPr>
        <w:tc>
          <w:tcPr>
            <w:tcW w:w="7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158" w:lineRule="exact"/>
        <w:rPr>
          <w:sz w:val="20"/>
          <w:szCs w:val="20"/>
          <w:color w:val="auto"/>
        </w:rPr>
      </w:pPr>
    </w:p>
    <w:p>
      <w:pPr>
        <w:jc w:val="both"/>
        <w:ind w:left="1340" w:hanging="657"/>
        <w:spacing w:after="0" w:line="266" w:lineRule="auto"/>
        <w:tabs>
          <w:tab w:leader="none" w:pos="1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the total cash consideration of US$4,335, US$959 was settled during the year ended December 31, 2020 and the remaining balance of US$3,376 was settled during the year ended December 31, 2021. There was no adjustment to the cash consideration amounts.</w:t>
      </w:r>
    </w:p>
    <w:p>
      <w:pPr>
        <w:spacing w:after="0" w:line="94" w:lineRule="exact"/>
        <w:rPr>
          <w:rFonts w:ascii="Times New Roman" w:cs="Times New Roman" w:eastAsia="Times New Roman" w:hAnsi="Times New Roman"/>
          <w:sz w:val="18"/>
          <w:szCs w:val="18"/>
          <w:color w:val="auto"/>
        </w:rPr>
      </w:pPr>
    </w:p>
    <w:p>
      <w:pPr>
        <w:jc w:val="both"/>
        <w:ind w:left="1340" w:hanging="657"/>
        <w:spacing w:after="0" w:line="261" w:lineRule="auto"/>
        <w:tabs>
          <w:tab w:leader="none" w:pos="1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was contingently payable upon the satisfaction of certain financial performance targets of iClick Cayman and market conditions, which was to be settled partially by cash and partially by ordinary shares of iClick Cayman. The number of ordinary shares to be issued and allotted to sellers was determined using the 10-day moving average closing price of the ADS of iClick Cayman.</w:t>
      </w:r>
    </w:p>
    <w:p>
      <w:pPr>
        <w:spacing w:after="0" w:line="112"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Contingent consideration was measured at fair value at the acquisition date using projected milestone dates, probabilities of success and projected financial results of the CMRS Group discounted at its fair value as of the acquisition date.</w:t>
      </w:r>
    </w:p>
    <w:p>
      <w:pPr>
        <w:spacing w:after="0" w:line="108"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In determining the fair value of the contingent consideration, an income approach was applied by using discounted cash flows. In this approach, projected risk-adjusted contingent payments were discounted back to the current period using a discounted cash flow model. The key assumptions used to determine the fair value of the contingent consideration included projected milestone dates within 24 months after acquisition date and discount rate of 4.32%. Increase or decrease in the fair value of contingent consideration liabilities primarily resulted from changes in the estimated probabilities of achieving net profits after tax thresholds or market share prices milestones during the period.</w:t>
      </w:r>
    </w:p>
    <w:p>
      <w:pPr>
        <w:spacing w:after="0" w:line="1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During the year ended December 31, 2021, iClick Cayman partially settled contingent consideration payable with</w:t>
      </w:r>
    </w:p>
    <w:p>
      <w:pPr>
        <w:spacing w:after="0" w:line="27" w:lineRule="exact"/>
        <w:rPr>
          <w:sz w:val="20"/>
          <w:szCs w:val="20"/>
          <w:color w:val="auto"/>
        </w:rPr>
      </w:pPr>
    </w:p>
    <w:p>
      <w:pPr>
        <w:jc w:val="both"/>
        <w:ind w:left="1300" w:firstLine="4"/>
        <w:spacing w:after="0" w:line="253" w:lineRule="auto"/>
        <w:tabs>
          <w:tab w:leader="none" w:pos="151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of US$2,024 and (ii) 183,740 Class A ordinary shares of iClick Cayman with a fair value of US$2,060 on the grant date of such consideration shares. The change in fair value recorded in consolidated statement of comprehensive loss under “other gains/(losses), net” for the year ended December 31, 2021 amounted to a gain of US$418.</w:t>
      </w:r>
    </w:p>
    <w:p>
      <w:pPr>
        <w:spacing w:after="0" w:line="121"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iClick Cayman agreed with the sellers of CMRS Group on the settlement of the outstanding contingent consideration payable with a total cash of HK$100 million (equivalent to US$12,903), out of which US$ 7,742 was settled during the year ended December 31, 2022, while the remaining amounts of US$5,161 have been settled during the year ended December 31, 2023. The fair value loss pertained to the contingent payable prior to the settlement agreement with the sellers of CMRS Group was recorded in consolidated statement of comprehensive loss under “other gains/(losses), net” for the year ended December 31, 2022 amounted to US$8,396.</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(Continued)</w:t>
      </w:r>
    </w:p>
    <w:p>
      <w:pPr>
        <w:spacing w:after="0" w:line="225" w:lineRule="exact"/>
        <w:rPr>
          <w:sz w:val="20"/>
          <w:szCs w:val="20"/>
          <w:color w:val="auto"/>
        </w:rPr>
      </w:pPr>
    </w:p>
    <w:p>
      <w:pPr>
        <w:ind w:left="660" w:hanging="652"/>
        <w:spacing w:after="0"/>
        <w:tabs>
          <w:tab w:leader="none" w:pos="66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Sky Gem International Limited</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2021, iClick Cayman acquired 51% equity interest of Sky Gem International Limited and its subsidiaries (together “Sky Gem”).</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Sky Gem, which is principally engaged in the business of developing and providing SaaS solution for apparel business owners across various functions including production line management, enterprise resources planning, order management system, sales channel management and customer management in the PRC, Hong Kong, Macau and Taiwan. Upon completion of the acquisition, the Company expects to increase its market share in the data-driven Enterprise Solutions segment businesses beyond digital marketing through Sky Gem.</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purchase consideration amounted to US$3,200 which is wholly settled in cash. The acquisition was accounted for as a business combination. The following table summarizes the estimated fair values of the assets acquired and liabilities assumed at the date of acquisition:</w:t>
      </w:r>
    </w:p>
    <w:p>
      <w:pPr>
        <w:spacing w:after="0" w:line="17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of consideration transferred:</w:t>
      </w: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identifiable net assets acquired, net of non-controlling interests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(Note 13)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2021, purchase consideration of US$3,200 was fully settled and there is no adjustment to the purchase consideration amounts.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excess of purchase price over total identifiable net assets acquired, net of non-controlling interests, was recorded as goodwill. Goodwill associated with the acquisition of Sky Gem was attributable to the expected synergy arising from the consolidated Enterprise Solutions business. The acquired goodwill is not deductible for tax purposes. Acquisition-related costs were immaterial and were included in general and administrative expenses for the year ended December 31, 2021.</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Pro-forma results related to the acquisition in accordance ASC 805 have not been presented because the contribution of net revenue and net loss of the acquired entity is less than 1% of iClick Cayman’s consolidated net revenue and net loss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(Continued)</w:t>
      </w:r>
    </w:p>
    <w:p>
      <w:pPr>
        <w:spacing w:after="0" w:line="225" w:lineRule="exact"/>
        <w:rPr>
          <w:sz w:val="20"/>
          <w:szCs w:val="20"/>
          <w:color w:val="auto"/>
        </w:rPr>
      </w:pPr>
    </w:p>
    <w:p>
      <w:pPr>
        <w:ind w:left="660" w:hanging="652"/>
        <w:spacing w:after="0"/>
        <w:tabs>
          <w:tab w:leader="none" w:pos="6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a customer relationship management (“CRM”) platform</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2021, the Company completed an acquisition of a PRC-based CRM platform namely Parllay which provides WeChat-based CRM, e-commerce and marketing SaaS solutions to facilitate the growth of iClick Cayman’s Enterprise Solutions segment. iClick anticipates utilizing Parllay’s rich expertise in SaaS technology and the assembled workforce to further enhance iClick’s product and services and accelerate revenue of its Enterprise Solutions segment.</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purchase consideration for all the assets amounted to US$1,825, which is wholly settled in cash. The acquisition was accounted for as a business combination as it contains outputs and a substantive process that together significantly contribute to the ability to create outputs as of the date of acquisition. The following table summarizes the estimated fair values of the assets acquired and liabilities assumed at the date of acquisition:</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of consideration transferred:</w:t>
      </w:r>
    </w:p>
    <w:p>
      <w:pPr>
        <w:spacing w:after="0" w:line="25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Recognized amounts of identifiable assets acquired and liabilities assumed:</w:t>
            </w: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40" w:type="dxa"/>
            <w:vAlign w:val="bottom"/>
            <w:gridSpan w:val="2"/>
            <w:vMerge w:val="continue"/>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(Note 13)</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2021, purchase consideration of US$1,825 was fully settled and there is no adjustment to the purchase consideration amounts.</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excess of purchase price over total identifiable net assets acquired was recorded as goodwill. Goodwill associated with the acquisition of Parllay was attributable to the expected synergy arising from the consolidated Enterprise Solutions business. The acquired goodwill is not deductible for tax purposes. Acquisition-related costs were immaterial and were included in general and administrative expenses for the year ended December 31, 2021.</w:t>
      </w:r>
    </w:p>
    <w:p>
      <w:pPr>
        <w:spacing w:after="0" w:line="180" w:lineRule="exact"/>
        <w:rPr>
          <w:sz w:val="20"/>
          <w:szCs w:val="20"/>
          <w:color w:val="auto"/>
        </w:rPr>
      </w:pPr>
    </w:p>
    <w:p>
      <w:pPr>
        <w:jc w:val="both"/>
        <w:ind w:left="660"/>
        <w:spacing w:after="0" w:line="289" w:lineRule="auto"/>
        <w:rPr>
          <w:sz w:val="20"/>
          <w:szCs w:val="20"/>
          <w:color w:val="auto"/>
        </w:rPr>
      </w:pPr>
      <w:r>
        <w:rPr>
          <w:rFonts w:ascii="Times New Roman" w:cs="Times New Roman" w:eastAsia="Times New Roman" w:hAnsi="Times New Roman"/>
          <w:sz w:val="17"/>
          <w:szCs w:val="17"/>
          <w:color w:val="auto"/>
        </w:rPr>
        <w:t>In determining the fair value of the intangible asset, an income approach was used. In this approach, significant estimates consist of discount rate of 22.7% and a compound annual growth rate on revenue of 32% over a period of 5 years. The estimated amounts recognized on the acquired identifiable intangible asset and its estimated useful life are shown in the following table:</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Intangible asset</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r>
      <w:tr>
        <w:trPr>
          <w:trHeight w:val="209"/>
        </w:trPr>
        <w:tc>
          <w:tcPr>
            <w:tcW w:w="5480" w:type="dxa"/>
            <w:vAlign w:val="bottom"/>
            <w:tcBorders>
              <w:top w:val="single" w:sz="8" w:color="auto"/>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 years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0"/>
        </w:trPr>
        <w:tc>
          <w:tcPr>
            <w:tcW w:w="5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Pro-forma results related to the acquisition in accordance ASC 805 have not been presented because the acquisition of Parllay is not material, where net revenue and net loss contributed by Parllay is less than 5% of iClick Cayman consolidated net revenue and net loss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 and time deposits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represent cash on hand, cash held at banks, and short-term deposits placed with banks or other financial institutions, which have original maturities of three months or less.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the Company had time deposits of US$258 (2022: US$10) with an average original maturity of 91-</w:t>
      </w:r>
    </w:p>
    <w:p>
      <w:pPr>
        <w:spacing w:after="0" w:line="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95 days (2022: 5 months) which are denominated in US$ (2022: same).</w:t>
      </w:r>
    </w:p>
    <w:p>
      <w:pPr>
        <w:spacing w:after="0" w:line="20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and time deposits as of December 31, 2022 and 2023 primarily consist of the following currencies: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Borders>
              <w:bottom w:val="single" w:sz="8" w:color="auto"/>
            </w:tcBorders>
          </w:tcPr>
          <w:p>
            <w:pPr>
              <w:spacing w:after="0"/>
              <w:rPr>
                <w:sz w:val="15"/>
                <w:szCs w:val="15"/>
                <w:color w:val="auto"/>
              </w:rPr>
            </w:pPr>
          </w:p>
        </w:tc>
      </w:tr>
      <w:tr>
        <w:trPr>
          <w:trHeight w:val="142"/>
        </w:trPr>
        <w:tc>
          <w:tcPr>
            <w:tcW w:w="4660" w:type="dxa"/>
            <w:vAlign w:val="bottom"/>
          </w:tcPr>
          <w:p>
            <w:pPr>
              <w:spacing w:after="0"/>
              <w:rPr>
                <w:sz w:val="12"/>
                <w:szCs w:val="12"/>
                <w:color w:val="auto"/>
              </w:rPr>
            </w:pPr>
          </w:p>
        </w:tc>
        <w:tc>
          <w:tcPr>
            <w:tcW w:w="112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Pr>
          <w:p>
            <w:pPr>
              <w:spacing w:after="0"/>
              <w:rPr>
                <w:sz w:val="12"/>
                <w:szCs w:val="12"/>
                <w:color w:val="auto"/>
              </w:rPr>
            </w:pPr>
          </w:p>
        </w:tc>
        <w:tc>
          <w:tcPr>
            <w:tcW w:w="1280" w:type="dxa"/>
            <w:vAlign w:val="bottom"/>
            <w:gridSpan w:val="4"/>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2"/>
                <w:szCs w:val="12"/>
                <w:color w:val="auto"/>
              </w:rPr>
            </w:pPr>
          </w:p>
        </w:tc>
      </w:tr>
      <w:tr>
        <w:trPr>
          <w:trHeight w:val="117"/>
        </w:trPr>
        <w:tc>
          <w:tcPr>
            <w:tcW w:w="466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Amount in</w:t>
            </w:r>
          </w:p>
        </w:tc>
        <w:tc>
          <w:tcPr>
            <w:tcW w:w="760" w:type="dxa"/>
            <w:vAlign w:val="bottom"/>
            <w:tcBorders>
              <w:top w:val="single" w:sz="8" w:color="auto"/>
            </w:tcBorders>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16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Amount in</w:t>
            </w:r>
          </w:p>
        </w:tc>
        <w:tc>
          <w:tcPr>
            <w:tcW w:w="800" w:type="dxa"/>
            <w:vAlign w:val="bottom"/>
            <w:tcBorders>
              <w:top w:val="single" w:sz="8" w:color="auto"/>
            </w:tcBorders>
          </w:tcPr>
          <w:p>
            <w:pPr>
              <w:jc w:val="right"/>
              <w:ind w:right="234"/>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173"/>
        </w:trPr>
        <w:tc>
          <w:tcPr>
            <w:tcW w:w="466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thousand</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equivalent</w:t>
            </w:r>
          </w:p>
        </w:tc>
        <w:tc>
          <w:tcPr>
            <w:tcW w:w="16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equivalent</w:t>
            </w: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RMB</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378,033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54,632</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257,468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HK$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235,432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dollars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New Taiwan dollars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09"/>
        </w:trPr>
        <w:tc>
          <w:tcPr>
            <w:tcW w:w="4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82,764</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51,024</w:t>
            </w:r>
          </w:p>
        </w:tc>
      </w:tr>
      <w:tr>
        <w:trPr>
          <w:trHeight w:val="20"/>
        </w:trPr>
        <w:tc>
          <w:tcPr>
            <w:tcW w:w="4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2022 and 2023, all the restricted cash represented bank balances held in restricted bank accounts pursuant to certain bank borrowings (Note 17).</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cash carried fixed interest at a weighted average rate of 3.14% (2022: 2.34%) per annum, out of which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US$9,204 (2022: US$9,213), and US$17,552 (2022: US$13,330) are denominated in US$ and RMB, respectively.</w:t>
      </w:r>
    </w:p>
    <w:p>
      <w:pPr>
        <w:spacing w:after="0" w:line="203" w:lineRule="exact"/>
        <w:rPr>
          <w:sz w:val="20"/>
          <w:szCs w:val="20"/>
          <w:color w:val="auto"/>
        </w:rPr>
      </w:pPr>
    </w:p>
    <w:p>
      <w:pPr>
        <w:ind w:left="660" w:hanging="652"/>
        <w:spacing w:after="0"/>
        <w:tabs>
          <w:tab w:leader="none" w:pos="66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investment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31, 2019, iClick Cayman and VGI Global Media PLC (“VGI”), an online-to-offline solutions provider across advertising, payment and logistics platforms in Thailand, jointly established a new company namely V-Click Technology Company Limited (“V-Click”). VGI holds a majority stake of 51% in V-Click and iClick Cayman holds the remaining 49% stake. The investment was accounted for as an equity-method investment due to the significant influence iClick Cayman has over the operating and financial policies of V-Click.</w:t>
      </w:r>
    </w:p>
    <w:p>
      <w:pPr>
        <w:spacing w:after="0" w:line="179" w:lineRule="exact"/>
        <w:rPr>
          <w:sz w:val="20"/>
          <w:szCs w:val="20"/>
          <w:color w:val="auto"/>
        </w:rPr>
      </w:pPr>
    </w:p>
    <w:p>
      <w:pPr>
        <w:ind w:left="660" w:hanging="652"/>
        <w:spacing w:after="0"/>
        <w:tabs>
          <w:tab w:leader="none" w:pos="66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an equity investee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Movements on the Company’s investment in V-Click during the years ended December 31, 2022 and 2023 were as follows:</w:t>
      </w:r>
    </w:p>
    <w:p>
      <w:pPr>
        <w:spacing w:after="0" w:line="232"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2"/>
                <w:szCs w:val="12"/>
                <w:color w:val="auto"/>
              </w:rPr>
            </w:pPr>
          </w:p>
        </w:tc>
      </w:tr>
      <w:tr>
        <w:trPr>
          <w:trHeight w:val="210"/>
        </w:trPr>
        <w:tc>
          <w:tcPr>
            <w:tcW w:w="6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35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w:t>
            </w:r>
          </w:p>
        </w:tc>
        <w:tc>
          <w:tcPr>
            <w:tcW w:w="4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4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844"/>
        </w:trPr>
        <w:tc>
          <w:tcPr>
            <w:tcW w:w="6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0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F-51</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61"/>
        </w:trPr>
        <w:tc>
          <w:tcPr>
            <w:tcW w:w="6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investment (Continued)</w:t>
      </w:r>
    </w:p>
    <w:p>
      <w:pPr>
        <w:spacing w:after="0" w:line="225" w:lineRule="exact"/>
        <w:rPr>
          <w:sz w:val="20"/>
          <w:szCs w:val="20"/>
          <w:color w:val="auto"/>
        </w:rPr>
      </w:pPr>
    </w:p>
    <w:p>
      <w:pPr>
        <w:ind w:left="660" w:hanging="652"/>
        <w:spacing w:after="0"/>
        <w:tabs>
          <w:tab w:leader="none" w:pos="66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an equity investee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recognized its share of the equity investee’s loss of US$75 and US$61 for the years ended December 31, 2022 and 2023, respectively. There was no indicator of impairment noted for this equity-method investment as of December 31, 2022 and 2023.</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due from an equity investee</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2022 and 2023, the amount was due from V-Click in relation to cash advances of US$312 and US$6, respectively, which was unsecured, interest-free and repayable on demand.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8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Other long-term investments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8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debt investment (Note 2(k))</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10"/>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equity securities without readily determinable fair values, gross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14,104</w:t>
            </w: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(14,104)</w:t>
            </w:r>
          </w:p>
        </w:tc>
      </w:tr>
      <w:tr>
        <w:trPr>
          <w:trHeight w:val="209"/>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equity securities without readily determinable fair values,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long-term investments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other long-term investments consist of (i) available-for-sale debt investments (see Note 2(k)), and (ii) securities without readily determinable fair value and over which the Company has neither significant influence nor control through investments in common stock or in-substance common stock.</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Movement of investments in equity securities without readily determinable fair values for the years ended December 31, 2022 and 2023 is as follows:</w:t>
      </w:r>
    </w:p>
    <w:p>
      <w:pPr>
        <w:spacing w:after="0" w:line="16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78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660" w:type="dxa"/>
        <w:tblCellMar>
          <w:top w:w="0" w:type="dxa"/>
          <w:left w:w="0" w:type="dxa"/>
          <w:bottom w:w="0" w:type="dxa"/>
          <w:right w:w="0" w:type="dxa"/>
        </w:tblCellMar>
      </w:tblPr>
      <w:tr>
        <w:trPr>
          <w:trHeight w:val="142"/>
        </w:trPr>
        <w:tc>
          <w:tcPr>
            <w:tcW w:w="65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12,114</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made/transferred from prepayments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 during the year</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Transfer to short-term investments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used measurement alternative for recording equity investments without readily determinable fair values at cost, less impairment, adjusted for subsequent observable price changes. Based on ASU 2016-01, entities that elect the measurement alternative will report changes in the carrying value of the equity investments in current earnings. If measurement alternative is used, changes in the carrying value of the equity investment will be recognized whenever there are observable price changes in orderly transactions for the identical or similar investment of the same issuer, and impairment charges will be recorded when any impairment indicators are noted and the fair value is lower than the carrying value.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long-term investments (Continued)</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with the assistance of an independent valuer, assessed the fair value of certain investments as of the balance sheet date, using significant unobservable input including price-to-sales multiples of comparable companies and a discount for lack of marketability (the “DLOM”). The Company concluded that impairment was warranted for certain investments as of December 31, 2021, 2022 and 2023 and recognized impairment charges for investments without readily determinable fair value of US$4,038, US$10,805 and US$1,034 for the years ended December 31, 2021, 2022 and 2023, respectively, which are related to investees in sports nutrition products business, e-commerce platforms business, publishing and logistics business, information technology business, gaming business, advertising business whose financial performance was unsatisfactory with no obvious upturn or potential financing solutions in the foreseeable future.</w:t>
      </w:r>
    </w:p>
    <w:p>
      <w:pPr>
        <w:spacing w:after="0" w:line="188" w:lineRule="exact"/>
        <w:rPr>
          <w:sz w:val="20"/>
          <w:szCs w:val="20"/>
          <w:color w:val="auto"/>
        </w:rPr>
      </w:pPr>
    </w:p>
    <w:p>
      <w:pPr>
        <w:ind w:left="660" w:hanging="652"/>
        <w:spacing w:after="0"/>
        <w:tabs>
          <w:tab w:leader="none" w:pos="66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101,771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allowance for credit losses (Note 2(j))</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(37,215)</w:t>
            </w: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(29,163)</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64,556</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56,752</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68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vMerge w:val="continue"/>
          </w:tcPr>
          <w:p>
            <w:pPr>
              <w:spacing w:after="0"/>
              <w:rPr>
                <w:sz w:val="24"/>
                <w:szCs w:val="24"/>
                <w:color w:val="auto"/>
              </w:rPr>
            </w:pPr>
          </w:p>
        </w:tc>
        <w:tc>
          <w:tcPr>
            <w:tcW w:w="684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68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and interest receivable, net (Notes 2(j), 10(i))</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interest receivable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VAT recoverable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40" w:type="dxa"/>
            <w:vAlign w:val="bottom"/>
            <w:tcBorders>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6,755</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Non-current</w:t>
            </w: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deposits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receivable, net (Notes 2(j), 10(i))</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jc w:val="both"/>
        <w:ind w:left="1300" w:hanging="644"/>
        <w:spacing w:after="0" w:line="258" w:lineRule="auto"/>
        <w:tabs>
          <w:tab w:leader="none" w:pos="1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were granted to an equity investee of the Company at an interest rate of 6% per annum. The loans and related interest receivable was secured by certain liquid assets of the equity investee. As of December 31, 2022, the net loans and related interest receivable was expected to be recovered beyond one year from the end of the reporting period. As of December 31, 2023, the net loans and related interest receivable was expected to be recovered within one year from the end of the reporting period.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68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14"/>
        </w:trPr>
        <w:tc>
          <w:tcPr>
            <w:tcW w:w="420" w:type="dxa"/>
            <w:vAlign w:val="bottom"/>
          </w:tcPr>
          <w:p>
            <w:pPr>
              <w:spacing w:after="0"/>
              <w:rPr>
                <w:sz w:val="24"/>
                <w:szCs w:val="24"/>
                <w:color w:val="auto"/>
              </w:rPr>
            </w:pPr>
          </w:p>
        </w:tc>
        <w:tc>
          <w:tcPr>
            <w:tcW w:w="68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4"/>
        </w:trPr>
        <w:tc>
          <w:tcPr>
            <w:tcW w:w="420" w:type="dxa"/>
            <w:vAlign w:val="bottom"/>
          </w:tcPr>
          <w:p>
            <w:pPr>
              <w:spacing w:after="0"/>
              <w:rPr>
                <w:sz w:val="20"/>
                <w:szCs w:val="20"/>
                <w:color w:val="auto"/>
              </w:rPr>
            </w:pPr>
          </w:p>
        </w:tc>
        <w:tc>
          <w:tcPr>
            <w:tcW w:w="6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68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2"/>
        </w:trPr>
        <w:tc>
          <w:tcPr>
            <w:tcW w:w="420" w:type="dxa"/>
            <w:vAlign w:val="bottom"/>
          </w:tcPr>
          <w:p>
            <w:pPr>
              <w:spacing w:after="0"/>
              <w:rPr>
                <w:sz w:val="24"/>
                <w:szCs w:val="24"/>
                <w:color w:val="auto"/>
              </w:rPr>
            </w:pPr>
          </w:p>
        </w:tc>
        <w:tc>
          <w:tcPr>
            <w:tcW w:w="6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7"/>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020" w:type="dxa"/>
            <w:vAlign w:val="bottom"/>
            <w:tcBorders>
              <w:bottom w:val="single" w:sz="8" w:color="auto"/>
            </w:tcBorders>
            <w:gridSpan w:val="3"/>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 equipment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Furniture and fixtures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Motor vehicles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(7,089)</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impairment losses (Note 2(r))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0" w:type="dxa"/>
            <w:vAlign w:val="bottom"/>
          </w:tcPr>
          <w:p>
            <w:pPr>
              <w:spacing w:after="0"/>
              <w:rPr>
                <w:sz w:val="18"/>
                <w:szCs w:val="18"/>
                <w:color w:val="auto"/>
              </w:rPr>
            </w:pPr>
          </w:p>
        </w:tc>
        <w:tc>
          <w:tcPr>
            <w:tcW w:w="6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recognized for the years ended December 31, 2021, 2022 and 2023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120" w:type="dxa"/>
            <w:vAlign w:val="bottom"/>
            <w:tcBorders>
              <w:bottom w:val="single" w:sz="8" w:color="auto"/>
            </w:tcBorders>
            <w:gridSpan w:val="8"/>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56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92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12</w:t>
            </w:r>
          </w:p>
        </w:tc>
        <w:tc>
          <w:tcPr>
            <w:tcW w:w="4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 w:type="dxa"/>
            <w:vAlign w:val="bottom"/>
            <w:vMerge w:val="continue"/>
          </w:tcPr>
          <w:p>
            <w:pPr>
              <w:spacing w:after="0"/>
              <w:rPr>
                <w:sz w:val="24"/>
                <w:szCs w:val="24"/>
                <w:color w:val="auto"/>
              </w:rPr>
            </w:pPr>
          </w:p>
        </w:tc>
        <w:tc>
          <w:tcPr>
            <w:tcW w:w="408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20" w:type="dxa"/>
            <w:vAlign w:val="bottom"/>
          </w:tcPr>
          <w:p>
            <w:pPr>
              <w:spacing w:after="0"/>
              <w:rPr>
                <w:sz w:val="24"/>
                <w:szCs w:val="24"/>
                <w:color w:val="auto"/>
              </w:rPr>
            </w:pPr>
          </w:p>
        </w:tc>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Computer software</w:t>
            </w:r>
          </w:p>
        </w:tc>
        <w:tc>
          <w:tcPr>
            <w:tcW w:w="1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23,819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Developed technologies</w:t>
            </w:r>
          </w:p>
        </w:tc>
        <w:tc>
          <w:tcPr>
            <w:tcW w:w="1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relationship</w:t>
            </w:r>
          </w:p>
        </w:tc>
        <w:tc>
          <w:tcPr>
            <w:tcW w:w="1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Brand name</w:t>
            </w:r>
          </w:p>
        </w:tc>
        <w:tc>
          <w:tcPr>
            <w:tcW w:w="1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 backlog</w:t>
            </w:r>
          </w:p>
        </w:tc>
        <w:tc>
          <w:tcPr>
            <w:tcW w:w="1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Advertising contract</w:t>
            </w:r>
          </w:p>
        </w:tc>
        <w:tc>
          <w:tcPr>
            <w:tcW w:w="1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1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81,088</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81,105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impairment losses (Note 2(r))</w:t>
            </w:r>
          </w:p>
        </w:tc>
        <w:tc>
          <w:tcPr>
            <w:tcW w:w="1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(49,778)</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(50,219)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0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16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7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F-54</w:t>
            </w: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7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 (Continued)</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Amortization expense recognized for the years ended December 31, 2021, 2022 and 2023 are summarized as follows: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70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7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57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0"/>
        </w:trPr>
        <w:tc>
          <w:tcPr>
            <w:tcW w:w="5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60" w:hanging="652"/>
        <w:spacing w:after="0"/>
        <w:tabs>
          <w:tab w:leader="none" w:pos="66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8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Movements on goodwill during the year were as follows:</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880" w:type="dxa"/>
            <w:vAlign w:val="bottom"/>
            <w:vMerge w:val="restart"/>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53,024</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28,650</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81,674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Impairment (Note 2(q))</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(53,024)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(80,137)</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2022 and 2023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hanging="652"/>
        <w:spacing w:after="0"/>
        <w:tabs>
          <w:tab w:leader="none" w:pos="66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accounting</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operating leases primarily for office and operation space. The lease term is generally specified in lease agreements, however certain agreements provide for lease term extensions or early termination options. To determine the period for the estimated future lease payments, the Company evaluates whether it is reasonably certain that it will exercise the option at the commencement date and periodically thereafter. The lease terms of the Company’s operating leases generally ranged from 12 to 36 months (2022: 12 to 36 months), and the weighted average remaining lease term as of December 31, 2023 was 24 months (2022: 22 months).</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the estimated future lease payments, the Company reviews each of its lease agreements to identify the various payment components. The Company includes only the actual lease components in its determination of future lease payments for all the leases. Once the estimated future lease payments are determined, the Company uses a discount rate to calculate the present value of the future lease payments. During the year ended December 31, 2023, a weighted average discount rate of 4.1% (2022: 4.9%) has been applied to the remaining lease payments to calculate the lease liabilities included within the consolidated balance sheets. This represents the incremental borrowing rate the Company would be subject to on borrowings from its available revolving debt agreements.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right-of-use assets of the Company, net of accumulated amortization and impairment, amounted to US$1,292 and US$54 as of December 31, 2022 and 2023, respectively. The following table presents the maturity of the Company’s operating lease liabilities as of December 31,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6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payments (undiscounted)</w:t>
            </w:r>
          </w:p>
        </w:tc>
        <w:tc>
          <w:tcPr>
            <w:tcW w:w="40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40" w:type="dxa"/>
            <w:vAlign w:val="bottom"/>
          </w:tcPr>
          <w:p>
            <w:pPr>
              <w:spacing w:after="0"/>
              <w:rPr>
                <w:sz w:val="18"/>
                <w:szCs w:val="18"/>
                <w:color w:val="auto"/>
              </w:rPr>
            </w:pPr>
          </w:p>
        </w:tc>
      </w:tr>
      <w:tr>
        <w:trPr>
          <w:trHeight w:val="210"/>
        </w:trPr>
        <w:tc>
          <w:tcPr>
            <w:tcW w:w="44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operating lease liabilities (discounted)</w:t>
            </w:r>
          </w:p>
        </w:tc>
        <w:tc>
          <w:tcPr>
            <w:tcW w:w="40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844"/>
        </w:trPr>
        <w:tc>
          <w:tcPr>
            <w:tcW w:w="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5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F-55</w:t>
            </w:r>
          </w:p>
        </w:tc>
      </w:tr>
      <w:tr>
        <w:trPr>
          <w:trHeight w:val="560"/>
        </w:trPr>
        <w:tc>
          <w:tcPr>
            <w:tcW w:w="6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accounting (Continued)</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 expenses for these leases are recognized on a straight-line basis over the lease term. For short-term leases over which the Company has elected not to apply the recognition requirements of ASC 842, the Company has recognized the lease payments as expenses on a straight-line basis over the lease term. For the years ended December 31, 2021, 2022 and 2023, total lease cost is comprised of the following:</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Relating to the operating lease liabilities</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2,862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Relating to short-term leases</w:t>
            </w: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1,518</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09"/>
        </w:trPr>
        <w:tc>
          <w:tcPr>
            <w:tcW w:w="62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4,380</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is as follows:</w:t>
            </w: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280" w:type="dxa"/>
            <w:vAlign w:val="bottom"/>
          </w:tcPr>
          <w:p>
            <w:pPr>
              <w:spacing w:after="0"/>
              <w:rPr>
                <w:sz w:val="24"/>
                <w:szCs w:val="24"/>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the rentals included in the lease liabilities</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2,781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3,163</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Company recognized impairment of right-of-use assets of US$nil, US$2,365 and US$2,624 for the years ended December 31, 2021, 2022 and 2023,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15</w:t>
            </w:r>
          </w:p>
        </w:tc>
        <w:tc>
          <w:tcPr>
            <w:tcW w:w="73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Deferred revenue</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7"/>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5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1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16,975</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deferred revenue balance for the years ended December 31, 2022 and 2023 were as follows:</w:t>
      </w:r>
    </w:p>
    <w:p>
      <w:pPr>
        <w:spacing w:after="0" w:line="23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For the years ended</w:t>
      </w:r>
    </w:p>
    <w:p>
      <w:pP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34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2"/>
                <w:szCs w:val="12"/>
                <w:color w:val="auto"/>
              </w:rPr>
            </w:pPr>
          </w:p>
        </w:tc>
      </w:tr>
      <w:tr>
        <w:trPr>
          <w:trHeight w:val="210"/>
        </w:trPr>
        <w:tc>
          <w:tcPr>
            <w:tcW w:w="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3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deferred revenue</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72,300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32,152</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Recognition of deferred revenue as revenues</w:t>
            </w:r>
          </w:p>
        </w:tc>
        <w:tc>
          <w:tcPr>
            <w:tcW w:w="4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(77,887)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(36,455)</w:t>
            </w:r>
          </w:p>
        </w:tc>
        <w:tc>
          <w:tcPr>
            <w:tcW w:w="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64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34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12,390</w:t>
            </w:r>
          </w:p>
        </w:tc>
        <w:tc>
          <w:tcPr>
            <w:tcW w:w="6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872"/>
        </w:trPr>
        <w:tc>
          <w:tcPr>
            <w:tcW w:w="6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F-56</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20" w:type="dxa"/>
            <w:vAlign w:val="bottom"/>
          </w:tcPr>
          <w:p>
            <w:pPr>
              <w:spacing w:after="0"/>
              <w:rPr>
                <w:sz w:val="24"/>
                <w:szCs w:val="24"/>
                <w:color w:val="auto"/>
              </w:rPr>
            </w:pPr>
          </w:p>
        </w:tc>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16</w:t>
            </w:r>
          </w:p>
        </w:tc>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Accrued liabilities and other liabilities</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20" w:type="dxa"/>
            <w:vAlign w:val="bottom"/>
          </w:tcPr>
          <w:p>
            <w:pPr>
              <w:spacing w:after="0"/>
              <w:rPr>
                <w:sz w:val="24"/>
                <w:szCs w:val="24"/>
                <w:color w:val="auto"/>
              </w:rPr>
            </w:pPr>
          </w:p>
        </w:tc>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Accrued liabilities and other liabilities consist of the following:</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Rebates payable to customers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and other taxes payable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 received from customers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marketing and hosting expenses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payable (Note 4(b))</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from a former non-controlling interest shareholder (Note)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30,539</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7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Deferred other income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payable (Note 4(b))</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Severance liabilities</w:t>
            </w:r>
          </w:p>
        </w:tc>
        <w:tc>
          <w:tcPr>
            <w:tcW w:w="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December 31, 2022, the amount represented an advance from the seller of Optimal, a former non-controlling interest of iClick Cayman, for the purpose of replenishment of working capital of certain subsidiaries of iClick Cayman, which was unsecured, interest-free, and repayable on demand. The amount was fully repaid during the year ended December 31,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17</w:t>
            </w:r>
          </w:p>
        </w:tc>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Bank borrowings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72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5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1-year revolving loans denominated in RMB at interest rates ranging from 3.60% to</w:t>
            </w: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4.85% (2022: 5.22%) per annum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18,411</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Half-year revolving loans denominated in RMB at interest rates of 3.00% (2022: 3.00%</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5.00%) per annum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15,956</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Revolving service trade loans denominated in HK$ at interest rates of 9.52% (2022:</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8.60% to 8.64%) per annum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3-month revolving loan denominated in RMB at an interest rate of 4.70% (2022:</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3.00%) per annum</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11,148</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1-year term loans denominated in RMB at interest rates ranging from 3.60% to 4.40%</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(2022: 3.65% to 4.00%) per annum</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1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44,283</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40" w:type="dxa"/>
            <w:vAlign w:val="bottom"/>
            <w:vMerge w:val="restart"/>
          </w:tcPr>
          <w:p>
            <w:pPr>
              <w:ind w:left="4140"/>
              <w:spacing w:after="0"/>
              <w:rPr>
                <w:sz w:val="20"/>
                <w:szCs w:val="20"/>
                <w:color w:val="auto"/>
              </w:rPr>
            </w:pPr>
            <w:r>
              <w:rPr>
                <w:rFonts w:ascii="Times New Roman" w:cs="Times New Roman" w:eastAsia="Times New Roman" w:hAnsi="Times New Roman"/>
                <w:sz w:val="18"/>
                <w:szCs w:val="18"/>
                <w:color w:val="auto"/>
              </w:rPr>
              <w:t>F-57</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right="6960" w:hanging="652"/>
        <w:spacing w:after="0" w:line="479" w:lineRule="auto"/>
        <w:tabs>
          <w:tab w:leader="none" w:pos="66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Bank borrowings (Continued) </w:t>
      </w:r>
      <w:r>
        <w:rPr>
          <w:rFonts w:ascii="Times New Roman" w:cs="Times New Roman" w:eastAsia="Times New Roman" w:hAnsi="Times New Roman"/>
          <w:sz w:val="18"/>
          <w:szCs w:val="18"/>
          <w:color w:val="auto"/>
        </w:rPr>
        <w:t>Note:</w:t>
      </w:r>
    </w:p>
    <w:p>
      <w:pPr>
        <w:spacing w:after="0" w:line="1" w:lineRule="exact"/>
        <w:rPr>
          <w:rFonts w:ascii="Times New Roman" w:cs="Times New Roman" w:eastAsia="Times New Roman" w:hAnsi="Times New Roman"/>
          <w:sz w:val="18"/>
          <w:szCs w:val="18"/>
          <w:b w:val="1"/>
          <w:bCs w:val="1"/>
          <w:color w:val="auto"/>
        </w:rPr>
      </w:pPr>
    </w:p>
    <w:p>
      <w:pPr>
        <w:ind w:left="1340" w:hanging="657"/>
        <w:spacing w:after="0"/>
        <w:tabs>
          <w:tab w:leader="none" w:pos="134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guarantee by iClick Cayman, bank deposits of the Company of US$26,756 (2022: US$22,543) and accounts</w:t>
      </w:r>
    </w:p>
    <w:p>
      <w:pPr>
        <w:spacing w:after="0" w:line="27" w:lineRule="exact"/>
        <w:rPr>
          <w:rFonts w:ascii="Times New Roman" w:cs="Times New Roman" w:eastAsia="Times New Roman" w:hAnsi="Times New Roman"/>
          <w:sz w:val="18"/>
          <w:szCs w:val="18"/>
          <w:color w:val="auto"/>
        </w:rPr>
      </w:pPr>
    </w:p>
    <w:p>
      <w:pPr>
        <w:ind w:left="13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 of the Company of US$18 (2022: US$5) are provided as pledge to secure the obligations under the facilities from certain banks.</w:t>
      </w:r>
    </w:p>
    <w:p>
      <w:pPr>
        <w:spacing w:after="0" w:line="181" w:lineRule="exact"/>
        <w:rPr>
          <w:rFonts w:ascii="Times New Roman" w:cs="Times New Roman" w:eastAsia="Times New Roman" w:hAnsi="Times New Roman"/>
          <w:sz w:val="18"/>
          <w:szCs w:val="18"/>
          <w:color w:val="auto"/>
        </w:rPr>
      </w:pPr>
    </w:p>
    <w:p>
      <w:pPr>
        <w:jc w:val="both"/>
        <w:ind w:left="1340" w:hanging="657"/>
        <w:spacing w:after="0" w:line="256" w:lineRule="auto"/>
        <w:tabs>
          <w:tab w:leader="none" w:pos="134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the total banking facilities of US$165,288 and US$55,692 available to the Company as of December 31, 2022 and 2023, respectively, US$44,283 and US$38,406 have been utilized by the Company as of December 31, 2022 and 2023, respectively. As of December 31, 2023, total undrawn revolving, service trade and term loan facilities amounted to US$10,431, US$4,486 and US$2,369 (2022: US$97,420, US$18,093 and US$5,492) respectively. Total undrawn facilities available for draw-down as of December 31, 2022 and 2023, net of bank deposits that would need to be pledged as restricted cash upon utilization of the facilities, amounted to US$41,235 and US$6,442, respectively.</w:t>
      </w:r>
    </w:p>
    <w:p>
      <w:pPr>
        <w:spacing w:after="0" w:line="187" w:lineRule="exact"/>
        <w:rPr>
          <w:rFonts w:ascii="Times New Roman" w:cs="Times New Roman" w:eastAsia="Times New Roman" w:hAnsi="Times New Roman"/>
          <w:sz w:val="18"/>
          <w:szCs w:val="18"/>
          <w:color w:val="auto"/>
        </w:rPr>
      </w:pPr>
    </w:p>
    <w:p>
      <w:pPr>
        <w:jc w:val="both"/>
        <w:ind w:left="1340" w:hanging="657"/>
        <w:spacing w:after="0" w:line="261" w:lineRule="auto"/>
        <w:tabs>
          <w:tab w:leader="none" w:pos="134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no financial covenants as set out in these loan agreements were breached. As of December 31, 2023, a financial covenant (minimum quarterly EBITDA as defined in the banking facilities agreements) as set out in one of the loan agreements has been breached. The Company has obtained waiver letter such that the bank would not demand immediate repayment from the Company.</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weighted average interest rate for bank borrowings outstanding as of December 31, 2022 and 2023 was 4.48% and 3.97% per annum, respectively. Other than those shown above, iClick Cayman did not have any significant capital and other commitments, long-term obligations, or guarantees as of December 31, 2022 and 2023.</w:t>
      </w:r>
    </w:p>
    <w:p>
      <w:pPr>
        <w:spacing w:after="0" w:line="185" w:lineRule="exact"/>
        <w:rPr>
          <w:sz w:val="20"/>
          <w:szCs w:val="20"/>
          <w:color w:val="auto"/>
        </w:rPr>
      </w:pPr>
    </w:p>
    <w:p>
      <w:pPr>
        <w:ind w:left="660" w:hanging="652"/>
        <w:spacing w:after="0"/>
        <w:tabs>
          <w:tab w:leader="none" w:pos="66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2022 and 2023, iClick Cayman is authorized to issue 100,000,000 shares of US$0.001 par value per ordinary share, out of which 80,000,000 shares are Class A ordinary shares and 20,000,000 shares are Class B ordinary shares. The holders of Class A ordinary shares shall have one vote in respect of each Class A ordinary share held and the holders of Class B ordinary shares shall have twenty votes in respect of each Class B ordinary share held.</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14, 2022, iClick Cayman changed the ratio of the American depository shares (“ADS”) representing its Class A ordinary shares from one ADS representing one-half of one Class A ordinary shares to one ADS representing five Class A ordinary shares. For the ADS holders, the change in the ADS ratio will have the same effect as a one-for-ten reverse ADS split. There is no change to iClick Cayman’s Class A ordinary shares.</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iClick Cayman adopted the 2010 Employee Share Option Plan (the “2010 Share Option Plan”) and 2018 Post IPO Share Incentive Plan, iClick Cayman, together with the then shareholders, also decided to allot ordinary shares with par value of US$0.001 to Arda Holdings Limited (“Arda”), a British Virgin Islands company owned by Sammy Hsieh, Co-founder and Director of iClick Cayman at no consideration. Arda will only hold these ordinary shares on trust for the benefit of the employees who are under the 2010 Share Option Plan and 2018 Post IPO Share Incentive Plan and the dealing of these ordinary shares is under the direction of the board of directors of iClick Cayman. iClick Cayman considered Arda to be a variable interest entity as this entity has no equity at risk. iClick Cayman further considered that it is the primary beneficiary because the purpose of Arda is to hold treasury shares on behalf of iClick Cayman and the dealings of those transactions are under the direction of iClick Cayman’s board of directors. Given the structure of this arrangement, while these ordinary shares have been legally issued, they do not bear the attributes of unrestricted, issued and outstanding shares. Therefore, the ordinary shares issued to Arda are accounted for as treasury shares of iClick Cayman until these ordinary shares are earned by iClick Cayman’s employees, officers, directors or consultants for service provided to the Company. iClick Cayman allotted 627,811 shares during the year the 2010 Share Option Plan was adopted. No additional shares have been allotted during the years ended December 31, 2021, 2022 and 2023 to Arda. Arda does not hold any other assets or liabilities as of December 31, 2022 and 2023, nor earn any income nor incur any expenses for the years ended December 31, 2021, 2022 and 2023.</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of shares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of iClick Cayman authorized certain share repurchase programs December 2020 (the “December 2020 Share Repurchase Program”), December 2020 (the “December 2020 Share Repurchase Program”) December 2021 (the “December 2021 Share Repurchase Program”) and December 2022 (the “December 2022 Share Repurchase Program”), respectively, as detailed in the below table.</w:t>
      </w:r>
    </w:p>
    <w:p>
      <w:pPr>
        <w:spacing w:after="0" w:line="17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 value of</w:t>
            </w:r>
          </w:p>
        </w:tc>
        <w:tc>
          <w:tcPr>
            <w:tcW w:w="4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Repurchase program</w:t>
            </w:r>
          </w:p>
        </w:tc>
        <w:tc>
          <w:tcPr>
            <w:tcW w:w="1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 or ADSs of</w:t>
            </w:r>
          </w:p>
        </w:tc>
        <w:tc>
          <w:tcPr>
            <w:tcW w:w="4040" w:type="dxa"/>
            <w:vAlign w:val="bottom"/>
            <w:vMerge w:val="restart"/>
          </w:tcPr>
          <w:p>
            <w:pPr>
              <w:jc w:val="right"/>
              <w:ind w:right="1455"/>
              <w:spacing w:after="0"/>
              <w:rPr>
                <w:sz w:val="20"/>
                <w:szCs w:val="20"/>
                <w:color w:val="auto"/>
              </w:rPr>
            </w:pPr>
            <w:r>
              <w:rPr>
                <w:rFonts w:ascii="Times New Roman" w:cs="Times New Roman" w:eastAsia="Times New Roman" w:hAnsi="Times New Roman"/>
                <w:sz w:val="14"/>
                <w:szCs w:val="14"/>
                <w:b w:val="1"/>
                <w:bCs w:val="1"/>
                <w:color w:val="auto"/>
              </w:rPr>
              <w:t>Effective period</w:t>
            </w:r>
          </w:p>
        </w:tc>
        <w:tc>
          <w:tcPr>
            <w:tcW w:w="0" w:type="dxa"/>
            <w:vAlign w:val="bottom"/>
          </w:tcPr>
          <w:p>
            <w:pPr>
              <w:spacing w:after="0"/>
              <w:rPr>
                <w:sz w:val="1"/>
                <w:szCs w:val="1"/>
                <w:color w:val="auto"/>
              </w:rPr>
            </w:pPr>
          </w:p>
        </w:tc>
      </w:tr>
      <w:tr>
        <w:trPr>
          <w:trHeight w:val="173"/>
        </w:trPr>
        <w:tc>
          <w:tcPr>
            <w:tcW w:w="2620" w:type="dxa"/>
            <w:vAlign w:val="bottom"/>
            <w:gridSpan w:val="2"/>
            <w:vMerge w:val="continue"/>
          </w:tcPr>
          <w:p>
            <w:pPr>
              <w:spacing w:after="0"/>
              <w:rPr>
                <w:sz w:val="15"/>
                <w:szCs w:val="15"/>
                <w:color w:val="auto"/>
              </w:rPr>
            </w:pP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iClick Cayman to repurchase</w:t>
            </w:r>
          </w:p>
        </w:tc>
        <w:tc>
          <w:tcPr>
            <w:tcW w:w="4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4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December 2020 Share Repurchase</w:t>
            </w:r>
          </w:p>
        </w:tc>
        <w:tc>
          <w:tcPr>
            <w:tcW w:w="140" w:type="dxa"/>
            <w:vAlign w:val="bottom"/>
            <w:tcBorders>
              <w:top w:val="single" w:sz="8" w:color="CCEEFF"/>
            </w:tcBorders>
            <w:shd w:val="clear" w:color="auto" w:fill="CCEEFF"/>
          </w:tcPr>
          <w:p>
            <w:pPr>
              <w:spacing w:after="0"/>
              <w:rPr>
                <w:sz w:val="16"/>
                <w:szCs w:val="16"/>
                <w:color w:val="auto"/>
              </w:rPr>
            </w:pPr>
          </w:p>
        </w:tc>
        <w:tc>
          <w:tcPr>
            <w:tcW w:w="1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Program</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20"/>
                <w:szCs w:val="20"/>
                <w:color w:val="auto"/>
              </w:rPr>
            </w:pPr>
          </w:p>
        </w:tc>
        <w:tc>
          <w:tcPr>
            <w:tcW w:w="4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Period from December 30, 2020 to December 31, 2021</w:t>
            </w:r>
          </w:p>
        </w:tc>
        <w:tc>
          <w:tcPr>
            <w:tcW w:w="0" w:type="dxa"/>
            <w:vAlign w:val="bottom"/>
          </w:tcPr>
          <w:p>
            <w:pPr>
              <w:spacing w:after="0"/>
              <w:rPr>
                <w:sz w:val="1"/>
                <w:szCs w:val="1"/>
                <w:color w:val="auto"/>
              </w:rPr>
            </w:pPr>
          </w:p>
        </w:tc>
      </w:tr>
      <w:tr>
        <w:trPr>
          <w:trHeight w:val="198"/>
        </w:trPr>
        <w:tc>
          <w:tcPr>
            <w:tcW w:w="2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December 2021 Share Repurchase</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Program</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20"/>
                <w:szCs w:val="20"/>
                <w:color w:val="auto"/>
              </w:rPr>
            </w:pPr>
          </w:p>
        </w:tc>
        <w:tc>
          <w:tcPr>
            <w:tcW w:w="4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Year ended December 31, 2022</w:t>
            </w:r>
          </w:p>
        </w:tc>
        <w:tc>
          <w:tcPr>
            <w:tcW w:w="0" w:type="dxa"/>
            <w:vAlign w:val="bottom"/>
          </w:tcPr>
          <w:p>
            <w:pPr>
              <w:spacing w:after="0"/>
              <w:rPr>
                <w:sz w:val="1"/>
                <w:szCs w:val="1"/>
                <w:color w:val="auto"/>
              </w:rPr>
            </w:pPr>
          </w:p>
        </w:tc>
      </w:tr>
      <w:tr>
        <w:trPr>
          <w:trHeight w:val="198"/>
        </w:trPr>
        <w:tc>
          <w:tcPr>
            <w:tcW w:w="2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December 2022 Share Repurchase</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Program</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20"/>
                <w:szCs w:val="20"/>
                <w:color w:val="auto"/>
              </w:rPr>
            </w:pPr>
          </w:p>
        </w:tc>
        <w:tc>
          <w:tcPr>
            <w:tcW w:w="4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Year ending December 31, 2023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share repurchases may be made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iClick Cayman deems appropriate.</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shares repurchased by iClick Cayman during 2021, 2022 and 2023 under the repurchase programs. All shares were purchased through publicly purchasing from the open market.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ADSs purchased</w:t>
            </w:r>
          </w:p>
        </w:tc>
        <w:tc>
          <w:tcPr>
            <w:tcW w:w="174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the</w:t>
            </w:r>
          </w:p>
        </w:tc>
        <w:tc>
          <w:tcPr>
            <w:tcW w:w="1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publicly</w:t>
            </w:r>
          </w:p>
        </w:tc>
        <w:tc>
          <w:tcPr>
            <w:tcW w:w="17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0" w:type="dxa"/>
            <w:vAlign w:val="bottom"/>
          </w:tcPr>
          <w:p>
            <w:pPr>
              <w:spacing w:after="0"/>
              <w:rPr>
                <w:sz w:val="1"/>
                <w:szCs w:val="1"/>
                <w:color w:val="auto"/>
              </w:rPr>
            </w:pPr>
          </w:p>
        </w:tc>
      </w:tr>
      <w:tr>
        <w:trPr>
          <w:trHeight w:val="173"/>
        </w:trPr>
        <w:tc>
          <w:tcPr>
            <w:tcW w:w="4300" w:type="dxa"/>
            <w:vAlign w:val="bottom"/>
            <w:gridSpan w:val="2"/>
            <w:vMerge w:val="continue"/>
          </w:tcPr>
          <w:p>
            <w:pPr>
              <w:spacing w:after="0"/>
              <w:rPr>
                <w:sz w:val="15"/>
                <w:szCs w:val="15"/>
                <w:color w:val="auto"/>
              </w:rPr>
            </w:pPr>
          </w:p>
        </w:tc>
        <w:tc>
          <w:tcPr>
            <w:tcW w:w="2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announced plan</w:t>
            </w:r>
          </w:p>
        </w:tc>
        <w:tc>
          <w:tcPr>
            <w:tcW w:w="174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2020 Share Repurchase Program</w:t>
            </w:r>
          </w:p>
        </w:tc>
        <w:tc>
          <w:tcPr>
            <w:tcW w:w="2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 For the year ended December 31, 2020</w:t>
            </w:r>
          </w:p>
        </w:tc>
        <w:tc>
          <w:tcPr>
            <w:tcW w:w="3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83.686</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For the year ended December 31, 2021</w:t>
            </w:r>
          </w:p>
        </w:tc>
        <w:tc>
          <w:tcPr>
            <w:tcW w:w="3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120,992</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88.324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December 2021 Share Repurchase Program</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For the year ended December 31, 2022</w:t>
            </w:r>
          </w:p>
        </w:tc>
        <w:tc>
          <w:tcPr>
            <w:tcW w:w="3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731,881</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December 2022 Share Repurchase Program</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For the year ended December 31, 2023</w:t>
            </w:r>
          </w:p>
        </w:tc>
        <w:tc>
          <w:tcPr>
            <w:tcW w:w="3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126,883</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6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80" w:type="dxa"/>
            <w:vAlign w:val="bottom"/>
            <w:gridSpan w:val="4"/>
          </w:tcPr>
          <w:p>
            <w:pPr>
              <w:ind w:left="500"/>
              <w:spacing w:after="0"/>
              <w:rPr>
                <w:sz w:val="20"/>
                <w:szCs w:val="20"/>
                <w:color w:val="auto"/>
              </w:rPr>
            </w:pPr>
            <w:r>
              <w:rPr>
                <w:rFonts w:ascii="Times New Roman" w:cs="Times New Roman" w:eastAsia="Times New Roman" w:hAnsi="Times New Roman"/>
                <w:sz w:val="18"/>
                <w:szCs w:val="18"/>
                <w:color w:val="auto"/>
              </w:rPr>
              <w:t>F-59</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Share-based compensation</w:t>
      </w:r>
    </w:p>
    <w:p>
      <w:pPr>
        <w:spacing w:after="0" w:line="225" w:lineRule="exact"/>
        <w:rPr>
          <w:sz w:val="20"/>
          <w:szCs w:val="20"/>
          <w:color w:val="auto"/>
        </w:rPr>
      </w:pPr>
    </w:p>
    <w:p>
      <w:pPr>
        <w:ind w:left="660" w:hanging="652"/>
        <w:spacing w:after="0"/>
        <w:tabs>
          <w:tab w:leader="none" w:pos="660" w:val="left"/>
        </w:tabs>
        <w:numPr>
          <w:ilvl w:val="0"/>
          <w:numId w:val="2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option plan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Cayman’s 2010 Share Option Plan provides for the grant of incentive share options to iClick Cayman’s employees, officers, directors or consultants. iClick Cayman’s board of directors administers the 2010 Share Option Plan, selects the individuals to whom options will be granted, determines the number of options to be granted, and the term and exercise price of each option.</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2021, 2022 and 2023, no share options were granted to non-employees, employees, officers and directors of the Company. The following table summarizes the share option activities for the years ended December 31, 2021, 2022 and 2023:</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life</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US$’000</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432,102</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(117,788)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314,314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2021</w:t>
            </w: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6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312,876</w:t>
            </w: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4.90</w:t>
            </w:r>
          </w:p>
        </w:tc>
        <w:tc>
          <w:tcPr>
            <w:tcW w:w="1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15.25</w:t>
            </w:r>
          </w:p>
        </w:tc>
        <w:tc>
          <w:tcPr>
            <w:tcW w:w="160" w:type="dxa"/>
            <w:vAlign w:val="bottom"/>
          </w:tcPr>
          <w:p>
            <w:pPr>
              <w:spacing w:after="0"/>
              <w:rPr>
                <w:sz w:val="17"/>
                <w:szCs w:val="17"/>
                <w:color w:val="auto"/>
              </w:rPr>
            </w:pPr>
          </w:p>
        </w:tc>
        <w:tc>
          <w:tcPr>
            <w:tcW w:w="78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to vest at December 31, 2021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314,314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(14,143)</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2022</w:t>
            </w: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273,392</w:t>
            </w:r>
          </w:p>
        </w:tc>
        <w:tc>
          <w:tcPr>
            <w:tcW w:w="16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4.33</w:t>
            </w:r>
          </w:p>
        </w:tc>
        <w:tc>
          <w:tcPr>
            <w:tcW w:w="1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15.37</w:t>
            </w:r>
          </w:p>
        </w:tc>
        <w:tc>
          <w:tcPr>
            <w:tcW w:w="160" w:type="dxa"/>
            <w:vAlign w:val="bottom"/>
          </w:tcPr>
          <w:p>
            <w:pPr>
              <w:spacing w:after="0"/>
              <w:rPr>
                <w:sz w:val="17"/>
                <w:szCs w:val="17"/>
                <w:color w:val="auto"/>
              </w:rPr>
            </w:pPr>
          </w:p>
        </w:tc>
        <w:tc>
          <w:tcPr>
            <w:tcW w:w="780" w:type="dxa"/>
            <w:vAlign w:val="bottom"/>
          </w:tcPr>
          <w:p>
            <w:pPr>
              <w:ind w:left="400"/>
              <w:spacing w:after="0" w:line="196" w:lineRule="exact"/>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to vest at December 31, 2022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274,720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274,830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9"/>
        </w:trPr>
        <w:tc>
          <w:tcPr>
            <w:tcW w:w="4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274,050</w:t>
            </w:r>
          </w:p>
        </w:tc>
        <w:tc>
          <w:tcPr>
            <w:tcW w:w="16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8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7"/>
        </w:trPr>
        <w:tc>
          <w:tcPr>
            <w:tcW w:w="4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272,612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4.33</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15.38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ind w:left="400"/>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Exercisable to vest at December 31, 2023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273,940</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60" w:type="dxa"/>
            <w:vAlign w:val="bottom"/>
          </w:tcPr>
          <w:p>
            <w:pPr>
              <w:spacing w:after="0"/>
              <w:rPr>
                <w:sz w:val="20"/>
                <w:szCs w:val="20"/>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estimated fair values of iClick Cayman’s ordinary shares as of December 31, 2022 and 2023 and the exercise price.</w:t>
      </w:r>
    </w:p>
    <w:p>
      <w:pPr>
        <w:spacing w:after="0" w:line="162"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for the years ended December 31, 2021, 2022 and 2023 were US$4, US$nil and US$nil, respectively.</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December 31, 2022 and 2023, there were no unrecognized share-based compensation expenses related to share options. To the extent the actual forfeiture rate is different from iClick Cayman’s estimate, the actual share-based compensation related to these awards may be different from the exception.</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binomial option pricing model is used to determine the fair value of the share options granted to employees and non-employees. There were no grant or modification of share options during the years ended December 31, 2021, 2022 and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Share-based compensation (Continued)</w:t>
      </w:r>
    </w:p>
    <w:p>
      <w:pPr>
        <w:spacing w:after="0" w:line="225" w:lineRule="exact"/>
        <w:rPr>
          <w:sz w:val="20"/>
          <w:szCs w:val="20"/>
          <w:color w:val="auto"/>
        </w:rPr>
      </w:pPr>
    </w:p>
    <w:p>
      <w:pPr>
        <w:ind w:left="660" w:hanging="652"/>
        <w:spacing w:after="0"/>
        <w:tabs>
          <w:tab w:leader="none" w:pos="66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Post-IPO share incentive plan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Cayman’s post-IPO share incentive plan provides for the grant of incentive share options and RSUs to iClick Cayman’s employees, officers, directors or consultants. iClick Cayman’s board of directors administers the post-IPO share incentive plan, selects the individuals to whom options and RSUs will be granted, determines the number of options and RSUs to be granted, and the term and exercise price of each option and RSU.</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2021, 2022 and 2023, iClick Cayman granted RSUs to non-employees, employees, officers and directors of the Company. The following table summarizes the activity of the service-based RSUs for the year ended December 31, 2021, 2022 and 2023:</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634,505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Granted (with a vesting period of 0 to 4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716,265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(1,049,007)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Forfeited/expired (Note (ii))</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(74,186)</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227,577</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Expected to vest at December 31, 2021</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60" w:type="dxa"/>
            <w:vAlign w:val="bottom"/>
            <w:gridSpan w:val="2"/>
            <w:vMerge w:val="continue"/>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209,878</w:t>
            </w:r>
          </w:p>
        </w:tc>
        <w:tc>
          <w:tcPr>
            <w:tcW w:w="200" w:type="dxa"/>
            <w:vAlign w:val="bottom"/>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At January 1, 2022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227,577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 (with a vesting period of 0 to 4 years)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301,850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(414,314)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Forfeited/expired (Note (ii))</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50"/>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2022</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110,463</w:t>
            </w:r>
          </w:p>
        </w:tc>
        <w:tc>
          <w:tcPr>
            <w:tcW w:w="2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Expected to vest at December 31, 2022</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92,900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Granted (with a vesting period of 0 to 4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762,510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(208,558)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Forfeited/expired (Note (ii))</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660,540</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Expected to vest at December 31, 2023</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gridSpan w:val="2"/>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639,362</w:t>
            </w:r>
          </w:p>
        </w:tc>
        <w:tc>
          <w:tcPr>
            <w:tcW w:w="20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jc w:val="both"/>
        <w:ind w:left="1340" w:hanging="657"/>
        <w:spacing w:after="0" w:line="261" w:lineRule="auto"/>
        <w:tabs>
          <w:tab w:leader="none" w:pos="13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share-based payments to employees are measured based on their grant-date fair values. Compensation expense is recognized based on the vesting schedule over the requisite service period. Total fair values and intrinsic value of RSUs vested and recognized as expenses for the years ended December 31, 2021, 2022 and 2023 were US$11,965, US$3,794 and US$1,082 respectively.</w:t>
      </w:r>
    </w:p>
    <w:p>
      <w:pPr>
        <w:spacing w:after="0" w:line="179" w:lineRule="exact"/>
        <w:rPr>
          <w:rFonts w:ascii="Times New Roman" w:cs="Times New Roman" w:eastAsia="Times New Roman" w:hAnsi="Times New Roman"/>
          <w:sz w:val="18"/>
          <w:szCs w:val="18"/>
          <w:color w:val="auto"/>
        </w:rPr>
      </w:pPr>
    </w:p>
    <w:p>
      <w:pPr>
        <w:jc w:val="both"/>
        <w:ind w:left="1340" w:hanging="657"/>
        <w:spacing w:after="0" w:line="261" w:lineRule="auto"/>
        <w:tabs>
          <w:tab w:leader="none" w:pos="13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Forfeitures are estimated at the time of grant. If necessary, forfeitures are revised in subsequent periods if actual forfeitures differ from those estimates. Based upon iClick Cayman’s expected forfeitures for RSUs granted, the directors of iClick Cayman estimated that its future forfeiture rate would be 1% for employees and 0% for non-employees in 2021, 2022 and 2023,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8"/>
          <w:szCs w:val="18"/>
          <w:b w:val="1"/>
          <w:bCs w:val="1"/>
          <w:color w:val="auto"/>
        </w:rPr>
        <w:t>Share-based compensation (Continued)</w:t>
      </w:r>
    </w:p>
    <w:p>
      <w:pPr>
        <w:spacing w:after="0" w:line="239" w:lineRule="exact"/>
        <w:rPr>
          <w:sz w:val="20"/>
          <w:szCs w:val="20"/>
          <w:color w:val="auto"/>
        </w:rPr>
      </w:pPr>
    </w:p>
    <w:p>
      <w:pPr>
        <w:ind w:left="660" w:hanging="652"/>
        <w:spacing w:after="0"/>
        <w:tabs>
          <w:tab w:leader="none" w:pos="66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shares to Baozun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share subscription agreement entered into between Baozun Inc. and iClick (Note 1(c)), Baozun has subscribed for 649,349 newly issued Class B ordinary shares. The Class B ordinary shares were issued to Baozun at US$26.52 per share, which was at discount as compared to the fair value of US$28.88 (i.e. based on the closing stock price as of the date of share issuance). The discount of US$1,530 represented an incentive to Baozun to enter into the strategic cooperation framework agreement with iClick Cayman, which was recognized as share-based compensation expense in the consolidated statements of comprehensive loss during the year ended December 31, 2021.</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Total share-based compensation costs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share-based compensation costs recognized for the years ended December 31, 2021, 2022 and 2023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21</w:t>
            </w:r>
          </w:p>
        </w:tc>
        <w:tc>
          <w:tcPr>
            <w:tcW w:w="6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Other gains/(losses), net</w:t>
            </w: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0" w:type="dxa"/>
            <w:vAlign w:val="bottom"/>
            <w:vMerge w:val="continue"/>
          </w:tcPr>
          <w:p>
            <w:pPr>
              <w:spacing w:after="0"/>
              <w:rPr>
                <w:sz w:val="24"/>
                <w:szCs w:val="24"/>
                <w:color w:val="auto"/>
              </w:rPr>
            </w:pPr>
          </w:p>
        </w:tc>
        <w:tc>
          <w:tcPr>
            <w:tcW w:w="60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7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exchange gain/(loss)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advances from customers (Note (i))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subsidy income (Note (ii))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(losses)/gains on short-term investments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gain on long-term investment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long-term investments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 in contingent consideration payable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ADR reimbursement from depositary bank</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6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(19,165)</w:t>
            </w: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1340" w:hanging="657"/>
        <w:spacing w:after="0" w:line="282" w:lineRule="auto"/>
        <w:tabs>
          <w:tab w:leader="none" w:pos="1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forfeited advances from customers are recognized as other gains when the contractual obligation of iClick Cayman to provide the agreed services no longer existed legally due to passage of time.</w:t>
      </w:r>
    </w:p>
    <w:p>
      <w:pPr>
        <w:spacing w:after="0" w:line="161" w:lineRule="exact"/>
        <w:rPr>
          <w:rFonts w:ascii="Times New Roman" w:cs="Times New Roman" w:eastAsia="Times New Roman" w:hAnsi="Times New Roman"/>
          <w:sz w:val="18"/>
          <w:szCs w:val="18"/>
          <w:color w:val="auto"/>
        </w:rPr>
      </w:pPr>
    </w:p>
    <w:p>
      <w:pPr>
        <w:ind w:left="1340" w:right="20" w:hanging="657"/>
        <w:spacing w:after="0" w:line="282" w:lineRule="auto"/>
        <w:tabs>
          <w:tab w:leader="none" w:pos="1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subsidy income mainly includes an additional 10% VAT super-credit subsidy from the PRC government to offset against VAT payable for the period from April 1, 2019 to December 31,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Income tax</w:t>
      </w:r>
    </w:p>
    <w:p>
      <w:pPr>
        <w:spacing w:after="0" w:line="225" w:lineRule="exact"/>
        <w:rPr>
          <w:sz w:val="20"/>
          <w:szCs w:val="20"/>
          <w:color w:val="auto"/>
        </w:rPr>
      </w:pPr>
    </w:p>
    <w:p>
      <w:pPr>
        <w:ind w:left="660" w:hanging="652"/>
        <w:spacing w:after="0"/>
        <w:tabs>
          <w:tab w:leader="none" w:pos="66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Cayman Islands and British Virgin Islands</w:t>
      </w:r>
    </w:p>
    <w:p>
      <w:pPr>
        <w:spacing w:after="0" w:line="229" w:lineRule="exact"/>
        <w:rPr>
          <w:rFonts w:ascii="Times New Roman" w:cs="Times New Roman" w:eastAsia="Times New Roman" w:hAnsi="Times New Roman"/>
          <w:sz w:val="18"/>
          <w:szCs w:val="18"/>
          <w:b w:val="1"/>
          <w:bCs w:val="1"/>
          <w:color w:val="auto"/>
        </w:rPr>
      </w:pPr>
    </w:p>
    <w:p>
      <w:pPr>
        <w:jc w:val="both"/>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current tax laws of Cayman Islands, iClick Cayman and its subsidiaries are not subject to tax on income or capital gains. Besides, upon payment of dividends by iClick Cayman to its shareholders, no Cayman Islands withholding tax will be imposed.</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Cayman’s subsidiaries incorporated in the British Virgin Islands are not subject to income or capital gains taxes, estate duty, inheritance tax or gift tax. In addition, payment of dividends to the shareholders of iClick Cayman’s subsidiaries in the British Virgin Islands are not subject to withholding tax in the British Virgin Islands.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Hong Kong profits tax</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Entities incorporated in Hong Kong are subject to Hong Kong profits tax. Under the two- tiered profits tax rates regime, the first HK$2 million assessable profits of the qualifying group company are subject to Hong Kong profits tax at a rate of 8.25% and the remaining profits are subject at a rate of 16.5% on the estimated assessable profits. The profits of group entities not qualifying for the two-tiered profits tax rates regime will continue to be taxed at a flat rate of 16.5%.</w:t>
      </w:r>
    </w:p>
    <w:p>
      <w:pPr>
        <w:spacing w:after="0" w:line="17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Enterprise Income Tax (“EIT”)</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Cayman’s subsidiaries, VIE and VIE’s subsidiaries in the PRC are governed by the Enterprise Income Tax Law (“EIT Law”). Pursuant to the EIT Law and its implementation rules, enterprises in the PRC are generally subjected to tax at a statutory rate of 25%.</w:t>
      </w:r>
    </w:p>
    <w:p>
      <w:pPr>
        <w:spacing w:after="0" w:line="175"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High and new technology enterprises (“HNTE”) will enjoy a preferential enterprise income tax rate of 15% under the EIT Law. Some of iClick Cayman’s subsidiaries and a VIE’s subsidiary in the PRC are qualified as a HNTE under the EIT Law which are eligible for a preferential enterprise income tax rate of 15% for a period of three years so long as these entities obtain approval from relevant tax authority if they are profitable during the period.</w:t>
      </w:r>
    </w:p>
    <w:p>
      <w:pPr>
        <w:spacing w:after="0" w:line="179"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Company’s PRC subsidiaries to the Company’s overseas companies unless otherwise exempted pursuant to applicable tax treaties or tax arrangements between the PRC government and the government of other jurisdiction which the WHT is reduced to 5%.</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there are undistributed earnings of iClick Cayman’s subsidiaries in the PRC that are available for distribution to iClick Cayman, the undistributed earnings of iClick Cayman’s subsidiaries located in the PRC are considered to be indefinitely reinvested, because iClick Cayman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PRC dividend withholding taxes that would be payable upon the distribution of those amounts to iClick Cayman as of December 31, 2022 and 2023. The undistributed earnings from iClick Cayman’s subsidiaries in the PRC as of December 31, 2022 and 2023 of US$1,087 and US$354 would be due if these earnings were remitted as dividends as of December 31, 2022 and 2023. An estimated foreign withholding taxes of US$54 and US$18 would be due if these earnings were remitted as dividends as of December 31, 2022 and 2023,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Income tax (Continued)</w:t>
      </w:r>
    </w:p>
    <w:p>
      <w:pPr>
        <w:spacing w:after="0" w:line="225" w:lineRule="exact"/>
        <w:rPr>
          <w:sz w:val="20"/>
          <w:szCs w:val="20"/>
          <w:color w:val="auto"/>
        </w:rPr>
      </w:pPr>
    </w:p>
    <w:p>
      <w:pPr>
        <w:ind w:left="660" w:hanging="652"/>
        <w:spacing w:after="0"/>
        <w:tabs>
          <w:tab w:leader="none" w:pos="66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Composition of income tax expense</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current and deferred portions of income tax expense included in the consolidated statements of comprehensive loss are as follows: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3120" w:type="dxa"/>
            <w:vAlign w:val="bottom"/>
            <w:tcBorders>
              <w:bottom w:val="single" w:sz="8" w:color="auto"/>
            </w:tcBorders>
            <w:gridSpan w:val="5"/>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5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(benefits)/expense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4"/>
              </w:rPr>
              <w:t>(11,557)</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10"/>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4"/>
              </w:rPr>
              <w:t>(11,182)</w:t>
            </w:r>
          </w:p>
        </w:tc>
        <w:tc>
          <w:tcPr>
            <w:tcW w:w="1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0"/>
        </w:trPr>
        <w:tc>
          <w:tcPr>
            <w:tcW w:w="55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tax assets and liabilities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taxes were measured using the enacted tax rates for the periods in which they are expected to be reversed. The tax effects of temporary differences that give rise to the deferred tax asset and deferred tax liability balances as of December 31,</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2022 and 2023 are as follows:</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Tax losses carried forward (Note (i))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Valuation allowance (Note (ii))</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Outside basis difference (Note (iii))</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1300" w:hanging="644"/>
        <w:spacing w:after="0"/>
        <w:tabs>
          <w:tab w:leader="none" w:pos="13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 carried forward</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 Company had tax loss carryforwards of approximately US$68,143 which can be carried forward to offset future taxable income. The net operating tax loss carryforwards will begin to expire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2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7,888</w:t>
            </w:r>
          </w:p>
        </w:tc>
        <w:tc>
          <w:tcPr>
            <w:tcW w:w="12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12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22,743</w:t>
            </w:r>
          </w:p>
        </w:tc>
        <w:tc>
          <w:tcPr>
            <w:tcW w:w="122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Tax loss with no expiry</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122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2600" w:type="dxa"/>
            <w:vAlign w:val="bottom"/>
            <w:tcBorders>
              <w:top w:val="single" w:sz="8" w:color="CCEEFF"/>
              <w:bottom w:val="single" w:sz="8" w:color="CCEEFF"/>
            </w:tcBorders>
            <w:shd w:val="clear" w:color="auto" w:fill="CCEEFF"/>
          </w:tcPr>
          <w:p>
            <w:pPr>
              <w:spacing w:after="0"/>
              <w:rPr>
                <w:sz w:val="18"/>
                <w:szCs w:val="18"/>
                <w:color w:val="auto"/>
              </w:rPr>
            </w:pPr>
          </w:p>
        </w:tc>
        <w:tc>
          <w:tcPr>
            <w:tcW w:w="39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68,143</w:t>
            </w:r>
          </w:p>
        </w:tc>
        <w:tc>
          <w:tcPr>
            <w:tcW w:w="122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844"/>
        </w:trPr>
        <w:tc>
          <w:tcPr>
            <w:tcW w:w="13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02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F-64</w:t>
            </w:r>
          </w:p>
        </w:tc>
      </w:tr>
      <w:tr>
        <w:trPr>
          <w:trHeight w:val="561"/>
        </w:trPr>
        <w:tc>
          <w:tcPr>
            <w:tcW w:w="13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Income tax (Continued)</w:t>
      </w:r>
    </w:p>
    <w:p>
      <w:pPr>
        <w:spacing w:after="0" w:line="225" w:lineRule="exact"/>
        <w:rPr>
          <w:sz w:val="20"/>
          <w:szCs w:val="20"/>
          <w:color w:val="auto"/>
        </w:rPr>
      </w:pPr>
    </w:p>
    <w:p>
      <w:pPr>
        <w:ind w:left="660" w:right="5760" w:hanging="652"/>
        <w:spacing w:after="0" w:line="503" w:lineRule="auto"/>
        <w:tabs>
          <w:tab w:leader="none" w:pos="66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Deferred tax assets and liabilities (Continued) </w:t>
      </w:r>
      <w:r>
        <w:rPr>
          <w:rFonts w:ascii="Times New Roman" w:cs="Times New Roman" w:eastAsia="Times New Roman" w:hAnsi="Times New Roman"/>
          <w:sz w:val="18"/>
          <w:szCs w:val="18"/>
          <w:color w:val="auto"/>
        </w:rPr>
        <w:t>Note: (Continued)</w:t>
      </w:r>
    </w:p>
    <w:p>
      <w:pPr>
        <w:ind w:left="1300" w:hanging="644"/>
        <w:spacing w:after="0"/>
        <w:tabs>
          <w:tab w:leader="none" w:pos="130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 carried forward (Continued)</w:t>
      </w:r>
    </w:p>
    <w:p>
      <w:pPr>
        <w:spacing w:after="0" w:line="225" w:lineRule="exact"/>
        <w:rPr>
          <w:rFonts w:ascii="Times New Roman" w:cs="Times New Roman" w:eastAsia="Times New Roman" w:hAnsi="Times New Roman"/>
          <w:sz w:val="18"/>
          <w:szCs w:val="18"/>
          <w:color w:val="auto"/>
        </w:rPr>
      </w:pPr>
    </w:p>
    <w:p>
      <w:pPr>
        <w:jc w:val="both"/>
        <w:ind w:left="13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2018 to 2022 remain subject to examination by the tax authorities. There were no ongoing examinations by tax authorities as of December 31, 2022 and 2023.</w:t>
      </w:r>
    </w:p>
    <w:p>
      <w:pPr>
        <w:spacing w:after="0" w:line="183" w:lineRule="exact"/>
        <w:rPr>
          <w:sz w:val="20"/>
          <w:szCs w:val="20"/>
          <w:color w:val="auto"/>
        </w:rPr>
      </w:pPr>
    </w:p>
    <w:p>
      <w:pPr>
        <w:ind w:left="1340" w:hanging="657"/>
        <w:spacing w:after="0"/>
        <w:tabs>
          <w:tab w:leader="none" w:pos="1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w:t>
      </w:r>
    </w:p>
    <w:p>
      <w:pPr>
        <w:spacing w:after="0" w:line="225" w:lineRule="exact"/>
        <w:rPr>
          <w:sz w:val="20"/>
          <w:szCs w:val="20"/>
          <w:color w:val="auto"/>
        </w:rPr>
      </w:pPr>
    </w:p>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Valuation allowance is provided against deferred tax assets when the Company determines that it is more likely than not that the deferred tax assets will not be utilized in the future. In making such determination, the Company considered factors including future taxable income exclusive of reversing temporary differences and tax loss carryforwards. Valuation allowance was provided for net operating loss carryforwards because it was more likely than not that such deferred tax assets will not be realized based on the Company’s estimate of its future taxable income. If events occur in the future that allow the Company to realize more of its deferred income tax than the presently recorded amounts, an adjustment to the valuation allowances will result in a decrease in tax expense when those events occur.</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Movement of valuation allowance is as follows:</w:t>
      </w:r>
    </w:p>
    <w:p>
      <w:pPr>
        <w:spacing w:after="0" w:line="232" w:lineRule="exact"/>
        <w:rPr>
          <w:sz w:val="20"/>
          <w:szCs w:val="20"/>
          <w:color w:val="auto"/>
        </w:rPr>
      </w:pPr>
    </w:p>
    <w:tbl>
      <w:tblPr>
        <w:tblLayout w:type="fixed"/>
        <w:tblInd w:w="130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2900" w:type="dxa"/>
            <w:vAlign w:val="bottom"/>
            <w:tcBorders>
              <w:bottom w:val="single" w:sz="8" w:color="auto"/>
            </w:tcBorders>
            <w:gridSpan w:val="5"/>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45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9,438</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Reversals (Note)</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9,438</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14,400</w:t>
            </w:r>
          </w:p>
        </w:tc>
      </w:tr>
      <w:tr>
        <w:trPr>
          <w:trHeight w:val="20"/>
        </w:trPr>
        <w:tc>
          <w:tcPr>
            <w:tcW w:w="4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reversals comprise tax loss carryforwards which have been utilized to offset taxable income during the years ended December 31, 2021, 2022 and 2023, respectively, and tax loss carryforwards which were expired in 2021, 2022 and 2023.</w:t>
      </w:r>
    </w:p>
    <w:p>
      <w:pPr>
        <w:spacing w:after="0" w:line="176" w:lineRule="exact"/>
        <w:rPr>
          <w:sz w:val="20"/>
          <w:szCs w:val="20"/>
          <w:color w:val="auto"/>
        </w:rPr>
      </w:pPr>
    </w:p>
    <w:p>
      <w:pPr>
        <w:ind w:left="1300" w:hanging="644"/>
        <w:spacing w:after="0"/>
        <w:tabs>
          <w:tab w:leader="none" w:pos="130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basis difference</w:t>
      </w:r>
    </w:p>
    <w:p>
      <w:pPr>
        <w:spacing w:after="0" w:line="225" w:lineRule="exact"/>
        <w:rPr>
          <w:rFonts w:ascii="Times New Roman" w:cs="Times New Roman" w:eastAsia="Times New Roman" w:hAnsi="Times New Roman"/>
          <w:sz w:val="18"/>
          <w:szCs w:val="18"/>
          <w:color w:val="auto"/>
        </w:rPr>
      </w:pPr>
    </w:p>
    <w:p>
      <w:pPr>
        <w:ind w:left="1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tax liabilities are recorded for the undistributed earnings in the Company’s VIE and its subsidiaries in the PRC of US$4,558 and US$4,335 as of December 31, 2022 and 2023,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8"/>
          <w:szCs w:val="18"/>
          <w:b w:val="1"/>
          <w:bCs w:val="1"/>
          <w:color w:val="auto"/>
        </w:rPr>
        <w:t>Income tax (Continued)</w:t>
      </w:r>
    </w:p>
    <w:p>
      <w:pPr>
        <w:spacing w:after="0" w:line="225" w:lineRule="exact"/>
        <w:rPr>
          <w:sz w:val="20"/>
          <w:szCs w:val="20"/>
          <w:color w:val="auto"/>
        </w:rPr>
      </w:pPr>
    </w:p>
    <w:p>
      <w:pPr>
        <w:ind w:left="660" w:hanging="652"/>
        <w:spacing w:after="0"/>
        <w:tabs>
          <w:tab w:leader="none" w:pos="66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reconciliation</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Reconciliation between the expense of income taxes computed by applying the statutory tax rates to loss before income taxes and the actual provision for income taxes is as follows: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7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640" w:type="dxa"/>
            <w:vAlign w:val="bottom"/>
            <w:tcBorders>
              <w:bottom w:val="single" w:sz="8" w:color="auto"/>
            </w:tcBorders>
          </w:tcPr>
          <w:p>
            <w:pPr>
              <w:spacing w:after="0"/>
              <w:rPr>
                <w:sz w:val="15"/>
                <w:szCs w:val="15"/>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calculated at statutory tax rates (Note i)</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r>
      <w:tr>
        <w:trPr>
          <w:trHeight w:val="198"/>
        </w:trPr>
        <w:tc>
          <w:tcPr>
            <w:tcW w:w="5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differences between statutory tax rates and foreign effective</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4"/>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rates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other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(Note ii)</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Outside basis difference (Note iii)</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deduction of research and development expenses (Note iv)</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0"/>
        </w:trPr>
        <w:tc>
          <w:tcPr>
            <w:tcW w:w="5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Note:</w:t>
      </w:r>
    </w:p>
    <w:p>
      <w:pPr>
        <w:spacing w:after="0" w:line="225" w:lineRule="exact"/>
        <w:rPr>
          <w:sz w:val="20"/>
          <w:szCs w:val="20"/>
          <w:color w:val="auto"/>
        </w:rPr>
      </w:pPr>
    </w:p>
    <w:p>
      <w:pPr>
        <w:ind w:left="1340" w:right="20" w:hanging="657"/>
        <w:spacing w:after="0" w:line="282" w:lineRule="auto"/>
        <w:tabs>
          <w:tab w:leader="none" w:pos="13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major operation was conducted out of the PRC. Accordingly, the Company prepared its tax rate reconciliation starting with the PRC statutory tax rate during the years ended December 31, 2021, 2022 and 2023.</w:t>
      </w:r>
    </w:p>
    <w:p>
      <w:pPr>
        <w:spacing w:after="0" w:line="161" w:lineRule="exact"/>
        <w:rPr>
          <w:rFonts w:ascii="Times New Roman" w:cs="Times New Roman" w:eastAsia="Times New Roman" w:hAnsi="Times New Roman"/>
          <w:sz w:val="18"/>
          <w:szCs w:val="18"/>
          <w:color w:val="auto"/>
        </w:rPr>
      </w:pPr>
    </w:p>
    <w:p>
      <w:pPr>
        <w:ind w:left="1340" w:hanging="657"/>
        <w:spacing w:after="0" w:line="282" w:lineRule="auto"/>
        <w:tabs>
          <w:tab w:leader="none" w:pos="13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Non-deductible expenses were mainly related to allowance for credit losses, share-based compensation expenses, impairment on long-term investments, impairment on goodwill and long-lived assets.</w:t>
      </w:r>
    </w:p>
    <w:p>
      <w:pPr>
        <w:spacing w:after="0" w:line="161" w:lineRule="exact"/>
        <w:rPr>
          <w:rFonts w:ascii="Times New Roman" w:cs="Times New Roman" w:eastAsia="Times New Roman" w:hAnsi="Times New Roman"/>
          <w:sz w:val="18"/>
          <w:szCs w:val="18"/>
          <w:color w:val="auto"/>
        </w:rPr>
      </w:pPr>
    </w:p>
    <w:p>
      <w:pPr>
        <w:ind w:left="1340" w:hanging="657"/>
        <w:spacing w:after="0" w:line="282" w:lineRule="auto"/>
        <w:tabs>
          <w:tab w:leader="none" w:pos="13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basis difference is related to undistributed earnings in the Company’s VIE and its subsidiaries in the PRC (Note 22(e)(iii)).</w:t>
      </w:r>
    </w:p>
    <w:p>
      <w:pPr>
        <w:spacing w:after="0" w:line="161" w:lineRule="exact"/>
        <w:rPr>
          <w:rFonts w:ascii="Times New Roman" w:cs="Times New Roman" w:eastAsia="Times New Roman" w:hAnsi="Times New Roman"/>
          <w:sz w:val="18"/>
          <w:szCs w:val="18"/>
          <w:color w:val="auto"/>
        </w:rPr>
      </w:pPr>
    </w:p>
    <w:p>
      <w:pPr>
        <w:jc w:val="both"/>
        <w:ind w:left="1340" w:hanging="657"/>
        <w:spacing w:after="0" w:line="258" w:lineRule="auto"/>
        <w:tabs>
          <w:tab w:leader="none" w:pos="13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a policy promulgated by the State Tax Bureau of the PRC and effective from 2008 onwards, companies engaged in research and development activities are entitled to claim ranging from 150% to 175% of the research and development expenses so incurred in a period as tax deductible expenses in determining its tax assessable profits for that period. Certain PRC subsidiaries of iClick Cayman have applied such additional deduction for the year ended December 31, 2021 and 2022.</w:t>
      </w:r>
    </w:p>
    <w:p>
      <w:pPr>
        <w:spacing w:after="0" w:line="139" w:lineRule="exact"/>
        <w:rPr>
          <w:sz w:val="20"/>
          <w:szCs w:val="20"/>
          <w:color w:val="auto"/>
        </w:rPr>
      </w:pPr>
    </w:p>
    <w:p>
      <w:pPr>
        <w:ind w:left="660" w:hanging="652"/>
        <w:spacing w:after="0"/>
        <w:tabs>
          <w:tab w:leader="none" w:pos="660"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for the years ended December 31, 2021, 2022 and 2023 are calculated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398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2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iClick Cayman</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(200,875)</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for basic and diluted net loss per share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(200,875)</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(38,690)</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and diluted net loss per share - weighted</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48,187,235</w:t>
            </w:r>
          </w:p>
        </w:tc>
        <w:tc>
          <w:tcPr>
            <w:tcW w:w="2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50,420,225</w:t>
            </w:r>
          </w:p>
        </w:tc>
        <w:tc>
          <w:tcPr>
            <w:tcW w:w="2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51,118,300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60" w:type="dxa"/>
            <w:vAlign w:val="bottom"/>
          </w:tcPr>
          <w:p>
            <w:pPr>
              <w:spacing w:after="0"/>
              <w:rPr>
                <w:sz w:val="19"/>
                <w:szCs w:val="19"/>
                <w:color w:val="auto"/>
              </w:rPr>
            </w:pPr>
          </w:p>
        </w:tc>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Basic net loss per share</w:t>
            </w: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gridSpan w:val="2"/>
            <w:vMerge w:val="continue"/>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200" w:type="dxa"/>
            <w:vAlign w:val="bottom"/>
            <w:vMerge w:val="continue"/>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(3.98)</w:t>
            </w:r>
          </w:p>
        </w:tc>
        <w:tc>
          <w:tcPr>
            <w:tcW w:w="20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60" w:type="dxa"/>
            <w:vAlign w:val="bottom"/>
          </w:tcPr>
          <w:p>
            <w:pPr>
              <w:spacing w:after="0"/>
              <w:rPr>
                <w:sz w:val="24"/>
                <w:szCs w:val="24"/>
                <w:color w:val="auto"/>
              </w:rPr>
            </w:pPr>
          </w:p>
        </w:tc>
        <w:tc>
          <w:tcPr>
            <w:tcW w:w="528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F-66</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 (Continued)</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 options and RSUs were excluded from the computation of diluted net loss per ordinary share for the years presented because including them would have had an anti-dilutive effect.</w:t>
      </w:r>
    </w:p>
    <w:p>
      <w:pPr>
        <w:spacing w:after="0" w:line="12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ordinary share equivalents were excluded from the computation of diluted net loss per ordinary share for the years presented because including them would have had an anti-dilutive effect:</w:t>
      </w:r>
    </w:p>
    <w:p>
      <w:pPr>
        <w:spacing w:after="0" w:line="14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Borders>
              <w:bottom w:val="single" w:sz="8" w:color="auto"/>
            </w:tcBorders>
          </w:tcPr>
          <w:p>
            <w:pPr>
              <w:spacing w:after="0"/>
              <w:rPr>
                <w:sz w:val="15"/>
                <w:szCs w:val="15"/>
                <w:color w:val="auto"/>
              </w:rPr>
            </w:pPr>
          </w:p>
        </w:tc>
      </w:tr>
      <w:tr>
        <w:trPr>
          <w:trHeight w:val="142"/>
        </w:trPr>
        <w:tc>
          <w:tcPr>
            <w:tcW w:w="5500" w:type="dxa"/>
            <w:vAlign w:val="bottom"/>
          </w:tcPr>
          <w:p>
            <w:pPr>
              <w:spacing w:after="0"/>
              <w:rPr>
                <w:sz w:val="12"/>
                <w:szCs w:val="12"/>
                <w:color w:val="auto"/>
              </w:rPr>
            </w:pPr>
          </w:p>
        </w:tc>
        <w:tc>
          <w:tcPr>
            <w:tcW w:w="90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100" w:type="dxa"/>
            <w:vAlign w:val="bottom"/>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940" w:type="dxa"/>
            <w:vAlign w:val="bottom"/>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RSUs and warrants – weighted average (thousands)</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40" w:lineRule="exact"/>
        <w:rPr>
          <w:sz w:val="20"/>
          <w:szCs w:val="20"/>
          <w:color w:val="auto"/>
        </w:rPr>
      </w:pPr>
    </w:p>
    <w:p>
      <w:pPr>
        <w:ind w:left="660" w:hanging="652"/>
        <w:spacing w:after="0"/>
        <w:tabs>
          <w:tab w:leader="none" w:pos="66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Save as disclosed elsewhere in these consolidated financial statements, there were no transactions nor balances with related parties as of and for the years ended December 31, 2021, 2022 and 2023.</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periods presented in these consolidated financial statements, the Company reports two operating segments: 1) Marketing Solutions, and 2) Enterprise Solutions. The Enterprise Solutions segment primarily reflects the results of the Company’s SaaS products and services, and the Company named its pre-existing online advertising service business as Marketing Solution business.</w:t>
      </w:r>
    </w:p>
    <w:p>
      <w:pPr>
        <w:spacing w:after="0" w:line="13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provides a summary of the Company’s breakdown of net revenues by type of goods or services and operating segment results for the years ended December 31, 2021, 2022 and 2023. The Company does not allocate any operating costs or assets to its business segments as the Company’s CODM does not use this information to measure the performance of the operating segments. There was no significant transaction between reportable segments for the years ended December 31, 2021, 2022 and 2023.</w:t>
      </w:r>
    </w:p>
    <w:p>
      <w:pPr>
        <w:spacing w:after="0" w:line="123"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34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revenues: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Marketing Solutions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Sales agent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4,195</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Cost-plus</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26,062</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8,909</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4,761</w:t>
            </w: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Specified actions</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212,353</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94,498</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79,902</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242,610</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105,956</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86,481</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Enterprise Solutions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 SaaS products and services</w:t>
            </w: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65,092</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63,124</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46,736</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307,702</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169,080</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133,217</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Marketing Solutions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 Specified actions</w:t>
            </w: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(194,912)</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(138,140)</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(67,115)</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Enterprise Solutions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 SaaS products and services</w:t>
            </w: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(23,637)</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(35,072)</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(31,260)</w:t>
            </w: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(218,549)</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(173,212)</w:t>
            </w:r>
          </w:p>
        </w:tc>
        <w:tc>
          <w:tcPr>
            <w:tcW w:w="1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(98,375)</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profit/(loss):</w:t>
            </w: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Marketing Solutions</w:t>
            </w: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Sales agent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4,195</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2,549</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Cost-plus</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26,062</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8,909</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4,761</w:t>
            </w:r>
          </w:p>
        </w:tc>
        <w:tc>
          <w:tcPr>
            <w:tcW w:w="0" w:type="dxa"/>
            <w:vAlign w:val="bottom"/>
          </w:tcPr>
          <w:p>
            <w:pPr>
              <w:spacing w:after="0"/>
              <w:rPr>
                <w:sz w:val="1"/>
                <w:szCs w:val="1"/>
                <w:color w:val="auto"/>
              </w:rPr>
            </w:pPr>
          </w:p>
        </w:tc>
      </w:tr>
      <w:tr>
        <w:trPr>
          <w:trHeight w:val="149"/>
        </w:trPr>
        <w:tc>
          <w:tcPr>
            <w:tcW w:w="62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 Specified actions</w:t>
            </w: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17,441</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(43,642)</w:t>
            </w: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12,787</w:t>
            </w: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47,698</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(32,184)</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19,366</w:t>
            </w:r>
          </w:p>
        </w:tc>
        <w:tc>
          <w:tcPr>
            <w:tcW w:w="0" w:type="dxa"/>
            <w:vAlign w:val="bottom"/>
          </w:tcPr>
          <w:p>
            <w:pPr>
              <w:spacing w:after="0"/>
              <w:rPr>
                <w:sz w:val="1"/>
                <w:szCs w:val="1"/>
                <w:color w:val="auto"/>
              </w:rPr>
            </w:pPr>
          </w:p>
        </w:tc>
      </w:tr>
      <w:tr>
        <w:trPr>
          <w:trHeight w:val="142"/>
        </w:trPr>
        <w:tc>
          <w:tcPr>
            <w:tcW w:w="62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Enterprise Solutions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 SaaS products and services</w:t>
            </w: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41,455</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28,052</w:t>
            </w:r>
          </w:p>
        </w:tc>
        <w:tc>
          <w:tcPr>
            <w:tcW w:w="18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15,476</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89,153</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(4,132)</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34,842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 (Continued)</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currently does not allocate assets to all of its segments, as its CODM does not use such information to allocate resources or evaluate the performance of the operating segments.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generated for the respective countries are summarized as follows: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3120" w:type="dxa"/>
            <w:vAlign w:val="bottom"/>
            <w:tcBorders>
              <w:bottom w:val="single" w:sz="8" w:color="auto"/>
            </w:tcBorders>
            <w:gridSpan w:val="8"/>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254,874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140,211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109,726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52,599</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23,028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307,702</w:t>
            </w:r>
          </w:p>
        </w:tc>
        <w:tc>
          <w:tcPr>
            <w:tcW w:w="180" w:type="dxa"/>
            <w:vAlign w:val="bottom"/>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169,080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133,217</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Company’s long-lived assets are located in the following countries:</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60" w:hanging="652"/>
        <w:spacing w:after="0"/>
        <w:tabs>
          <w:tab w:leader="none" w:pos="66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the business, the Company is subject to periodic legal or administrative proceedings. As of December 31, 2023, the Company is not a party to any legal or administrative proceedings which will have a material adverse effect on the Company’s business, financial position, results of operations and cash flows.</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commitments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and 2022, the Company had no capital commitments.</w:t>
      </w:r>
    </w:p>
    <w:p>
      <w:pPr>
        <w:spacing w:after="0" w:line="221" w:lineRule="exact"/>
        <w:rPr>
          <w:sz w:val="20"/>
          <w:szCs w:val="20"/>
          <w:color w:val="auto"/>
        </w:rPr>
      </w:pPr>
    </w:p>
    <w:p>
      <w:pPr>
        <w:ind w:left="660" w:hanging="652"/>
        <w:spacing w:after="0"/>
        <w:tabs>
          <w:tab w:leader="none" w:pos="66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evaluated subsequent events from December 31, 2023 through the date when the consolidated financial statements were issued, and concluded that no subsequent events have occurred that would require recognition or disclose in the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hanging="652"/>
        <w:spacing w:after="0"/>
        <w:tabs>
          <w:tab w:leader="none" w:pos="66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Relevant PRC laws and regulations permit payments of dividends by the Company’s subsidiaries, VIE and its subsidiaries incorporated in the PRC only out of their retained earnings, if any, as determined in accordance with PRC accounting standards and regulations. In addition, the Company’s subsidiaries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Company’s subsidiaries, VIE and its subsidiaries incorporated in the PRC are restricted in their ability to transfer a portion of their net assets to iClick Cayman either in the form of dividends, loans or advances. There are no significant differences between U.S. GAAP and PRC accounting standards in connection with the reported net assets of the legally owned subsidiaries in the PRC and the VIE. Even though iClick Cayman currently does not require any such dividends, loans or advances from the PRC entities for working capital and other funding purposes, iClick Cayman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Company’s subsidiaries, VIE and its subsidiaries to satisfy any obligations of iClick Cayman.</w:t>
      </w:r>
    </w:p>
    <w:p>
      <w:pPr>
        <w:spacing w:after="0" w:line="187"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Furthermore, cash transfers from iClick Cayman’s PRC subsidiaries to their parent companies outside of China are subject to PRC government control of currency conversion. Shortages in the availability of foreign currency at the time of requesting such conversion may temporarily delay the ability of the PRC subsidiaries and consolidated affiliated entities to remit sufficient foreign currency to pay dividends or other payments to iClick Cayman, or otherwise satisfy their foreign currency denominated obligations.</w:t>
      </w:r>
    </w:p>
    <w:p>
      <w:pPr>
        <w:spacing w:after="0" w:line="183" w:lineRule="exact"/>
        <w:rPr>
          <w:rFonts w:ascii="Times New Roman" w:cs="Times New Roman" w:eastAsia="Times New Roman" w:hAnsi="Times New Roman"/>
          <w:sz w:val="18"/>
          <w:szCs w:val="18"/>
          <w:b w:val="1"/>
          <w:bCs w:val="1"/>
          <w:color w:val="auto"/>
        </w:rPr>
      </w:pPr>
    </w:p>
    <w:p>
      <w:pPr>
        <w:jc w:val="both"/>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2022 and 2023, the total restricted net assets of iClick Cayman’s subsidiaries and OptAim VIE incorporated in the PRC and subjected to restriction amounted to approximately US$32,239 and US$21,303, respectively. Except for the above there is no other restriction on the use of proceeds generated by iClick Cayman’s subsidiaries, VIE and VIE’s subsidiaries to satisfy any obligations of iClick Cayman.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left="660" w:right="412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ADDITIONAL INFORMATION: CONDENSED FINANCIAL STATEMENTS OF PARENT COMPANY</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subsidiaries together exceed 25% of consolidated net assets as of the end of the most recently completed fiscal year.</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following condensed financial statements of iClick Cayman have been prepared using the same accounting policies as set out in iClick Cayman’s consolidated financial statements except that iClick Cayman used the equity method to account for its investment in its subsidiaries, VIE and VIE’s subsidiaries. Such investment is presented on the separate condensed balance sheets of iClick Cayman as “Investment in subsidiaries, VIE and VIE’s subsidiaries” and “Accumulated losses in excess of investment in subsidiaries, VIE and VIE’s subsidiaries.” iClick Cayman, its subsidiaries, VIE and VIE’s subsidiaries were included in the consolidated financial statements whereby the intercompany balances and transactions were eliminated upon consolidation. iClick Cayman’s share of income from its subsidiaries, VIE and VIE’s subsidiaries is reported as share of income from subsidiaries, VIE and VIE’s subsidiaries in the condensed financial statements.</w:t>
      </w:r>
    </w:p>
    <w:p>
      <w:pPr>
        <w:spacing w:after="0" w:line="19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iClick Cayman is a Cayman Islands company and, therefore, is not subjected to income taxes for all years presented. The footnote disclosures contain supplemental information relating to the operations of iClick Cayman and, as such, these statements should be read in conjunction with the notes to the consolidated financial statements of iClick Cayman. Certain information and footnote disclosures normally included in financial statements prepared in accordance with U.S. GAAP have been condensed or omitted.</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December 31, 2022 and 2023, there were no material commitments or contingencies, significant provisions for long-term obligations or guarantees of iClick Cayman, except for those which have been separately disclosed in the consolidated financial statements, if any.</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Inter-company charges, share-based compensation and other miscellaneous expenses for the years ended December 31, 2021, 2022 and 2023, which were previously recognized at the parent company level, had been pushed down to the WFOE/VIE level given the majority of services were provided to the WFOE/VIE entities.</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condensed financial statements of the parent company should be read in conjunction with iClick Cayman’s consolidated financial statements and the accompanying notes thereto. For purposes of these condensed financial statements, iClick Cayman’s wholly owned and majority owned subsidiaries are recorded based upon its proportionate share of the subsidiaries’ net assets (similar to presenting them on the equity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2022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21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short-term investments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 in subsidiaries, VIE and VIE’s subsidiaries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Investment in an equity investee</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80,294</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82,576</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liability</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liability</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liability</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liability</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Treasury shares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(28,457)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shareholders’ equity</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103,338</w:t>
            </w:r>
          </w:p>
        </w:tc>
        <w:tc>
          <w:tcPr>
            <w:tcW w:w="2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8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74,930</w:t>
            </w:r>
          </w:p>
        </w:tc>
        <w:tc>
          <w:tcPr>
            <w:tcW w:w="2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82,576</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ind w:right="47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CONDENSED STATEMENTS OF COMPREHENSIVE LOSS FOR THE YEARS ENDED DECEMBER 31, 2021, 2022 AND 2023 </w:t>
      </w:r>
      <w:r>
        <w:rPr>
          <w:rFonts w:ascii="Times New Roman" w:cs="Times New Roman" w:eastAsia="Times New Roman" w:hAnsi="Times New Roman"/>
          <w:sz w:val="17"/>
          <w:szCs w:val="17"/>
          <w:color w:val="auto"/>
        </w:rPr>
        <w:t>(US$’000, except share data and per share data, or otherwise noted)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9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(17,574)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(17,574)</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(7,160)</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(17,574)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(7,160)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(losses)/gains, net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Share of profits/(losses) from subsidiaries, VIE and VIE’ subsidiaries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(185,431)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share of losses from an equity investee and income tax expense</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(200,516)</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iClick Interactive Asia Group Limited’s ordinary shareholders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2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(200,875)</w:t>
            </w:r>
          </w:p>
        </w:tc>
        <w:tc>
          <w:tcPr>
            <w:tcW w:w="20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attributable to iClick Interactive Asia Group Limited</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(13,631)</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(200,875)</w:t>
            </w: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(38,690)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(4,946)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Share of other comprehensive loss from subsidiaries, VIE and VIE’ subsidiaries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iClick Interactive Asia Group Limited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(205,821)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563C1"/>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31" w:lineRule="exact"/>
        <w:rPr>
          <w:sz w:val="20"/>
          <w:szCs w:val="20"/>
          <w:color w:val="auto"/>
        </w:rPr>
      </w:pPr>
    </w:p>
    <w:p>
      <w:pPr>
        <w:ind w:right="4740"/>
        <w:spacing w:after="0" w:line="290" w:lineRule="auto"/>
        <w:rPr>
          <w:sz w:val="20"/>
          <w:szCs w:val="20"/>
          <w:color w:val="auto"/>
        </w:rPr>
      </w:pPr>
      <w:r>
        <w:rPr>
          <w:rFonts w:ascii="Times New Roman" w:cs="Times New Roman" w:eastAsia="Times New Roman" w:hAnsi="Times New Roman"/>
          <w:sz w:val="17"/>
          <w:szCs w:val="17"/>
          <w:b w:val="1"/>
          <w:bCs w:val="1"/>
          <w:color w:val="auto"/>
        </w:rPr>
        <w:t xml:space="preserve">FOR THE YEARS ENDED DECEMBER 31, 2021, 2022 AND 2023 </w:t>
      </w:r>
      <w:r>
        <w:rPr>
          <w:rFonts w:ascii="Times New Roman" w:cs="Times New Roman" w:eastAsia="Times New Roman" w:hAnsi="Times New Roman"/>
          <w:sz w:val="17"/>
          <w:szCs w:val="17"/>
          <w:color w:val="auto"/>
        </w:rPr>
        <w:t>(US$’000, except share data and per share data, or otherwise noted)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(3,217)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(7,754)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 of short-term investment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time deposits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 to subsidiaries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Amount due from subsidiaries</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subsidiaries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(4,982)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(7,742)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11,914</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(10,687)</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(7,574)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issuance of ordinary shares upon subscription from Baozun Inc.</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20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(7,506)</w:t>
            </w:r>
          </w:p>
        </w:tc>
        <w:tc>
          <w:tcPr>
            <w:tcW w:w="20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Net(decrease)/increase in cash and cash equivalents and restricted cash</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of iClick Interactive Asia Group Limited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360" w:type="dxa"/>
            <w:vAlign w:val="bottom"/>
            <w:tcBorders>
              <w:bottom w:val="single" w:sz="8" w:color="CCEEFF"/>
            </w:tcBorders>
          </w:tcPr>
          <w:p>
            <w:pPr>
              <w:spacing w:after="0"/>
              <w:rPr>
                <w:sz w:val="15"/>
                <w:szCs w:val="15"/>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 Incorporation</w:t>
            </w:r>
          </w:p>
        </w:tc>
      </w:tr>
      <w:tr>
        <w:trPr>
          <w:trHeight w:val="20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Optimix Media Asia Limited</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iClick Interactive Asia Limited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Marketing Group Limited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Tetris Media Limited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iClick Interactive (Singapore) Pte. Ltd.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Media Group Limited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iClick Data Technology (Beijing) Limited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Tetris Information Technology (Shanghai) Co., Ltd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Diablo Holdings Corporation</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Harmattan Capital Holdings Corporation</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Search (Asia) Limited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Search Asia Technology (Shenzhen) Co., Ltd.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CMRS Group Holding Limited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Beyond Digital Solutions Limited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CMRS Digital Solutions Limited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CruiSo Digital Solutions Limited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CruiSo Directions Limited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SociaLink Consultancy Limited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Kushu Information Technology Co., Ltd.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Optimal Power Limited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Dragon Force Global Limited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Full Lucky International Limited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Turbo Summit Holdings Limited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HBV Changyi Company Limited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RC Changyi Company Limited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MCZ Holdings Limited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British Virgin Islands</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YYDCY Limited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Tetris (Shanghai) Data Technology Co., Ltd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OptAim Ltd.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Cayman Islands</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OptAim (HK) Limited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OptAim (Beijing) Information Technology Co., Ltd.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Anhui Zhiyunzhong Information Technology Co., Ltd.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OptAim Network Technology Co., Ltd.</w:t>
            </w:r>
          </w:p>
        </w:tc>
        <w:tc>
          <w:tcPr>
            <w:tcW w:w="15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25"/>
                <w:szCs w:val="25"/>
                <w:color w:val="auto"/>
                <w:vertAlign w:val="superscript"/>
              </w:rPr>
              <w:t>(1)</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Zhiyunzhong (Shanghai) Technology Co., Ltd.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Myhayo Technology Co., Ltd.</w:t>
            </w:r>
          </w:p>
        </w:tc>
        <w:tc>
          <w:tcPr>
            <w:tcW w:w="15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7"/>
                <w:szCs w:val="17"/>
                <w:color w:val="auto"/>
              </w:rPr>
              <w:t>37%</w:t>
            </w:r>
            <w:r>
              <w:rPr>
                <w:rFonts w:ascii="Times New Roman" w:cs="Times New Roman" w:eastAsia="Times New Roman" w:hAnsi="Times New Roman"/>
                <w:sz w:val="25"/>
                <w:szCs w:val="25"/>
                <w:color w:val="auto"/>
                <w:vertAlign w:val="superscript"/>
              </w:rPr>
              <w:t>(2)</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Anhui Myhayo Technology Co., Ltd.</w:t>
            </w:r>
          </w:p>
        </w:tc>
        <w:tc>
          <w:tcPr>
            <w:tcW w:w="156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25"/>
                <w:szCs w:val="25"/>
                <w:color w:val="auto"/>
                <w:vertAlign w:val="subscript"/>
              </w:rPr>
              <w:t>37%</w:t>
            </w:r>
            <w:r>
              <w:rPr>
                <w:rFonts w:ascii="Times New Roman" w:cs="Times New Roman" w:eastAsia="Times New Roman" w:hAnsi="Times New Roman"/>
                <w:sz w:val="11"/>
                <w:szCs w:val="11"/>
                <w:color w:val="auto"/>
              </w:rPr>
              <w:t>(2)</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Changyi (Shanghai) Information Technology Ltd.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Xi'an Changzhan Information Technology Ltd.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Anhui Aizhishu Information Technology Co., Ltd.</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Changyi Information Technology Co., Ltd.</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People’s Republic of China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VIE.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VIE’s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Jian Tang, certify that:</w:t>
      </w:r>
    </w:p>
    <w:p>
      <w:pPr>
        <w:spacing w:after="0" w:line="225" w:lineRule="exact"/>
        <w:rPr>
          <w:sz w:val="20"/>
          <w:szCs w:val="20"/>
          <w:color w:val="auto"/>
        </w:rPr>
      </w:pPr>
    </w:p>
    <w:p>
      <w:pPr>
        <w:ind w:left="660" w:hanging="652"/>
        <w:spacing w:after="0"/>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iClick Interactive Asia Group Limited;</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jc w:val="both"/>
        <w:ind w:left="1300" w:right="20" w:hanging="644"/>
        <w:spacing w:after="0" w:line="266" w:lineRule="auto"/>
        <w:tabs>
          <w:tab w:leader="none" w:pos="130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p>
      <w:pPr>
        <w:spacing w:after="0" w:line="175" w:lineRule="exact"/>
        <w:rPr>
          <w:rFonts w:ascii="Times New Roman" w:cs="Times New Roman" w:eastAsia="Times New Roman" w:hAnsi="Times New Roman"/>
          <w:sz w:val="18"/>
          <w:szCs w:val="18"/>
          <w:color w:val="auto"/>
        </w:rPr>
      </w:pPr>
    </w:p>
    <w:p>
      <w:pPr>
        <w:ind w:left="660" w:right="580" w:hanging="652"/>
        <w:spacing w:after="0" w:line="266" w:lineRule="auto"/>
        <w:tabs>
          <w:tab w:leader="none" w:pos="66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30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20, 2024</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7774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Name:Jian Tang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 Section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Josephine Ngai Yuk Chun, certify that:</w:t>
      </w:r>
    </w:p>
    <w:p>
      <w:pPr>
        <w:spacing w:after="0" w:line="225" w:lineRule="exact"/>
        <w:rPr>
          <w:sz w:val="20"/>
          <w:szCs w:val="20"/>
          <w:color w:val="auto"/>
        </w:rPr>
      </w:pPr>
    </w:p>
    <w:p>
      <w:pPr>
        <w:ind w:left="660" w:hanging="652"/>
        <w:spacing w:after="0"/>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iClick Interactive Asia Group Limited;</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ind w:left="1300" w:right="180" w:hanging="644"/>
        <w:spacing w:after="0" w:line="261" w:lineRule="auto"/>
        <w:tabs>
          <w:tab w:leader="none" w:pos="13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89" w:lineRule="auto"/>
        <w:tabs>
          <w:tab w:leader="none" w:pos="1300" w:val="left"/>
        </w:tabs>
        <w:numPr>
          <w:ilvl w:val="1"/>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jc w:val="both"/>
        <w:ind w:left="1300" w:right="20" w:hanging="644"/>
        <w:spacing w:after="0" w:line="266" w:lineRule="auto"/>
        <w:tabs>
          <w:tab w:leader="none" w:pos="13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75" w:lineRule="exact"/>
        <w:rPr>
          <w:rFonts w:ascii="Times New Roman" w:cs="Times New Roman" w:eastAsia="Times New Roman" w:hAnsi="Times New Roman"/>
          <w:sz w:val="18"/>
          <w:szCs w:val="18"/>
          <w:color w:val="auto"/>
        </w:rPr>
      </w:pPr>
    </w:p>
    <w:p>
      <w:pPr>
        <w:ind w:left="660" w:right="580" w:hanging="652"/>
        <w:spacing w:after="0" w:line="266" w:lineRule="auto"/>
        <w:tabs>
          <w:tab w:leader="none" w:pos="66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644"/>
        <w:spacing w:after="0" w:line="266" w:lineRule="auto"/>
        <w:tabs>
          <w:tab w:leader="none" w:pos="13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644"/>
        <w:spacing w:after="0" w:line="282" w:lineRule="auto"/>
        <w:tabs>
          <w:tab w:leader="none" w:pos="13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20, 2024</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Josephine Ngai Yuk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7774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Name:Josephine Ngai Yuk Chun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 Pursuant to Section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906 of the Sarbanes-Oxley Act Of 2002</w:t>
      </w:r>
    </w:p>
    <w:p>
      <w:pPr>
        <w:spacing w:after="0" w:line="207" w:lineRule="exact"/>
        <w:rPr>
          <w:sz w:val="20"/>
          <w:szCs w:val="20"/>
          <w:color w:val="auto"/>
        </w:rPr>
      </w:pPr>
    </w:p>
    <w:p>
      <w:pPr>
        <w:jc w:val="both"/>
        <w:ind w:lef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iClick Interactive Asia Group Limited (the “Company”) on Form 20-F for the fiscal year ended December 31, 2023 as filed with the Securities and Exchange Commission on the date hereof (the “Report”), I, Jian Tang, Chief Executive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20, 2024</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7774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Name:Jian Tang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 Pursuant to Section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906 of the Sarbanes-Oxley Act Of 2002</w:t>
      </w:r>
    </w:p>
    <w:p>
      <w:pPr>
        <w:spacing w:after="0" w:line="220" w:lineRule="exact"/>
        <w:rPr>
          <w:sz w:val="20"/>
          <w:szCs w:val="20"/>
          <w:color w:val="auto"/>
        </w:rPr>
      </w:pPr>
    </w:p>
    <w:p>
      <w:pPr>
        <w:jc w:val="both"/>
        <w:ind w:left="80" w:right="2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iClick Interactive Asia Group Limited (the “Company”) on Form 20-F for the fiscal year ended December 31, 2023 as filed with the Securities and Exchange Commission on the date hereof (the “Report”), I, Josephine Ngai Yuk Chun, Chief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20, 2024</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Josephine Ngai Yuk Chun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17145</wp:posOffset>
            </wp:positionV>
            <wp:extent cx="27774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Name:Josephine Ngai Yuk Chun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156845</wp:posOffset>
            </wp:positionV>
            <wp:extent cx="1371600" cy="10712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1371600"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Office:</w:t>
      </w:r>
      <w:r>
        <w:rPr>
          <w:sz w:val="20"/>
          <w:szCs w:val="20"/>
          <w:color w:val="auto"/>
        </w:rPr>
        <w:tab/>
      </w:r>
      <w:r>
        <w:rPr>
          <w:rFonts w:ascii="Times New Roman" w:cs="Times New Roman" w:eastAsia="Times New Roman" w:hAnsi="Times New Roman"/>
          <w:sz w:val="18"/>
          <w:szCs w:val="18"/>
          <w:color w:val="auto"/>
        </w:rPr>
        <w:t>+852 2801 6066</w:t>
      </w:r>
    </w:p>
    <w:p>
      <w:pPr>
        <w:spacing w:after="0" w:line="3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Mobile:</w:t>
      </w:r>
      <w:r>
        <w:rPr>
          <w:sz w:val="20"/>
          <w:szCs w:val="20"/>
          <w:color w:val="auto"/>
        </w:rPr>
        <w:tab/>
      </w:r>
      <w:r>
        <w:rPr>
          <w:rFonts w:ascii="Times New Roman" w:cs="Times New Roman" w:eastAsia="Times New Roman" w:hAnsi="Times New Roman"/>
          <w:sz w:val="18"/>
          <w:szCs w:val="18"/>
          <w:color w:val="auto"/>
        </w:rPr>
        <w:t>+852 9718 8740</w:t>
      </w:r>
    </w:p>
    <w:p>
      <w:pPr>
        <w:spacing w:after="0" w:line="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Email:</w:t>
      </w:r>
      <w:r>
        <w:rPr>
          <w:sz w:val="20"/>
          <w:szCs w:val="20"/>
          <w:color w:val="auto"/>
        </w:rPr>
        <w:tab/>
      </w:r>
      <w:r>
        <w:rPr>
          <w:rFonts w:ascii="Times New Roman" w:cs="Times New Roman" w:eastAsia="Times New Roman" w:hAnsi="Times New Roman"/>
          <w:sz w:val="18"/>
          <w:szCs w:val="18"/>
          <w:color w:val="auto"/>
        </w:rPr>
        <w:t>rthorp@tta.lawyer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663 King</w:t>
      </w:r>
      <w:r>
        <w:rPr>
          <w:rFonts w:ascii="Arial" w:cs="Arial" w:eastAsia="Arial" w:hAnsi="Arial"/>
          <w:sz w:val="18"/>
          <w:szCs w:val="18"/>
          <w:color w:val="auto"/>
        </w:rPr>
        <w:t>’</w:t>
      </w:r>
      <w:r>
        <w:rPr>
          <w:rFonts w:ascii="Times New Roman" w:cs="Times New Roman" w:eastAsia="Times New Roman" w:hAnsi="Times New Roman"/>
          <w:sz w:val="18"/>
          <w:szCs w:val="18"/>
          <w:color w:val="auto"/>
        </w:rPr>
        <w:t>s Road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Quarry Bay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S.A.R.</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 June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acted as legal advisers as to the laws of the Cayman Islands to iClick Interactive Asia Group Limited, a Cayman Islands exempted company incorporated with limited liability (the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 connection with the filing by the Company with the United States Securities and Exchange Commission (the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SEC</w:t>
      </w:r>
      <w:r>
        <w:rPr>
          <w:rFonts w:ascii="Arial" w:cs="Arial" w:eastAsia="Arial" w:hAnsi="Arial"/>
          <w:sz w:val="18"/>
          <w:szCs w:val="18"/>
          <w:color w:val="auto"/>
        </w:rPr>
        <w:t>”</w:t>
      </w:r>
      <w:r>
        <w:rPr>
          <w:rFonts w:ascii="Times New Roman" w:cs="Times New Roman" w:eastAsia="Times New Roman" w:hAnsi="Times New Roman"/>
          <w:sz w:val="18"/>
          <w:szCs w:val="18"/>
          <w:color w:val="auto"/>
        </w:rPr>
        <w:t>) of an annual report on Form 20-F for the year ended 31 December 2023 (</w:t>
      </w:r>
      <w:r>
        <w:rPr>
          <w:rFonts w:ascii="Arial" w:cs="Arial" w:eastAsia="Arial" w:hAnsi="Arial"/>
          <w:sz w:val="18"/>
          <w:szCs w:val="18"/>
          <w:color w:val="auto"/>
        </w:rPr>
        <w:t>“</w:t>
      </w:r>
      <w:r>
        <w:rPr>
          <w:rFonts w:ascii="Times New Roman" w:cs="Times New Roman" w:eastAsia="Times New Roman" w:hAnsi="Times New Roman"/>
          <w:sz w:val="18"/>
          <w:szCs w:val="18"/>
          <w:b w:val="1"/>
          <w:bCs w:val="1"/>
          <w:color w:val="auto"/>
        </w:rPr>
        <w:t>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20-F</w:t>
      </w:r>
      <w:r>
        <w:rPr>
          <w:rFonts w:ascii="Arial" w:cs="Arial" w:eastAsia="Arial" w:hAnsi="Arial"/>
          <w:sz w:val="18"/>
          <w:szCs w:val="18"/>
          <w:color w:val="auto"/>
        </w:rPr>
        <w:t>”</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hereby consent to the reference of our name under the headings, </w:t>
      </w:r>
      <w:r>
        <w:rPr>
          <w:rFonts w:ascii="Arial" w:cs="Arial" w:eastAsia="Arial" w:hAnsi="Arial"/>
          <w:sz w:val="18"/>
          <w:szCs w:val="18"/>
          <w:color w:val="auto"/>
        </w:rPr>
        <w:t>“</w:t>
      </w:r>
      <w:r>
        <w:rPr>
          <w:rFonts w:ascii="Times New Roman" w:cs="Times New Roman" w:eastAsia="Times New Roman" w:hAnsi="Times New Roman"/>
          <w:sz w:val="18"/>
          <w:szCs w:val="18"/>
          <w:color w:val="auto"/>
        </w:rPr>
        <w:t>Item 10. Additional Information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E.Taxation</w:t>
      </w:r>
      <w:r>
        <w:rPr>
          <w:rFonts w:ascii="Arial" w:cs="Arial" w:eastAsia="Arial" w:hAnsi="Arial"/>
          <w:sz w:val="18"/>
          <w:szCs w:val="18"/>
          <w:color w:val="auto"/>
        </w:rPr>
        <w:t>—</w:t>
      </w:r>
      <w:r>
        <w:rPr>
          <w:rFonts w:ascii="Times New Roman" w:cs="Times New Roman" w:eastAsia="Times New Roman" w:hAnsi="Times New Roman"/>
          <w:sz w:val="18"/>
          <w:szCs w:val="18"/>
          <w:color w:val="auto"/>
        </w:rPr>
        <w:t>Cayman Islands Taxation</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 the Form 20-F, and further consent to the incorporation by reference of the summaries of our opinions under these captions into iClick Interactive Asia Group Limited</w:t>
      </w:r>
      <w:r>
        <w:rPr>
          <w:rFonts w:ascii="Arial" w:cs="Arial" w:eastAsia="Arial" w:hAnsi="Arial"/>
          <w:sz w:val="18"/>
          <w:szCs w:val="18"/>
          <w:color w:val="auto"/>
        </w:rPr>
        <w:t>’</w:t>
      </w:r>
      <w:r>
        <w:rPr>
          <w:rFonts w:ascii="Times New Roman" w:cs="Times New Roman" w:eastAsia="Times New Roman" w:hAnsi="Times New Roman"/>
          <w:sz w:val="18"/>
          <w:szCs w:val="18"/>
          <w:color w:val="auto"/>
        </w:rPr>
        <w:t>s registration statement on Form S-8 (File No. 333-225568) that was filed on 12 June 2018, Form S-8 (File No. 333-227747) that was filed on 9 October 2018 and Form S-8 (File No. 333-253596) that was filed on 26 February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Travers Thorp Alberga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1085850</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5715</wp:posOffset>
            </wp:positionV>
            <wp:extent cx="2185670" cy="7372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2185670" cy="737235"/>
                    </a:xfrm>
                    <a:prstGeom prst="rect">
                      <a:avLst/>
                    </a:prstGeom>
                    <a:noFill/>
                  </pic:spPr>
                </pic:pic>
              </a:graphicData>
            </a:graphic>
          </wp:anchor>
        </w:drawing>
      </w:r>
    </w:p>
    <w:p>
      <w:pPr>
        <w:sectPr>
          <w:pgSz w:w="11900" w:h="16838" w:orient="portrait"/>
          <w:cols w:equalWidth="0" w:num="1">
            <w:col w:w="9920"/>
          </w:cols>
          <w:pgMar w:left="980" w:top="333" w:right="99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156845</wp:posOffset>
            </wp:positionV>
            <wp:extent cx="2640330" cy="4718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26403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line="219" w:lineRule="exact"/>
        <w:rPr>
          <w:sz w:val="20"/>
          <w:szCs w:val="20"/>
          <w:color w:val="auto"/>
        </w:rPr>
      </w:pPr>
      <w:r>
        <w:rPr>
          <w:rFonts w:ascii="SimSun" w:cs="SimSun" w:eastAsia="SimSun" w:hAnsi="SimSun"/>
          <w:sz w:val="18"/>
          <w:szCs w:val="18"/>
          <w:color w:val="auto"/>
        </w:rPr>
        <w:t>北京市朝阳区建国路</w:t>
      </w:r>
      <w:r>
        <w:rPr>
          <w:rFonts w:ascii="Times New Roman" w:cs="Times New Roman" w:eastAsia="Times New Roman" w:hAnsi="Times New Roman"/>
          <w:sz w:val="18"/>
          <w:szCs w:val="18"/>
          <w:b w:val="1"/>
          <w:bCs w:val="1"/>
          <w:color w:val="auto"/>
        </w:rPr>
        <w:t>77</w:t>
      </w:r>
      <w:r>
        <w:rPr>
          <w:rFonts w:ascii="SimSun" w:cs="SimSun" w:eastAsia="SimSun" w:hAnsi="SimSun"/>
          <w:sz w:val="18"/>
          <w:szCs w:val="18"/>
          <w:color w:val="auto"/>
          <w:highlight w:val="black"/>
        </w:rPr>
        <w:t>号华贸中心</w:t>
      </w:r>
      <w:r>
        <w:rPr>
          <w:rFonts w:ascii="Times New Roman" w:cs="Times New Roman" w:eastAsia="Times New Roman" w:hAnsi="Times New Roman"/>
          <w:sz w:val="18"/>
          <w:szCs w:val="18"/>
          <w:b w:val="1"/>
          <w:bCs w:val="1"/>
          <w:color w:val="auto"/>
        </w:rPr>
        <w:t>3</w:t>
      </w:r>
      <w:r>
        <w:rPr>
          <w:rFonts w:ascii="SimSun" w:cs="SimSun" w:eastAsia="SimSun" w:hAnsi="SimSun"/>
          <w:sz w:val="18"/>
          <w:szCs w:val="18"/>
          <w:color w:val="auto"/>
          <w:highlight w:val="black"/>
        </w:rPr>
        <w:t>号写字楼</w:t>
      </w:r>
      <w:r>
        <w:rPr>
          <w:rFonts w:ascii="Times New Roman" w:cs="Times New Roman" w:eastAsia="Times New Roman" w:hAnsi="Times New Roman"/>
          <w:sz w:val="18"/>
          <w:szCs w:val="18"/>
          <w:b w:val="1"/>
          <w:bCs w:val="1"/>
          <w:color w:val="auto"/>
        </w:rPr>
        <w:t>34</w:t>
      </w:r>
      <w:r>
        <w:rPr>
          <w:rFonts w:ascii="SimSun" w:cs="SimSun" w:eastAsia="SimSun" w:hAnsi="SimSun"/>
          <w:sz w:val="18"/>
          <w:szCs w:val="18"/>
          <w:color w:val="auto"/>
          <w:highlight w:val="black"/>
        </w:rPr>
        <w:t>层</w:t>
      </w:r>
    </w:p>
    <w:p>
      <w:pPr>
        <w:spacing w:after="0" w:line="78" w:lineRule="exact"/>
        <w:rPr>
          <w:sz w:val="20"/>
          <w:szCs w:val="20"/>
          <w:color w:val="auto"/>
        </w:rPr>
      </w:pPr>
    </w:p>
    <w:p>
      <w:pPr>
        <w:jc w:val="center"/>
        <w:spacing w:after="0" w:line="219" w:lineRule="exact"/>
        <w:rPr>
          <w:sz w:val="20"/>
          <w:szCs w:val="20"/>
          <w:color w:val="auto"/>
        </w:rPr>
      </w:pPr>
      <w:r>
        <w:rPr>
          <w:rFonts w:ascii="SimSun" w:cs="SimSun" w:eastAsia="SimSun" w:hAnsi="SimSun"/>
          <w:sz w:val="18"/>
          <w:szCs w:val="18"/>
          <w:color w:val="auto"/>
          <w:highlight w:val="black"/>
        </w:rPr>
        <w:t>电话：</w:t>
      </w:r>
      <w:r>
        <w:rPr>
          <w:rFonts w:ascii="Times New Roman" w:cs="Times New Roman" w:eastAsia="Times New Roman" w:hAnsi="Times New Roman"/>
          <w:sz w:val="18"/>
          <w:szCs w:val="18"/>
          <w:b w:val="1"/>
          <w:bCs w:val="1"/>
          <w:color w:val="auto"/>
        </w:rPr>
        <w:t xml:space="preserve">010 5809 1000  </w:t>
      </w:r>
      <w:r>
        <w:rPr>
          <w:rFonts w:ascii="SimSun" w:cs="SimSun" w:eastAsia="SimSun" w:hAnsi="SimSun"/>
          <w:sz w:val="18"/>
          <w:szCs w:val="18"/>
          <w:color w:val="auto"/>
          <w:highlight w:val="black"/>
        </w:rPr>
        <w:t>传真：</w:t>
      </w:r>
      <w:r>
        <w:rPr>
          <w:rFonts w:ascii="Times New Roman" w:cs="Times New Roman" w:eastAsia="Times New Roman" w:hAnsi="Times New Roman"/>
          <w:sz w:val="18"/>
          <w:szCs w:val="18"/>
          <w:b w:val="1"/>
          <w:bCs w:val="1"/>
          <w:color w:val="auto"/>
        </w:rPr>
        <w:t xml:space="preserve">010 5809 1000  </w:t>
      </w:r>
      <w:r>
        <w:rPr>
          <w:rFonts w:ascii="SimSun" w:cs="SimSun" w:eastAsia="SimSun" w:hAnsi="SimSun"/>
          <w:sz w:val="18"/>
          <w:szCs w:val="18"/>
          <w:color w:val="auto"/>
          <w:highlight w:val="black"/>
        </w:rPr>
        <w:t>邮编：</w:t>
      </w:r>
      <w:r>
        <w:rPr>
          <w:rFonts w:ascii="Times New Roman" w:cs="Times New Roman" w:eastAsia="Times New Roman" w:hAnsi="Times New Roman"/>
          <w:sz w:val="18"/>
          <w:szCs w:val="18"/>
          <w:b w:val="1"/>
          <w:bCs w:val="1"/>
          <w:color w:val="auto"/>
        </w:rPr>
        <w:t>100025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-96520</wp:posOffset>
            </wp:positionV>
            <wp:extent cx="43180" cy="882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43180" cy="88265"/>
                    </a:xfrm>
                    <a:prstGeom prst="rect">
                      <a:avLst/>
                    </a:prstGeom>
                    <a:noFill/>
                  </pic:spPr>
                </pic:pic>
              </a:graphicData>
            </a:graphic>
          </wp:anchor>
        </w:drawing>
        <w:drawing>
          <wp:anchor simplePos="0" relativeHeight="251657728" behindDoc="1" locked="0" layoutInCell="0" allowOverlap="1">
            <wp:simplePos x="0" y="0"/>
            <wp:positionH relativeFrom="column">
              <wp:posOffset>3074670</wp:posOffset>
            </wp:positionH>
            <wp:positionV relativeFrom="paragraph">
              <wp:posOffset>-96520</wp:posOffset>
            </wp:positionV>
            <wp:extent cx="43180" cy="882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43180" cy="8826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-96520</wp:posOffset>
            </wp:positionV>
            <wp:extent cx="43180" cy="882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58" w:lineRule="exact"/>
        <w:rPr>
          <w:sz w:val="20"/>
          <w:szCs w:val="20"/>
          <w:color w:val="auto"/>
        </w:rPr>
      </w:pPr>
    </w:p>
    <w:p>
      <w:pPr>
        <w:jc w:val="center"/>
        <w:ind w:right="-19"/>
        <w:spacing w:after="0" w:line="219" w:lineRule="exact"/>
        <w:rPr>
          <w:sz w:val="20"/>
          <w:szCs w:val="20"/>
          <w:color w:val="auto"/>
        </w:rPr>
      </w:pPr>
      <w:r>
        <w:rPr>
          <w:rFonts w:ascii="SimSun" w:cs="SimSun" w:eastAsia="SimSun" w:hAnsi="SimSun"/>
          <w:sz w:val="18"/>
          <w:szCs w:val="18"/>
          <w:color w:val="auto"/>
          <w:highlight w:val="black"/>
        </w:rPr>
        <w:t>北京</w:t>
      </w:r>
      <w:r>
        <w:rPr>
          <w:rFonts w:ascii="Times New Roman" w:cs="Times New Roman" w:eastAsia="Times New Roman" w:hAnsi="Times New Roman"/>
          <w:sz w:val="18"/>
          <w:szCs w:val="18"/>
          <w:b w:val="1"/>
          <w:bCs w:val="1"/>
          <w:color w:val="auto"/>
        </w:rPr>
        <w:t xml:space="preserve"> | </w:t>
      </w:r>
      <w:r>
        <w:rPr>
          <w:rFonts w:ascii="SimSun" w:cs="SimSun" w:eastAsia="SimSun" w:hAnsi="SimSun"/>
          <w:sz w:val="18"/>
          <w:szCs w:val="18"/>
          <w:color w:val="auto"/>
          <w:highlight w:val="black"/>
        </w:rPr>
        <w:t>上海</w:t>
      </w:r>
      <w:r>
        <w:rPr>
          <w:rFonts w:ascii="Times New Roman" w:cs="Times New Roman" w:eastAsia="Times New Roman" w:hAnsi="Times New Roman"/>
          <w:sz w:val="18"/>
          <w:szCs w:val="18"/>
          <w:b w:val="1"/>
          <w:bCs w:val="1"/>
          <w:color w:val="auto"/>
        </w:rPr>
        <w:t xml:space="preserve"> | </w:t>
      </w:r>
      <w:r>
        <w:rPr>
          <w:rFonts w:ascii="SimSun" w:cs="SimSun" w:eastAsia="SimSun" w:hAnsi="SimSun"/>
          <w:sz w:val="18"/>
          <w:szCs w:val="18"/>
          <w:color w:val="auto"/>
          <w:highlight w:val="black"/>
        </w:rPr>
        <w:t>深圳</w:t>
      </w:r>
      <w:r>
        <w:rPr>
          <w:rFonts w:ascii="Times New Roman" w:cs="Times New Roman" w:eastAsia="Times New Roman" w:hAnsi="Times New Roman"/>
          <w:sz w:val="18"/>
          <w:szCs w:val="18"/>
          <w:b w:val="1"/>
          <w:bCs w:val="1"/>
          <w:color w:val="auto"/>
        </w:rPr>
        <w:t xml:space="preserve"> | </w:t>
      </w:r>
      <w:r>
        <w:rPr>
          <w:rFonts w:ascii="SimSun" w:cs="SimSun" w:eastAsia="SimSun" w:hAnsi="SimSun"/>
          <w:sz w:val="18"/>
          <w:szCs w:val="18"/>
          <w:color w:val="auto"/>
          <w:highlight w:val="black"/>
        </w:rPr>
        <w:t>成都</w:t>
      </w:r>
      <w:r>
        <w:rPr>
          <w:rFonts w:ascii="Times New Roman" w:cs="Times New Roman" w:eastAsia="Times New Roman" w:hAnsi="Times New Roman"/>
          <w:sz w:val="18"/>
          <w:szCs w:val="18"/>
          <w:b w:val="1"/>
          <w:bCs w:val="1"/>
          <w:color w:val="auto"/>
        </w:rPr>
        <w:t xml:space="preserve"> | </w:t>
      </w:r>
      <w:r>
        <w:rPr>
          <w:rFonts w:ascii="SimSun" w:cs="SimSun" w:eastAsia="SimSun" w:hAnsi="SimSun"/>
          <w:sz w:val="18"/>
          <w:szCs w:val="18"/>
          <w:color w:val="auto"/>
          <w:highlight w:val="black"/>
        </w:rPr>
        <w:t>南京</w:t>
      </w:r>
      <w:r>
        <w:rPr>
          <w:rFonts w:ascii="Times New Roman" w:cs="Times New Roman" w:eastAsia="Times New Roman" w:hAnsi="Times New Roman"/>
          <w:sz w:val="18"/>
          <w:szCs w:val="18"/>
          <w:b w:val="1"/>
          <w:bCs w:val="1"/>
          <w:color w:val="auto"/>
        </w:rPr>
        <w:t xml:space="preserve"> | </w:t>
      </w:r>
      <w:r>
        <w:rPr>
          <w:rFonts w:ascii="SimSun" w:cs="SimSun" w:eastAsia="SimSun" w:hAnsi="SimSun"/>
          <w:sz w:val="18"/>
          <w:szCs w:val="18"/>
          <w:color w:val="auto"/>
          <w:highlight w:val="black"/>
        </w:rPr>
        <w:t>香港</w:t>
      </w:r>
      <w:r>
        <w:rPr>
          <w:rFonts w:ascii="Times New Roman" w:cs="Times New Roman" w:eastAsia="Times New Roman" w:hAnsi="Times New Roman"/>
          <w:sz w:val="18"/>
          <w:szCs w:val="18"/>
          <w:b w:val="1"/>
          <w:bCs w:val="1"/>
          <w:color w:val="auto"/>
          <w:highlight w:val="black"/>
        </w:rPr>
        <w:t>|</w:t>
      </w:r>
      <w:r>
        <w:rPr>
          <w:rFonts w:ascii="Times New Roman" w:cs="Times New Roman" w:eastAsia="Times New Roman" w:hAnsi="Times New Roman"/>
          <w:sz w:val="18"/>
          <w:szCs w:val="18"/>
          <w:b w:val="1"/>
          <w:bCs w:val="1"/>
          <w:color w:val="auto"/>
        </w:rPr>
        <w:t xml:space="preserve"> </w:t>
      </w:r>
      <w:r>
        <w:rPr>
          <w:rFonts w:ascii="SimSun" w:cs="SimSun" w:eastAsia="SimSun" w:hAnsi="SimSun"/>
          <w:sz w:val="18"/>
          <w:szCs w:val="18"/>
          <w:color w:val="auto"/>
          <w:highlight w:val="black"/>
        </w:rPr>
        <w:t>杭州</w:t>
      </w:r>
      <w:r>
        <w:rPr>
          <w:rFonts w:ascii="Times New Roman" w:cs="Times New Roman" w:eastAsia="Times New Roman" w:hAnsi="Times New Roman"/>
          <w:sz w:val="18"/>
          <w:szCs w:val="18"/>
          <w:b w:val="1"/>
          <w:bCs w:val="1"/>
          <w:color w:val="auto"/>
        </w:rPr>
        <w:t xml:space="preserve">| </w:t>
      </w:r>
      <w:r>
        <w:rPr>
          <w:rFonts w:ascii="SimSun" w:cs="SimSun" w:eastAsia="SimSun" w:hAnsi="SimSun"/>
          <w:sz w:val="18"/>
          <w:szCs w:val="18"/>
          <w:color w:val="auto"/>
          <w:highlight w:val="black"/>
        </w:rPr>
        <w:t>三亚</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hereby consent to the references to our firm’s name under the headings “Item 3. Key Information—Implications of Being a Foreign Private Issuer and a China-based Company”, “Item 3. Key Information—D. Risk Factors—Risks Related to Our Corporate Structure”, Item 3. Key Information—D. Risk Factors—Risks Related to Doing Business in China”, “Item 4. Information on the Company—B. Business Overview—Regulation—Regulations on Foreign-related Surveys Measures” and “Item 4. Information on the Company—C. Organizational Structure” in the Annual Report of iClick Interactive Asia Group Limited on Form 20-F for the year ended December 31, 2023 (the “Annual Report), which is filed with the Securities and Exchange Commission on the date hereof. We also consent to the filing of this consent letter with the SEC as an exhibit to the Annual Report.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689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333-225568, No. 333-227747, and No. 333-253596) of iClick Interactive Asia Group Limited of our report dated June 20, 2024 relating to the consolidated financial statements, which appears in this Form 20-F.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b w:val="1"/>
          <w:bCs w:val="1"/>
          <w:color w:val="auto"/>
        </w:rPr>
        <w:t>ICLICK INTERACTIVE ASIA GROUP LIMITED</w:t>
      </w:r>
    </w:p>
    <w:p>
      <w:pPr>
        <w:spacing w:after="0" w:line="20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POLICY FOR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RECOVERY OF ERRONEOUSLY AWARDED COMPENSATION</w:t>
      </w:r>
    </w:p>
    <w:p>
      <w:pPr>
        <w:spacing w:after="0" w:line="182" w:lineRule="exact"/>
        <w:rPr>
          <w:sz w:val="20"/>
          <w:szCs w:val="20"/>
          <w:color w:val="auto"/>
        </w:rPr>
      </w:pPr>
    </w:p>
    <w:p>
      <w:pPr>
        <w:jc w:val="both"/>
        <w:ind w:firstLine="8"/>
        <w:spacing w:after="0" w:line="247" w:lineRule="auto"/>
        <w:tabs>
          <w:tab w:leader="none" w:pos="648" w:val="left"/>
        </w:tabs>
        <w:numPr>
          <w:ilvl w:val="0"/>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xml:space="preserve">. The purpose of this Policy is to describe the circumstances in which Executive Officers will be required to repay or return Erroneously Awarded Compensation to the Company in accordance with the Clawback Rules. Each Executive Officer shall be required to sign and return to the Company the Acknowledgement and Acceptance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pursuant to which such Executive Officer will acknowledge that he or she is bound by the terms of this Policy; provided, however, that this Policy shall apply to, and be enforceable against, any Executive Officer and his or her successors (as specified in Section 11‎ of this Policy) regardless of whether or not such Executive Officer properly signs and returns to the Company such Acknowledgement and Acceptance Form and regardless of whether or not such Executive Officer is aware of his or her status as such.</w:t>
      </w:r>
    </w:p>
    <w:p>
      <w:pPr>
        <w:spacing w:after="0" w:line="171" w:lineRule="exact"/>
        <w:rPr>
          <w:rFonts w:ascii="Times New Roman" w:cs="Times New Roman" w:eastAsia="Times New Roman" w:hAnsi="Times New Roman"/>
          <w:sz w:val="21"/>
          <w:szCs w:val="21"/>
          <w:color w:val="auto"/>
        </w:rPr>
      </w:pPr>
    </w:p>
    <w:p>
      <w:pPr>
        <w:jc w:val="both"/>
        <w:ind w:firstLine="8"/>
        <w:spacing w:after="0" w:line="236" w:lineRule="auto"/>
        <w:tabs>
          <w:tab w:leader="none" w:pos="648"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Except as specifically set forth herein, this Policy shall be administered by the Administrator. Any determinations made by the Administrator shall be final and binding on all affected individuals and need not be uniform with respect to each individual covered by this Policy. Subject to any limitation under applicable law, the Administrator may authorize and empower any officer or employee of the Company to take any and all actions necessary or appropriate to carry out the purpose and intent of this Policy (other than with respect to any recovery under this Policy involving such officer or employee).</w:t>
      </w:r>
    </w:p>
    <w:p>
      <w:pPr>
        <w:spacing w:after="0" w:line="18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Policy, the following capitalized terms shall have the meanings set forth</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1"/>
          <w:numId w:val="2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Accounting Restatement</w:t>
      </w:r>
      <w:r>
        <w:rPr>
          <w:rFonts w:ascii="Times New Roman" w:cs="Times New Roman" w:eastAsia="Times New Roman" w:hAnsi="Times New Roman"/>
          <w:sz w:val="21"/>
          <w:szCs w:val="21"/>
          <w:color w:val="auto"/>
        </w:rPr>
        <w:t>” shall mean an accounting restatement: (i)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(ii) that would result in a material misstatement if the error were corrected in the current period or left uncorrected in the current period (a “little r” restatement).</w:t>
      </w:r>
    </w:p>
    <w:p>
      <w:pPr>
        <w:spacing w:after="0" w:line="158" w:lineRule="exact"/>
        <w:rPr>
          <w:rFonts w:ascii="Times New Roman" w:cs="Times New Roman" w:eastAsia="Times New Roman" w:hAnsi="Times New Roman"/>
          <w:sz w:val="21"/>
          <w:szCs w:val="21"/>
          <w:color w:val="auto"/>
        </w:rPr>
      </w:pPr>
    </w:p>
    <w:p>
      <w:pPr>
        <w:ind w:firstLine="656"/>
        <w:spacing w:after="0" w:line="264" w:lineRule="auto"/>
        <w:tabs>
          <w:tab w:leader="none" w:pos="1296"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color w:val="auto"/>
        </w:rPr>
        <w:t>” shall mean the Committee or any other committee designated by the Board to administer the Policy, and in the absence of such designation, the Board.</w:t>
      </w:r>
    </w:p>
    <w:p>
      <w:pPr>
        <w:spacing w:after="0" w:line="14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shall mean the Board of Directors of the Company.</w:t>
      </w:r>
    </w:p>
    <w:p>
      <w:pPr>
        <w:spacing w:after="0" w:line="206"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1"/>
          <w:numId w:val="2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Eligible Incentive Compensation</w:t>
      </w:r>
      <w:r>
        <w:rPr>
          <w:rFonts w:ascii="Times New Roman" w:cs="Times New Roman" w:eastAsia="Times New Roman" w:hAnsi="Times New Roman"/>
          <w:sz w:val="22"/>
          <w:szCs w:val="22"/>
          <w:color w:val="auto"/>
        </w:rPr>
        <w:t>” shall mean, with respect to each individual who served as an Executive Officer at any time during the applicable performance period for any Incentive-based Compensation (whether or not such individual is serving as an Executive Officer at the time the Erroneously Awarded Compensation is required to be repaid to the Company), all Incentive-based Compensation Received by such individual: (i) on or after the Effective Date; (ii) after beginning service as an Executive Officer; (iii) while the Company has a class of securities listed on the Listing Exchange; and (iv) during the applicable Clawback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767080</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4" w:right="999" w:bottom="1440" w:gutter="0" w:footer="0" w:header="0"/>
        </w:sectPr>
      </w:pPr>
    </w:p>
    <w:bookmarkStart w:id="242" w:name="page243"/>
    <w:bookmarkEnd w:id="242"/>
    <w:p>
      <w:pPr>
        <w:jc w:val="both"/>
        <w:ind w:firstLine="656"/>
        <w:spacing w:after="0" w:line="241" w:lineRule="auto"/>
        <w:tabs>
          <w:tab w:leader="none" w:pos="129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Period</w:t>
      </w:r>
      <w:r>
        <w:rPr>
          <w:rFonts w:ascii="Times New Roman" w:cs="Times New Roman" w:eastAsia="Times New Roman" w:hAnsi="Times New Roman"/>
          <w:sz w:val="22"/>
          <w:szCs w:val="22"/>
          <w:color w:val="auto"/>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171" w:lineRule="exact"/>
        <w:rPr>
          <w:rFonts w:ascii="Times New Roman" w:cs="Times New Roman" w:eastAsia="Times New Roman" w:hAnsi="Times New Roman"/>
          <w:sz w:val="22"/>
          <w:szCs w:val="22"/>
          <w:color w:val="auto"/>
        </w:rPr>
      </w:pPr>
    </w:p>
    <w:p>
      <w:pPr>
        <w:jc w:val="both"/>
        <w:ind w:firstLine="656"/>
        <w:spacing w:after="0" w:line="241" w:lineRule="auto"/>
        <w:tabs>
          <w:tab w:leader="none" w:pos="129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Rules</w:t>
      </w:r>
      <w:r>
        <w:rPr>
          <w:rFonts w:ascii="Times New Roman" w:cs="Times New Roman" w:eastAsia="Times New Roman" w:hAnsi="Times New Roman"/>
          <w:sz w:val="22"/>
          <w:szCs w:val="22"/>
          <w:color w:val="auto"/>
        </w:rPr>
        <w:t>” shall mean Section 10D of the Exchange Act and any applicable rules or standards adopted by the SEC thereunder (including Rule 10D-1 under the Exchange Act) or the Listing Exchange pursuant to Rule 10D-1 under the Exchange Act (including Nasdaq Stock Market Listing Rule 5608), in each case as may be in effect from time to time.</w:t>
      </w:r>
    </w:p>
    <w:p>
      <w:pPr>
        <w:spacing w:after="0" w:line="17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shall mean the Compensation Committee of the Board.</w:t>
      </w:r>
    </w:p>
    <w:p>
      <w:pPr>
        <w:spacing w:after="0" w:line="206" w:lineRule="exact"/>
        <w:rPr>
          <w:rFonts w:ascii="Times New Roman" w:cs="Times New Roman" w:eastAsia="Times New Roman" w:hAnsi="Times New Roman"/>
          <w:sz w:val="22"/>
          <w:szCs w:val="22"/>
          <w:color w:val="auto"/>
        </w:rPr>
      </w:pPr>
    </w:p>
    <w:p>
      <w:pPr>
        <w:ind w:firstLine="656"/>
        <w:spacing w:after="0" w:line="288" w:lineRule="auto"/>
        <w:tabs>
          <w:tab w:leader="none" w:pos="1296" w:val="left"/>
        </w:tabs>
        <w:numPr>
          <w:ilvl w:val="0"/>
          <w:numId w:val="2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shall mean iClick Interactive Asia Group Limited (and as the Administrator determines is applicable, together with each of its direct and indirect subsidiaries and other consolidated entities).</w:t>
      </w:r>
    </w:p>
    <w:p>
      <w:pPr>
        <w:spacing w:after="0" w:line="122"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shall mean October 2, 2023.</w:t>
      </w:r>
    </w:p>
    <w:p>
      <w:pPr>
        <w:spacing w:after="0" w:line="206" w:lineRule="exact"/>
        <w:rPr>
          <w:rFonts w:ascii="Times New Roman" w:cs="Times New Roman" w:eastAsia="Times New Roman" w:hAnsi="Times New Roman"/>
          <w:sz w:val="22"/>
          <w:szCs w:val="22"/>
          <w:color w:val="auto"/>
        </w:rPr>
      </w:pPr>
    </w:p>
    <w:p>
      <w:pPr>
        <w:jc w:val="both"/>
        <w:ind w:firstLine="656"/>
        <w:spacing w:after="0" w:line="241" w:lineRule="auto"/>
        <w:tabs>
          <w:tab w:leader="none" w:pos="129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shall mean, with respect to each Executive Officer in connection with an Accounting Restatement, the amount of Clawback Eligible Incentive Compensation that exceeds the amount of Clawback Eligible Incentive Compensation that otherwise would have been Received had it been determined based on the restated amounts, computed without regard to any taxes paid.</w:t>
      </w:r>
    </w:p>
    <w:p>
      <w:pPr>
        <w:spacing w:after="0" w:line="171"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xml:space="preserve">” shall mean any individual who is or was an executive officer as determined by the Administrator in accordance with the definition of “executive officer” as set forth in the Clawback Rules and any other senior executive, employee or other personnel of the Company who may from time to time be deemed subject to the Policy by the Administrator. For the avoidance of doubt, the Administrator shall have full discretion to determine which individuals in the Company shall be considered an “Executive Officer” for purposes of this Policy. A list of “Executive Officers” for purposes of this policy is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which may be revised from time to time at the sole discretion of the Administrator.</w:t>
      </w:r>
    </w:p>
    <w:p>
      <w:pPr>
        <w:spacing w:after="0" w:line="175" w:lineRule="exact"/>
        <w:rPr>
          <w:rFonts w:ascii="Times New Roman" w:cs="Times New Roman" w:eastAsia="Times New Roman" w:hAnsi="Times New Roman"/>
          <w:sz w:val="22"/>
          <w:szCs w:val="22"/>
          <w:color w:val="auto"/>
        </w:rPr>
      </w:pPr>
    </w:p>
    <w:p>
      <w:pPr>
        <w:ind w:firstLine="656"/>
        <w:spacing w:after="0" w:line="264" w:lineRule="auto"/>
        <w:tabs>
          <w:tab w:leader="none" w:pos="129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shall mean the Securities Exchange Act of 1934, as amended, and the rules and regulations promulgated thereunder.</w:t>
      </w:r>
    </w:p>
    <w:p>
      <w:pPr>
        <w:spacing w:after="0" w:line="145" w:lineRule="exact"/>
        <w:rPr>
          <w:rFonts w:ascii="Times New Roman" w:cs="Times New Roman" w:eastAsia="Times New Roman" w:hAnsi="Times New Roman"/>
          <w:sz w:val="22"/>
          <w:szCs w:val="22"/>
          <w:color w:val="auto"/>
        </w:rPr>
      </w:pPr>
    </w:p>
    <w:p>
      <w:pPr>
        <w:jc w:val="both"/>
        <w:ind w:firstLine="656"/>
        <w:spacing w:after="0" w:line="237" w:lineRule="auto"/>
        <w:tabs>
          <w:tab w:leader="none" w:pos="129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Measures</w:t>
      </w:r>
      <w:r>
        <w:rPr>
          <w:rFonts w:ascii="Times New Roman" w:cs="Times New Roman" w:eastAsia="Times New Roman" w:hAnsi="Times New Roman"/>
          <w:sz w:val="22"/>
          <w:szCs w:val="22"/>
          <w:color w:val="auto"/>
        </w:rPr>
        <w:t>” shall mean measures that are determined and presented in accordance with the accounting principles used in preparing the Company’s financial statements, and any measures that are derived wholly or in part from such measures. Stock price and total shareholder return shall for purposes of this Policy be considered Financial Reporting Measures. For the avoidance of doubt, a Financial Reporting Measure need not be presented within the Company’s financial statements or included in a filing with the SEC.</w:t>
      </w:r>
    </w:p>
    <w:p>
      <w:pPr>
        <w:spacing w:after="0" w:line="175" w:lineRule="exact"/>
        <w:rPr>
          <w:rFonts w:ascii="Times New Roman" w:cs="Times New Roman" w:eastAsia="Times New Roman" w:hAnsi="Times New Roman"/>
          <w:sz w:val="22"/>
          <w:szCs w:val="22"/>
          <w:color w:val="auto"/>
        </w:rPr>
      </w:pPr>
    </w:p>
    <w:p>
      <w:pPr>
        <w:ind w:firstLine="656"/>
        <w:spacing w:after="0" w:line="264" w:lineRule="auto"/>
        <w:tabs>
          <w:tab w:leader="none" w:pos="129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shall mean any compensation that is granted, earned or vested based wholly or in part upon the attainment of a Financial Reporting Measure.</w:t>
      </w:r>
    </w:p>
    <w:p>
      <w:pPr>
        <w:spacing w:after="0" w:line="145" w:lineRule="exact"/>
        <w:rPr>
          <w:rFonts w:ascii="Times New Roman" w:cs="Times New Roman" w:eastAsia="Times New Roman" w:hAnsi="Times New Roman"/>
          <w:sz w:val="22"/>
          <w:szCs w:val="22"/>
          <w:color w:val="auto"/>
        </w:rPr>
      </w:pPr>
    </w:p>
    <w:p>
      <w:pPr>
        <w:ind w:right="20" w:firstLine="656"/>
        <w:spacing w:after="0" w:line="264" w:lineRule="auto"/>
        <w:tabs>
          <w:tab w:leader="none" w:pos="1296" w:val="left"/>
        </w:tabs>
        <w:numPr>
          <w:ilvl w:val="0"/>
          <w:numId w:val="2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shall mean, in accordance with the good faith determination of the Committee, or if the Committee does not consist of independent directors, a majority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2" w:right="999" w:bottom="1440" w:gutter="0" w:footer="0" w:header="0"/>
        </w:sectPr>
      </w:pPr>
    </w:p>
    <w:bookmarkStart w:id="243" w:name="page244"/>
    <w:bookmarkEnd w:id="243"/>
    <w:p>
      <w:pPr>
        <w:jc w:val="both"/>
        <w:spacing w:after="0" w:line="243" w:lineRule="auto"/>
        <w:rPr>
          <w:sz w:val="20"/>
          <w:szCs w:val="20"/>
          <w:color w:val="auto"/>
        </w:rPr>
      </w:pPr>
      <w:r>
        <w:rPr>
          <w:rFonts w:ascii="Times New Roman" w:cs="Times New Roman" w:eastAsia="Times New Roman" w:hAnsi="Times New Roman"/>
          <w:sz w:val="21"/>
          <w:szCs w:val="21"/>
          <w:color w:val="auto"/>
        </w:rPr>
        <w:t>independent directors serving on the Board, that either: (i) the direct expenses paid to a third party to assist in enforcing the Policy against an Executive Officer would exceed the amount to be recovered, after the Company has made a reasonable attempt to recover the applicable Erroneously Awarded Compensation, documented such reasonable attempt(s) and provided such documentation to the Listing Exchange; (ii) recovery would violate Cayman Islands law where that law was adopted prior to November 28, 2022, provided that, before concluding that it would be Impracticable to recover any amount of Erroneously Awarded Compensation based on violation of Cayman Islands law, the Company has obtained an opinion of Cayman Islands counsel, acceptable to the Listing Exchange, that recovery would result in such a violation and a copy of the opinion is provided to the Listing Exchange; or (iii) recovery would likely cause an otherwise tax-qualified retirement plan, under which benefits are broadly available to employees of the Company, to fail to meet the requirements of 26 U.S.C. 401(a)</w:t>
      </w:r>
    </w:p>
    <w:p>
      <w:pPr>
        <w:spacing w:after="0" w:line="9" w:lineRule="exact"/>
        <w:rPr>
          <w:sz w:val="20"/>
          <w:szCs w:val="20"/>
          <w:color w:val="auto"/>
        </w:rPr>
      </w:pPr>
    </w:p>
    <w:p>
      <w:pPr>
        <w:ind w:left="420" w:hanging="412"/>
        <w:spacing w:after="0"/>
        <w:tabs>
          <w:tab w:leader="none" w:pos="420" w:val="left"/>
        </w:tabs>
        <w:numPr>
          <w:ilvl w:val="0"/>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26 U.S.C. 411(a) and regulations thereunder.</w:t>
      </w:r>
    </w:p>
    <w:p>
      <w:pPr>
        <w:spacing w:after="0" w:line="176" w:lineRule="exact"/>
        <w:rPr>
          <w:rFonts w:ascii="Times New Roman" w:cs="Times New Roman" w:eastAsia="Times New Roman" w:hAnsi="Times New Roman"/>
          <w:sz w:val="22"/>
          <w:szCs w:val="22"/>
          <w:color w:val="auto"/>
        </w:rPr>
      </w:pPr>
    </w:p>
    <w:p>
      <w:pPr>
        <w:ind w:firstLine="656"/>
        <w:spacing w:after="0" w:line="264" w:lineRule="auto"/>
        <w:tabs>
          <w:tab w:leader="none" w:pos="1296"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Listing Exchange</w:t>
      </w:r>
      <w:r>
        <w:rPr>
          <w:rFonts w:ascii="Times New Roman" w:cs="Times New Roman" w:eastAsia="Times New Roman" w:hAnsi="Times New Roman"/>
          <w:sz w:val="22"/>
          <w:szCs w:val="22"/>
          <w:color w:val="auto"/>
        </w:rPr>
        <w:t>” shall mean the Nasdaq Stock Market or such other U.S. national securities exchange or national securities association on which the Company’s securities are listed.</w:t>
      </w:r>
    </w:p>
    <w:p>
      <w:pPr>
        <w:spacing w:after="0" w:line="145" w:lineRule="exact"/>
        <w:rPr>
          <w:rFonts w:ascii="Times New Roman" w:cs="Times New Roman" w:eastAsia="Times New Roman" w:hAnsi="Times New Roman"/>
          <w:sz w:val="22"/>
          <w:szCs w:val="22"/>
          <w:color w:val="auto"/>
        </w:rPr>
      </w:pPr>
    </w:p>
    <w:p>
      <w:pPr>
        <w:jc w:val="both"/>
        <w:ind w:firstLine="656"/>
        <w:spacing w:after="0" w:line="237" w:lineRule="auto"/>
        <w:tabs>
          <w:tab w:leader="none" w:pos="1296"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Method of Recovery</w:t>
      </w:r>
      <w:r>
        <w:rPr>
          <w:rFonts w:ascii="Times New Roman" w:cs="Times New Roman" w:eastAsia="Times New Roman" w:hAnsi="Times New Roman"/>
          <w:sz w:val="22"/>
          <w:szCs w:val="22"/>
          <w:color w:val="auto"/>
        </w:rPr>
        <w:t>” shall include, but is not limited to: (i) requiring reimbursement of Erroneously Awarded Compensation; (ii) seeking recovery of any gain realized on the vesting, exercise, settlement, sale, transfer, or other disposition of any equity-based awards; (iii) offsetting the Erroneously Awarded Compensation from any compensation otherwise owed by the Company to the Executive Officer; (iv) cancelling outstanding vested or unvested equity awards; and/or (v) taking any other remedial and recovery action permitted by applicable law, as determined by the Administrator.</w:t>
      </w:r>
    </w:p>
    <w:p>
      <w:pPr>
        <w:spacing w:after="0" w:line="175" w:lineRule="exact"/>
        <w:rPr>
          <w:rFonts w:ascii="Times New Roman" w:cs="Times New Roman" w:eastAsia="Times New Roman" w:hAnsi="Times New Roman"/>
          <w:sz w:val="22"/>
          <w:szCs w:val="22"/>
          <w:color w:val="auto"/>
        </w:rPr>
      </w:pPr>
    </w:p>
    <w:p>
      <w:pPr>
        <w:ind w:firstLine="656"/>
        <w:spacing w:after="0" w:line="264" w:lineRule="auto"/>
        <w:tabs>
          <w:tab w:leader="none" w:pos="1296"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shall mean this Policy for the Recovery of Erroneously Awarded Compensation, as the same may be amended and/or restated from time to time.</w:t>
      </w:r>
    </w:p>
    <w:p>
      <w:pPr>
        <w:spacing w:after="0" w:line="145"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1"/>
          <w:numId w:val="2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Received</w:t>
      </w:r>
      <w:r>
        <w:rPr>
          <w:rFonts w:ascii="Times New Roman" w:cs="Times New Roman" w:eastAsia="Times New Roman" w:hAnsi="Times New Roman"/>
          <w:sz w:val="21"/>
          <w:szCs w:val="21"/>
          <w:color w:val="auto"/>
        </w:rPr>
        <w:t>” shall, with respect to any Incentive-based Compensation, mean deemed receipt and Incentive-based Compensation shall be deemed received in the Company’s fiscal period during which the Financial Reporting Measure specified in the Incentive-based Compensation award is attained, even if the payment or grant of the Incentive-based Compensation occurs after the end of that period. For the avoidance of doubt, Incentive-Based Compensation that is subject to both a Financial Reporting Measure vesting condition and a service-based vesting condition shall be considered received when the Financial Reporting Measure is achieved, even if the Incentive-Based Compensation continues to be subject to the service-based vesting condition.</w:t>
      </w:r>
    </w:p>
    <w:p>
      <w:pPr>
        <w:spacing w:after="0" w:line="163" w:lineRule="exact"/>
        <w:rPr>
          <w:rFonts w:ascii="Times New Roman" w:cs="Times New Roman" w:eastAsia="Times New Roman" w:hAnsi="Times New Roman"/>
          <w:sz w:val="21"/>
          <w:szCs w:val="21"/>
          <w:color w:val="auto"/>
        </w:rPr>
      </w:pPr>
    </w:p>
    <w:p>
      <w:pPr>
        <w:jc w:val="both"/>
        <w:ind w:firstLine="656"/>
        <w:spacing w:after="0" w:line="239" w:lineRule="auto"/>
        <w:tabs>
          <w:tab w:leader="none" w:pos="1296"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 Date</w:t>
      </w:r>
      <w:r>
        <w:rPr>
          <w:rFonts w:ascii="Times New Roman" w:cs="Times New Roman" w:eastAsia="Times New Roman" w:hAnsi="Times New Roman"/>
          <w:sz w:val="22"/>
          <w:szCs w:val="22"/>
          <w:color w:val="auto"/>
        </w:rPr>
        <w:t>” 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7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shall mean the U.S. Securities and Exchange Commission.</w:t>
      </w:r>
    </w:p>
    <w:p>
      <w:pPr>
        <w:spacing w:after="0" w:line="212" w:lineRule="exact"/>
        <w:rPr>
          <w:sz w:val="20"/>
          <w:szCs w:val="20"/>
          <w:color w:val="auto"/>
        </w:rPr>
      </w:pPr>
    </w:p>
    <w:p>
      <w:pPr>
        <w:ind w:left="660" w:hanging="652"/>
        <w:spacing w:after="0"/>
        <w:tabs>
          <w:tab w:leader="none" w:pos="660" w:val="left"/>
        </w:tabs>
        <w:numPr>
          <w:ilvl w:val="0"/>
          <w:numId w:val="2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Repayment of Erroneously Awarded Compensation</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1" w:lineRule="exact"/>
        <w:rPr>
          <w:rFonts w:ascii="Times New Roman" w:cs="Times New Roman" w:eastAsia="Times New Roman" w:hAnsi="Times New Roman"/>
          <w:sz w:val="22"/>
          <w:szCs w:val="22"/>
          <w:color w:val="auto"/>
        </w:rPr>
      </w:pPr>
    </w:p>
    <w:p>
      <w:pPr>
        <w:ind w:left="4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44" w:name="page245"/>
    <w:bookmarkEnd w:id="244"/>
    <w:p>
      <w:pPr>
        <w:jc w:val="both"/>
        <w:ind w:firstLine="656"/>
        <w:spacing w:after="0" w:line="232" w:lineRule="auto"/>
        <w:tabs>
          <w:tab w:leader="none" w:pos="1296"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Company is required to prepare an Accounting Restatement, the Administrator shall reasonably promptly (in accordance with the applicable Clawback Rules) determine the amount of any Erroneously Awarded Compensation for each Executive Officer in connection with such Accounting Restatement and shall reasonably promptly thereafter provide each Executive Officer with written notice containing the amount of Erroneously Awarded Compensation and a demand for repayment or return, as applicable. For Clawback Eligible Incentive Compensation based on stock price or total shareholder return where the amount of Erroneously Awarded Compensation is not subject to mathematical recalculation directly from the information in the applicable Accounting Restatement, the amount shall be determined by the Administrator based on a reasonable estimate of the effect of the Accounting Restatement on the stock price or total shareholder return upon which the Clawback Eligible Incentive Compensation was Received (in which case, the Company shall maintain documentation of such determination of that reasonable estimate and provide such documentation to the Listing Exchange). The Administrator is authorized to engage, on behalf of the Company, any third-party advisors it deems advisable in order to perform any calculations contemplated by this Policy. For the avoidance of doubt, recovery under this Policy with respect to an Executive Officer shall not require the finding of any misconduct by such Executive Officer or such Executive Officer being found responsible for the accounting error leading to an Accounting Restatement.</w:t>
      </w:r>
    </w:p>
    <w:p>
      <w:pPr>
        <w:spacing w:after="0" w:line="191"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1"/>
          <w:numId w:val="2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repayment of Erroneously Awarded Compensation is owed to the Company, the Administrator shall recover reasonably promptly the Erroneously Awarded Compensation through any Method of Recovery it deems reasonable and appropriate in its discretion based on all applicable facts and circumstances and taking into account the time value of money and the cost to shareholders of delaying recovery. For the avoidance of doubt, except to the extent permitted pursuant to the Clawback Rules, in no event may the Company accept an amount that is less than the amount of Erroneously Awarded Compensation in satisfaction of an Executive Officer’s obligations hereunder. Notwithstanding anything herein to the contrary, the Company shall not be required to take the actions contemplated in this Section 4(b)‎ if recovery would be Impracticable. In</w:t>
      </w:r>
    </w:p>
    <w:p>
      <w:pPr>
        <w:spacing w:after="0" w:line="3" w:lineRule="exact"/>
        <w:rPr>
          <w:rFonts w:ascii="Times New Roman" w:cs="Times New Roman" w:eastAsia="Times New Roman" w:hAnsi="Times New Roman"/>
          <w:sz w:val="21"/>
          <w:szCs w:val="21"/>
          <w:color w:val="auto"/>
        </w:rPr>
      </w:pPr>
    </w:p>
    <w:p>
      <w:pPr>
        <w:ind w:right="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implementing the actions contemplated in this Section 4(b),‎ the Administrator will act in accordance with the listing standards and requirements of the Listing Exchange and with the applicable Clawback Rules.</w:t>
      </w:r>
    </w:p>
    <w:p>
      <w:pPr>
        <w:spacing w:after="0" w:line="178" w:lineRule="exact"/>
        <w:rPr>
          <w:rFonts w:ascii="Times New Roman" w:cs="Times New Roman" w:eastAsia="Times New Roman" w:hAnsi="Times New Roman"/>
          <w:sz w:val="21"/>
          <w:szCs w:val="21"/>
          <w:color w:val="auto"/>
        </w:rPr>
      </w:pPr>
    </w:p>
    <w:p>
      <w:pPr>
        <w:jc w:val="both"/>
        <w:ind w:firstLine="656"/>
        <w:spacing w:after="0" w:line="244" w:lineRule="auto"/>
        <w:tabs>
          <w:tab w:leader="none" w:pos="1296" w:val="left"/>
        </w:tabs>
        <w:numPr>
          <w:ilvl w:val="1"/>
          <w:numId w:val="2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discretion of the Administrator, an applicable Executive Officer may be required to reimburse the Company for any and all expenses reasonably incurred (including legal fees) by the Company in recovering Erroneously Awarded Compensation in accordance with Section 4(b)‎.</w:t>
      </w:r>
    </w:p>
    <w:p>
      <w:pPr>
        <w:spacing w:after="0" w:line="173" w:lineRule="exact"/>
        <w:rPr>
          <w:rFonts w:ascii="Times New Roman" w:cs="Times New Roman" w:eastAsia="Times New Roman" w:hAnsi="Times New Roman"/>
          <w:sz w:val="22"/>
          <w:szCs w:val="22"/>
          <w:color w:val="auto"/>
        </w:rPr>
      </w:pPr>
    </w:p>
    <w:p>
      <w:pPr>
        <w:ind w:firstLine="8"/>
        <w:spacing w:after="0" w:line="282" w:lineRule="auto"/>
        <w:tabs>
          <w:tab w:leader="none" w:pos="648" w:val="left"/>
        </w:tabs>
        <w:numPr>
          <w:ilvl w:val="0"/>
          <w:numId w:val="2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Reporting and Disclosure</w:t>
      </w:r>
      <w:r>
        <w:rPr>
          <w:rFonts w:ascii="Times New Roman" w:cs="Times New Roman" w:eastAsia="Times New Roman" w:hAnsi="Times New Roman"/>
          <w:sz w:val="21"/>
          <w:szCs w:val="21"/>
          <w:color w:val="auto"/>
        </w:rPr>
        <w:t>. The Company shall file all disclosures with respect to this Policy in accordance with the requirements of U.S. federal securities laws, including any disclosure required by applicable SEC rules.</w:t>
      </w:r>
    </w:p>
    <w:p>
      <w:pPr>
        <w:spacing w:after="0" w:line="134" w:lineRule="exact"/>
        <w:rPr>
          <w:rFonts w:ascii="Times New Roman" w:cs="Times New Roman" w:eastAsia="Times New Roman" w:hAnsi="Times New Roman"/>
          <w:sz w:val="21"/>
          <w:szCs w:val="21"/>
          <w:color w:val="auto"/>
        </w:rPr>
      </w:pPr>
    </w:p>
    <w:p>
      <w:pPr>
        <w:jc w:val="both"/>
        <w:ind w:firstLine="8"/>
        <w:spacing w:after="0" w:line="236" w:lineRule="auto"/>
        <w:tabs>
          <w:tab w:leader="none" w:pos="648" w:val="left"/>
        </w:tabs>
        <w:numPr>
          <w:ilvl w:val="0"/>
          <w:numId w:val="2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Prohibition</w:t>
      </w:r>
      <w:r>
        <w:rPr>
          <w:rFonts w:ascii="Times New Roman" w:cs="Times New Roman" w:eastAsia="Times New Roman" w:hAnsi="Times New Roman"/>
          <w:sz w:val="22"/>
          <w:szCs w:val="22"/>
          <w:color w:val="auto"/>
        </w:rPr>
        <w:t>. The Company shall not be permitted to indemnify any Executive Officer against the loss of any Erroneously Awarded Compensation that is repaid, returned or recovered pursuant to the terms of this Policy and/or pursuant to the Clawback Rules, including any payment or reimbursement for the cost of third-party insurance purchased by any Executive Officer to cover any such loss under this Policy and/or pursuant to the Clawback Rules. Further, the Company shall not enter into any agreement that exempts any Incentive-based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45" w:name="page246"/>
    <w:bookmarkEnd w:id="245"/>
    <w:p>
      <w:pPr>
        <w:jc w:val="both"/>
        <w:spacing w:after="0" w:line="239" w:lineRule="auto"/>
        <w:rPr>
          <w:sz w:val="20"/>
          <w:szCs w:val="20"/>
          <w:color w:val="auto"/>
        </w:rPr>
      </w:pPr>
      <w:r>
        <w:rPr>
          <w:rFonts w:ascii="Times New Roman" w:cs="Times New Roman" w:eastAsia="Times New Roman" w:hAnsi="Times New Roman"/>
          <w:sz w:val="22"/>
          <w:szCs w:val="22"/>
          <w:color w:val="auto"/>
        </w:rPr>
        <w:t>Compensation from the application of this Policy or that waives the Company’s right to recovery of any Erroneously Awarded Compensation and this Policy shall supersede any such agreement (whether entered into before, on or after the Effective Date). Any such purported indemnification (whether oral or in writing) shall be null and void.</w:t>
      </w:r>
    </w:p>
    <w:p>
      <w:pPr>
        <w:spacing w:after="0" w:line="180" w:lineRule="exact"/>
        <w:rPr>
          <w:sz w:val="20"/>
          <w:szCs w:val="20"/>
          <w:color w:val="auto"/>
        </w:rPr>
      </w:pPr>
    </w:p>
    <w:p>
      <w:pPr>
        <w:jc w:val="both"/>
        <w:ind w:firstLine="8"/>
        <w:spacing w:after="0" w:line="234" w:lineRule="auto"/>
        <w:tabs>
          <w:tab w:leader="none" w:pos="648"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The Administrator is authorized to interpret and construe this Policy and to make all determinations necessary, appropriate, or advisable for the administration of this Policy. It is intended that this Policy be interpreted in a manner that is consistent with the requirements of the Clawback Rules. The terms of this Policy shall also be construed and enforced in such a manner as to comply with applicable law, including the Sarbanes-Oxley Act of 2002, the Dodd-Frank Wall Street Reform and Consumer Protection Act, and any other law or regulation that the Administrator determines is applicable. In the event any provision of this Policy is determined to be unenforceable or invalid under applicable law, such provision shall be applied to the maximum extent permitted by applicable law and shall automatically be deemed amended in a manner consistent with its objectives to the extent necessary to conform to any limitations required by applicable law.</w:t>
      </w:r>
    </w:p>
    <w:p>
      <w:pPr>
        <w:spacing w:after="0" w:line="183"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Policy shall be effective as of the Effective Date.</w:t>
      </w:r>
    </w:p>
    <w:p>
      <w:pPr>
        <w:spacing w:after="0" w:line="206" w:lineRule="exact"/>
        <w:rPr>
          <w:rFonts w:ascii="Times New Roman" w:cs="Times New Roman" w:eastAsia="Times New Roman" w:hAnsi="Times New Roman"/>
          <w:sz w:val="22"/>
          <w:szCs w:val="22"/>
          <w:color w:val="auto"/>
        </w:rPr>
      </w:pPr>
    </w:p>
    <w:p>
      <w:pPr>
        <w:jc w:val="both"/>
        <w:ind w:firstLine="8"/>
        <w:spacing w:after="0" w:line="233" w:lineRule="auto"/>
        <w:tabs>
          <w:tab w:leader="none" w:pos="648"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Termination</w:t>
      </w:r>
      <w:r>
        <w:rPr>
          <w:rFonts w:ascii="Times New Roman" w:cs="Times New Roman" w:eastAsia="Times New Roman" w:hAnsi="Times New Roman"/>
          <w:sz w:val="22"/>
          <w:szCs w:val="22"/>
          <w:color w:val="auto"/>
        </w:rPr>
        <w:t>. The Administrator may modify or amend this Policy, in whole or in part, from time to time in its discretion and shall amend any or all of the provisions of this Policy as it deems necessary, including as and when it determines that it is legally required by the Clawback Rules, or any federal securities law, SEC rule or Listing Exchange rule. The Administrator may terminate this Policy at any time, and this Policy shall remain in effect only so long as the Clawback Rules apply to the Company. Notwithstanding anything in this Section 9‎ to the contrary, no amendment or termination of this Policy shall be effective if such amendment or termination would (after taking into account any actions taken by the Company contemporaneously with such amendment or termination) cause the Company to violate the Clawback Rules, or any federal securities law, SEC rule or Listing Exchange rule. Furthermore, unless otherwise determined by the Administrator or as otherwise amended, this Policy shall automatically be deemed amended in a manner necessary to comply with any change in the Clawback Rules.</w:t>
      </w:r>
    </w:p>
    <w:p>
      <w:pPr>
        <w:spacing w:after="0" w:line="187" w:lineRule="exact"/>
        <w:rPr>
          <w:rFonts w:ascii="Times New Roman" w:cs="Times New Roman" w:eastAsia="Times New Roman" w:hAnsi="Times New Roman"/>
          <w:sz w:val="22"/>
          <w:szCs w:val="22"/>
          <w:color w:val="auto"/>
        </w:rPr>
      </w:pPr>
    </w:p>
    <w:p>
      <w:pPr>
        <w:jc w:val="both"/>
        <w:ind w:firstLine="8"/>
        <w:spacing w:after="0" w:line="234" w:lineRule="auto"/>
        <w:tabs>
          <w:tab w:leader="none" w:pos="648" w:val="left"/>
        </w:tabs>
        <w:numPr>
          <w:ilvl w:val="0"/>
          <w:numId w:val="2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Recoupment Rights; No Additional Payments</w:t>
      </w:r>
      <w:r>
        <w:rPr>
          <w:rFonts w:ascii="Times New Roman" w:cs="Times New Roman" w:eastAsia="Times New Roman" w:hAnsi="Times New Roman"/>
          <w:sz w:val="22"/>
          <w:szCs w:val="22"/>
          <w:color w:val="auto"/>
        </w:rPr>
        <w:t>. The Administrator intends that this Policy will be applied to the fullest extent permitted by applicable law. The Administrator may require that any employment agreement, equity award agreement, or any other agreement entered into on or after the Effective Date shall, as a condition to the grant of any benefit thereunder, require an Executive Officer to agree to abide by the terms of this Policy.</w:t>
      </w:r>
      <w:r>
        <w:rPr>
          <w:rFonts w:ascii="Times New Roman" w:cs="Times New Roman" w:eastAsia="Times New Roman" w:hAnsi="Times New Roman"/>
          <w:sz w:val="16"/>
          <w:szCs w:val="16"/>
          <w:color w:val="auto"/>
        </w:rPr>
        <w:t>1</w:t>
      </w:r>
      <w:r>
        <w:rPr>
          <w:rFonts w:ascii="Times New Roman" w:cs="Times New Roman" w:eastAsia="Times New Roman" w:hAnsi="Times New Roman"/>
          <w:sz w:val="22"/>
          <w:szCs w:val="22"/>
          <w:color w:val="auto"/>
        </w:rPr>
        <w:t xml:space="preserve"> Executive Officers shall be deemed to have accepted continuing employment on terms that include compliance with the Policy, to the extent of its otherwise applicable provisions, and to be contractually bound by its enforcement provisions. Executive Officers who cease employment or service with the Company shall continue to be bound by the terms of the Policy with respect to Clawback Eligible Incentive Compensation. Any right of recoupment under this Policy is in addition to, and not in lieu of, any other remedies or rights of recoupment that may be available to the Company under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156845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385" w:lineRule="exact"/>
        <w:rPr>
          <w:sz w:val="20"/>
          <w:szCs w:val="20"/>
          <w:color w:val="auto"/>
        </w:rPr>
      </w:pPr>
    </w:p>
    <w:p>
      <w:pPr>
        <w:ind w:right="420" w:firstLine="8"/>
        <w:spacing w:after="0" w:line="208" w:lineRule="auto"/>
        <w:tabs>
          <w:tab w:leader="none" w:pos="157" w:val="left"/>
        </w:tabs>
        <w:numPr>
          <w:ilvl w:val="0"/>
          <w:numId w:val="27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Note to Company: We recommend revising future employment or grant agreements for executives to incorporate the terms of this Policy.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46" w:name="page247"/>
    <w:bookmarkEnd w:id="246"/>
    <w:p>
      <w:pPr>
        <w:jc w:val="both"/>
        <w:spacing w:after="0" w:line="245" w:lineRule="auto"/>
        <w:rPr>
          <w:sz w:val="20"/>
          <w:szCs w:val="20"/>
          <w:color w:val="auto"/>
        </w:rPr>
      </w:pPr>
      <w:r>
        <w:rPr>
          <w:rFonts w:ascii="Times New Roman" w:cs="Times New Roman" w:eastAsia="Times New Roman" w:hAnsi="Times New Roman"/>
          <w:sz w:val="21"/>
          <w:szCs w:val="21"/>
          <w:color w:val="auto"/>
        </w:rPr>
        <w:t>law, regulation or rule or pursuant to the terms of any similar policy in any employment agreement, cash-based bonus plan, equity award agreement or similar agreement and any other legal remedies available to the Company. To the extent that an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 as determined by the Administrator in its sole discretion. Nothing in this Policy precludes the Company from implementing any additional clawback or recoupment policies with respect to Executive Officers or any other service provider of the Company. Application of this Policy does not preclude the Company from taking any other action to enforce any Executive Officer’s obligations to the Company, including termination of employment or institution of civil or criminal proceedings or any other remedies that may be available to the Company with respect to any Executive Officer.</w:t>
      </w:r>
    </w:p>
    <w:p>
      <w:pPr>
        <w:spacing w:after="0" w:line="177" w:lineRule="exact"/>
        <w:rPr>
          <w:sz w:val="20"/>
          <w:szCs w:val="20"/>
          <w:color w:val="auto"/>
        </w:rPr>
      </w:pPr>
    </w:p>
    <w:p>
      <w:pPr>
        <w:jc w:val="both"/>
        <w:ind w:firstLine="8"/>
        <w:spacing w:after="0" w:line="244" w:lineRule="auto"/>
        <w:tabs>
          <w:tab w:leader="none" w:pos="648" w:val="left"/>
        </w:tabs>
        <w:numPr>
          <w:ilvl w:val="0"/>
          <w:numId w:val="2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Policy shall be binding and enforceable against all Executive Officers and their beneficiaries, estates, heirs, executors, administrators or other legal representatives to the extent required by the Clawback Rules or as otherwise determined by the Administrator.</w:t>
      </w:r>
    </w:p>
    <w:p>
      <w:pPr>
        <w:spacing w:after="0" w:line="173" w:lineRule="exact"/>
        <w:rPr>
          <w:rFonts w:ascii="Times New Roman" w:cs="Times New Roman" w:eastAsia="Times New Roman" w:hAnsi="Times New Roman"/>
          <w:sz w:val="22"/>
          <w:szCs w:val="22"/>
          <w:color w:val="auto"/>
        </w:rPr>
      </w:pPr>
    </w:p>
    <w:p>
      <w:pPr>
        <w:ind w:left="42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9"/>
          <w:szCs w:val="19"/>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1" w:lineRule="exact"/>
        <w:rPr>
          <w:rFonts w:ascii="Times New Roman" w:cs="Times New Roman" w:eastAsia="Times New Roman" w:hAnsi="Times New Roman"/>
          <w:sz w:val="22"/>
          <w:szCs w:val="22"/>
          <w:color w:val="auto"/>
        </w:rPr>
      </w:pPr>
    </w:p>
    <w:p>
      <w:pPr>
        <w:ind w:left="4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247" w:name="page248"/>
    <w:bookmarkEnd w:id="247"/>
    <w:p>
      <w:pPr>
        <w:ind w:left="45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b w:val="1"/>
          <w:bCs w:val="1"/>
          <w:color w:val="auto"/>
        </w:rPr>
        <w:t>ICLICK INTERACTIVE ASIA GROUP LIMITED</w:t>
      </w:r>
    </w:p>
    <w:p>
      <w:pPr>
        <w:spacing w:after="0" w:line="20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POLICY FOR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RECOVERY OF ERRONEOUSLY AWARDED COMPENSATION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ACKNOWLEDGEMENT AND ACCEPTANCE FORM</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Capitalized terms used but not otherwise defined in this Acknowledgement and Acceptance Form shall have the meanings ascribed to such terms in the iClick Interactive Asia Group Limited Policy for the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By signing below, the undersigned executive officer (the “</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acknowledges and confirms that the Executive Officer has received and reviewed a copy of the Policy and, in addition, the Executive Officer acknowledges and agrees as follows:</w:t>
      </w:r>
    </w:p>
    <w:p>
      <w:pPr>
        <w:spacing w:after="0" w:line="123" w:lineRule="exact"/>
        <w:rPr>
          <w:sz w:val="20"/>
          <w:szCs w:val="20"/>
          <w:color w:val="auto"/>
        </w:rPr>
      </w:pPr>
    </w:p>
    <w:p>
      <w:pPr>
        <w:ind w:firstLine="656"/>
        <w:spacing w:after="0" w:line="258" w:lineRule="auto"/>
        <w:tabs>
          <w:tab w:leader="none" w:pos="1296"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Officer is and will continue to be subject to the Policy and that the Policy will apply both during and after the Executive Officer’s employment with the Company;</w:t>
      </w:r>
    </w:p>
    <w:p>
      <w:pPr>
        <w:spacing w:after="0" w:line="104"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necessary to comply with the Policy, the Policy hereby amends any employment agreement, equity award agreement or similar agreement that the Executive Officer is a party to with the Company;</w:t>
      </w:r>
    </w:p>
    <w:p>
      <w:pPr>
        <w:spacing w:after="0" w:line="119"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Officer shall abide by the terms of the Policy, including, without limitation, by returning any Erroneously Awarded Compensation to the Company to the extent required by, and in a manner permitted by, the Policy;</w:t>
      </w:r>
    </w:p>
    <w:p>
      <w:pPr>
        <w:spacing w:after="0" w:line="132"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amounts payable to the Executive Officer, including any Incentive-based Compensation, shall be subject to the Policy as may be in effect and modified from time to time in the sole discretion of the Administrator or as required by applicable law or the requirements of the Listing Exchange, and that such modification will be deemed to amend this acknowledgment;</w:t>
      </w:r>
    </w:p>
    <w:p>
      <w:pPr>
        <w:spacing w:after="0" w:line="126"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recover compensation paid to the Executive Officer through any Method of Recovery the Administrator deems appropriate, and the Executive Officer agrees to comply with any request or demand for repayment by the Company in order to comply with the Policy; and</w:t>
      </w:r>
    </w:p>
    <w:p>
      <w:pPr>
        <w:spacing w:after="0" w:line="119"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2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to the greatest extent permitted by applicable law, reduce any amount that may become payable to the Executive Officer by any amount to be recovered by the Company pursuant to the Policy to the extent such amount has not been returned by the Executive Officer to the Company prior to the date that any subsequent amount becomes payable to the Executive Officer.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1007745</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4" w:right="999" w:bottom="1440" w:gutter="0" w:footer="0" w:header="0"/>
        </w:sectPr>
      </w:pPr>
    </w:p>
    <w:bookmarkStart w:id="248" w:name="page249"/>
    <w:bookmarkEnd w:id="248"/>
    <w:p>
      <w:pPr>
        <w:ind w:left="460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-151130</wp:posOffset>
            </wp:positionV>
            <wp:extent cx="30861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1"/>
          <w:szCs w:val="2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-144145</wp:posOffset>
            </wp:positionV>
            <wp:extent cx="30861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3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936625</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-151130</wp:posOffset>
            </wp:positionV>
            <wp:extent cx="308610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249" w:name="page250"/>
    <w:bookmarkEnd w:id="24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List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638175</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019"/>
      </w:cols>
      <w:pgMar w:left="1440" w:top="8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DFF9D09"/>
    <w:multiLevelType w:val="hybridMultilevel"/>
    <w:lvl w:ilvl="0">
      <w:lvlJc w:val="left"/>
      <w:lvlText w:val="☐"/>
      <w:numFmt w:val="bullet"/>
      <w:start w:val="1"/>
    </w:lvl>
  </w:abstractNum>
  <w:abstractNum w:abstractNumId="1">
    <w:nsid w:val="754342"/>
    <w:multiLevelType w:val="hybridMultilevel"/>
    <w:lvl w:ilvl="0">
      <w:lvlJc w:val="left"/>
      <w:lvlText w:val="☒"/>
      <w:numFmt w:val="bullet"/>
      <w:start w:val="1"/>
    </w:lvl>
    <w:lvl w:ilvl="1">
      <w:lvlJc w:val="left"/>
      <w:lvlText w:val="☐"/>
      <w:numFmt w:val="bullet"/>
      <w:start w:val="1"/>
    </w:lvl>
  </w:abstractNum>
  <w:abstractNum w:abstractNumId="2">
    <w:nsid w:val="69E7F3E5"/>
    <w:multiLevelType w:val="hybridMultilevel"/>
    <w:lvl w:ilvl="0">
      <w:lvlJc w:val="left"/>
      <w:lvlText w:val="☐"/>
      <w:numFmt w:val="bullet"/>
      <w:start w:val="1"/>
    </w:lvl>
  </w:abstractNum>
  <w:abstractNum w:abstractNumId="3">
    <w:nsid w:val="2A6DE806"/>
    <w:multiLevelType w:val="hybridMultilevel"/>
    <w:lvl w:ilvl="0">
      <w:lvlJc w:val="left"/>
      <w:lvlText w:val="☐"/>
      <w:numFmt w:val="bullet"/>
      <w:start w:val="1"/>
    </w:lvl>
  </w:abstractNum>
  <w:abstractNum w:abstractNumId="4">
    <w:nsid w:val="1816F8C4"/>
    <w:multiLevelType w:val="hybridMultilevel"/>
    <w:lvl w:ilvl="0">
      <w:lvlJc w:val="left"/>
      <w:lvlText w:val="☐"/>
      <w:numFmt w:val="bullet"/>
      <w:start w:val="1"/>
    </w:lvl>
  </w:abstractNum>
  <w:abstractNum w:abstractNumId="5">
    <w:nsid w:val="37DF2233"/>
    <w:multiLevelType w:val="hybridMultilevel"/>
    <w:lvl w:ilvl="0">
      <w:lvlJc w:val="left"/>
      <w:lvlText w:val="☐"/>
      <w:numFmt w:val="bullet"/>
      <w:start w:val="1"/>
    </w:lvl>
  </w:abstractNum>
  <w:abstractNum w:abstractNumId="6">
    <w:nsid w:val="7AB49DAF"/>
    <w:multiLevelType w:val="hybridMultilevel"/>
    <w:lvl w:ilvl="0">
      <w:lvlJc w:val="left"/>
      <w:lvlText w:val="☒"/>
      <w:numFmt w:val="bullet"/>
      <w:start w:val="1"/>
    </w:lvl>
  </w:abstractNum>
  <w:abstractNum w:abstractNumId="7">
    <w:nsid w:val="759F82CD"/>
    <w:multiLevelType w:val="hybridMultilevel"/>
    <w:lvl w:ilvl="0">
      <w:lvlJc w:val="left"/>
      <w:lvlText w:val="☐"/>
      <w:numFmt w:val="bullet"/>
      <w:start w:val="1"/>
    </w:lvl>
  </w:abstractNum>
  <w:abstractNum w:abstractNumId="8">
    <w:nsid w:val="61E74EA3"/>
    <w:multiLevelType w:val="hybridMultilevel"/>
    <w:lvl w:ilvl="0">
      <w:lvlJc w:val="left"/>
      <w:lvlText w:val="☐"/>
      <w:numFmt w:val="bullet"/>
      <w:start w:val="1"/>
    </w:lvl>
  </w:abstractNum>
  <w:abstractNum w:abstractNumId="9">
    <w:nsid w:val="597B4D84"/>
    <w:multiLevelType w:val="hybridMultilevel"/>
    <w:lvl w:ilvl="0">
      <w:lvlJc w:val="left"/>
      <w:lvlText w:val="☐"/>
      <w:numFmt w:val="bullet"/>
      <w:start w:val="1"/>
    </w:lvl>
  </w:abstractNum>
  <w:abstractNum w:abstractNumId="10">
    <w:nsid w:val="F819E7F"/>
    <w:multiLevelType w:val="hybridMultilevel"/>
    <w:lvl w:ilvl="0">
      <w:lvlJc w:val="left"/>
      <w:lvlText w:val="●"/>
      <w:numFmt w:val="bullet"/>
      <w:start w:val="1"/>
    </w:lvl>
  </w:abstractNum>
  <w:abstractNum w:abstractNumId="11">
    <w:nsid w:val="57C7D42D"/>
    <w:multiLevelType w:val="hybridMultilevel"/>
    <w:lvl w:ilvl="0">
      <w:lvlJc w:val="left"/>
      <w:lvlText w:val="●"/>
      <w:numFmt w:val="bullet"/>
      <w:start w:val="1"/>
    </w:lvl>
  </w:abstractNum>
  <w:abstractNum w:abstractNumId="12">
    <w:nsid w:val="312167AD"/>
    <w:multiLevelType w:val="hybridMultilevel"/>
    <w:lvl w:ilvl="0">
      <w:lvlJc w:val="left"/>
      <w:lvlText w:val="●"/>
      <w:numFmt w:val="bullet"/>
      <w:start w:val="1"/>
    </w:lvl>
  </w:abstractNum>
  <w:abstractNum w:abstractNumId="13">
    <w:nsid w:val="631B64D4"/>
    <w:multiLevelType w:val="hybridMultilevel"/>
    <w:lvl w:ilvl="0">
      <w:lvlJc w:val="left"/>
      <w:lvlText w:val="●"/>
      <w:numFmt w:val="bullet"/>
      <w:start w:val="1"/>
    </w:lvl>
  </w:abstractNum>
  <w:abstractNum w:abstractNumId="14">
    <w:nsid w:val="78B5E776"/>
    <w:multiLevelType w:val="hybridMultilevel"/>
    <w:lvl w:ilvl="0">
      <w:lvlJc w:val="left"/>
      <w:lvlText w:val="(%1)"/>
      <w:numFmt w:val="lowerRoman"/>
      <w:start w:val="2"/>
    </w:lvl>
  </w:abstractNum>
  <w:abstractNum w:abstractNumId="15">
    <w:nsid w:val="75486E47"/>
    <w:multiLevelType w:val="hybridMultilevel"/>
    <w:lvl w:ilvl="0">
      <w:lvlJc w:val="left"/>
      <w:lvlText w:val="(%1)"/>
      <w:numFmt w:val="decimal"/>
      <w:start w:val="1"/>
    </w:lvl>
    <w:lvl w:ilvl="1">
      <w:lvlJc w:val="left"/>
      <w:lvlText w:val="●"/>
      <w:numFmt w:val="bullet"/>
      <w:start w:val="1"/>
    </w:lvl>
  </w:abstractNum>
  <w:abstractNum w:abstractNumId="16">
    <w:nsid w:val="6E534CDE"/>
    <w:multiLevelType w:val="hybridMultilevel"/>
    <w:lvl w:ilvl="0">
      <w:lvlJc w:val="left"/>
      <w:lvlText w:val="(%1)"/>
      <w:numFmt w:val="decimal"/>
      <w:start w:val="1"/>
    </w:lvl>
  </w:abstractNum>
  <w:abstractNum w:abstractNumId="17">
    <w:nsid w:val="1A0DDE32"/>
    <w:multiLevelType w:val="hybridMultilevel"/>
    <w:lvl w:ilvl="0">
      <w:lvlJc w:val="left"/>
      <w:lvlText w:val="(%1)"/>
      <w:numFmt w:val="decimal"/>
      <w:start w:val="2"/>
    </w:lvl>
  </w:abstractNum>
  <w:abstractNum w:abstractNumId="18">
    <w:nsid w:val="65968C1C"/>
    <w:multiLevelType w:val="hybridMultilevel"/>
    <w:lvl w:ilvl="0">
      <w:lvlJc w:val="left"/>
      <w:lvlText w:val="%1."/>
      <w:numFmt w:val="upperLetter"/>
      <w:start w:val="1"/>
    </w:lvl>
  </w:abstractNum>
  <w:abstractNum w:abstractNumId="19">
    <w:nsid w:val="46263DEC"/>
    <w:multiLevelType w:val="hybridMultilevel"/>
    <w:lvl w:ilvl="0">
      <w:lvlJc w:val="left"/>
      <w:lvlText w:val="%1."/>
      <w:numFmt w:val="upperLetter"/>
      <w:start w:val="4"/>
    </w:lvl>
  </w:abstractNum>
  <w:abstractNum w:abstractNumId="20">
    <w:nsid w:val="260D8C4A"/>
    <w:multiLevelType w:val="hybridMultilevel"/>
    <w:lvl w:ilvl="0">
      <w:lvlJc w:val="left"/>
      <w:lvlText w:val="●"/>
      <w:numFmt w:val="bullet"/>
      <w:start w:val="1"/>
    </w:lvl>
  </w:abstractNum>
  <w:abstractNum w:abstractNumId="21">
    <w:nsid w:val="73D4D3C4"/>
    <w:multiLevelType w:val="hybridMultilevel"/>
    <w:lvl w:ilvl="0">
      <w:lvlJc w:val="left"/>
      <w:lvlText w:val="●"/>
      <w:numFmt w:val="bullet"/>
      <w:start w:val="1"/>
    </w:lvl>
  </w:abstractNum>
  <w:abstractNum w:abstractNumId="22">
    <w:nsid w:val="746F2E30"/>
    <w:multiLevelType w:val="hybridMultilevel"/>
    <w:lvl w:ilvl="0">
      <w:lvlJc w:val="left"/>
      <w:lvlText w:val="●"/>
      <w:numFmt w:val="bullet"/>
      <w:start w:val="1"/>
    </w:lvl>
  </w:abstractNum>
  <w:abstractNum w:abstractNumId="23">
    <w:nsid w:val="6FDE8AF6"/>
    <w:multiLevelType w:val="hybridMultilevel"/>
    <w:lvl w:ilvl="0">
      <w:lvlJc w:val="left"/>
      <w:lvlText w:val="●"/>
      <w:numFmt w:val="bullet"/>
      <w:start w:val="1"/>
    </w:lvl>
  </w:abstractNum>
  <w:abstractNum w:abstractNumId="24">
    <w:nsid w:val="3FC32E20"/>
    <w:multiLevelType w:val="hybridMultilevel"/>
    <w:lvl w:ilvl="0">
      <w:lvlJc w:val="left"/>
      <w:lvlText w:val="●"/>
      <w:numFmt w:val="bullet"/>
      <w:start w:val="1"/>
    </w:lvl>
  </w:abstractNum>
  <w:abstractNum w:abstractNumId="25">
    <w:nsid w:val="49C0E823"/>
    <w:multiLevelType w:val="hybridMultilevel"/>
    <w:lvl w:ilvl="0">
      <w:lvlJc w:val="left"/>
      <w:lvlText w:val="●"/>
      <w:numFmt w:val="bullet"/>
      <w:start w:val="1"/>
    </w:lvl>
  </w:abstractNum>
  <w:abstractNum w:abstractNumId="26">
    <w:nsid w:val="14D53685"/>
    <w:multiLevelType w:val="hybridMultilevel"/>
    <w:lvl w:ilvl="0">
      <w:lvlJc w:val="left"/>
      <w:lvlText w:val="●"/>
      <w:numFmt w:val="bullet"/>
      <w:start w:val="1"/>
    </w:lvl>
  </w:abstractNum>
  <w:abstractNum w:abstractNumId="27">
    <w:nsid w:val="230F856C"/>
    <w:multiLevelType w:val="hybridMultilevel"/>
    <w:lvl w:ilvl="0">
      <w:lvlJc w:val="left"/>
      <w:lvlText w:val="●"/>
      <w:numFmt w:val="bullet"/>
      <w:start w:val="1"/>
    </w:lvl>
  </w:abstractNum>
  <w:abstractNum w:abstractNumId="28">
    <w:nsid w:val="6EAA85FB"/>
    <w:multiLevelType w:val="hybridMultilevel"/>
    <w:lvl w:ilvl="0">
      <w:lvlJc w:val="left"/>
      <w:lvlText w:val="●"/>
      <w:numFmt w:val="bullet"/>
      <w:start w:val="1"/>
    </w:lvl>
  </w:abstractNum>
  <w:abstractNum w:abstractNumId="29">
    <w:nsid w:val="3F06ECB2"/>
    <w:multiLevelType w:val="hybridMultilevel"/>
    <w:lvl w:ilvl="0">
      <w:lvlJc w:val="left"/>
      <w:lvlText w:val="●"/>
      <w:numFmt w:val="bullet"/>
      <w:start w:val="1"/>
    </w:lvl>
  </w:abstractNum>
  <w:abstractNum w:abstractNumId="30">
    <w:nsid w:val="3B594807"/>
    <w:multiLevelType w:val="hybridMultilevel"/>
    <w:lvl w:ilvl="0">
      <w:lvlJc w:val="left"/>
      <w:lvlText w:val="●"/>
      <w:numFmt w:val="bullet"/>
      <w:start w:val="1"/>
    </w:lvl>
  </w:abstractNum>
  <w:abstractNum w:abstractNumId="31">
    <w:nsid w:val="6CAA2304"/>
    <w:multiLevelType w:val="hybridMultilevel"/>
    <w:lvl w:ilvl="0">
      <w:lvlJc w:val="left"/>
      <w:lvlText w:val="●"/>
      <w:numFmt w:val="bullet"/>
      <w:start w:val="1"/>
    </w:lvl>
  </w:abstractNum>
  <w:abstractNum w:abstractNumId="32">
    <w:nsid w:val="3F7C2FF4"/>
    <w:multiLevelType w:val="hybridMultilevel"/>
    <w:lvl w:ilvl="0">
      <w:lvlJc w:val="left"/>
      <w:lvlText w:val="●"/>
      <w:numFmt w:val="bullet"/>
      <w:start w:val="1"/>
    </w:lvl>
  </w:abstractNum>
  <w:abstractNum w:abstractNumId="33">
    <w:nsid w:val="25413BEC"/>
    <w:multiLevelType w:val="hybridMultilevel"/>
    <w:lvl w:ilvl="0">
      <w:lvlJc w:val="left"/>
      <w:lvlText w:val="●"/>
      <w:numFmt w:val="bullet"/>
      <w:start w:val="1"/>
    </w:lvl>
  </w:abstractNum>
  <w:abstractNum w:abstractNumId="34">
    <w:nsid w:val="17180B0B"/>
    <w:multiLevelType w:val="hybridMultilevel"/>
    <w:lvl w:ilvl="0">
      <w:lvlJc w:val="left"/>
      <w:lvlText w:val="●"/>
      <w:numFmt w:val="bullet"/>
      <w:start w:val="1"/>
    </w:lvl>
  </w:abstractNum>
  <w:abstractNum w:abstractNumId="35">
    <w:nsid w:val="579328B9"/>
    <w:multiLevelType w:val="hybridMultilevel"/>
    <w:lvl w:ilvl="0">
      <w:lvlJc w:val="left"/>
      <w:lvlText w:val="●"/>
      <w:numFmt w:val="bullet"/>
      <w:start w:val="1"/>
    </w:lvl>
  </w:abstractNum>
  <w:abstractNum w:abstractNumId="36">
    <w:nsid w:val="5D205E20"/>
    <w:multiLevelType w:val="hybridMultilevel"/>
    <w:lvl w:ilvl="0">
      <w:lvlJc w:val="left"/>
      <w:lvlText w:val="●"/>
      <w:numFmt w:val="bullet"/>
      <w:start w:val="1"/>
    </w:lvl>
  </w:abstractNum>
  <w:abstractNum w:abstractNumId="37">
    <w:nsid w:val="11CCA8BA"/>
    <w:multiLevelType w:val="hybridMultilevel"/>
    <w:lvl w:ilvl="0">
      <w:lvlJc w:val="left"/>
      <w:lvlText w:val="●"/>
      <w:numFmt w:val="bullet"/>
      <w:start w:val="1"/>
    </w:lvl>
  </w:abstractNum>
  <w:abstractNum w:abstractNumId="38">
    <w:nsid w:val="4D32AB86"/>
    <w:multiLevelType w:val="hybridMultilevel"/>
    <w:lvl w:ilvl="0">
      <w:lvlJc w:val="left"/>
      <w:lvlText w:val="(%1)"/>
      <w:numFmt w:val="lowerRoman"/>
      <w:start w:val="2"/>
    </w:lvl>
  </w:abstractNum>
  <w:abstractNum w:abstractNumId="39">
    <w:nsid w:val="3F07ACC3"/>
    <w:multiLevelType w:val="hybridMultilevel"/>
    <w:lvl w:ilvl="0">
      <w:lvlJc w:val="left"/>
      <w:lvlText w:val="●"/>
      <w:numFmt w:val="bullet"/>
      <w:start w:val="1"/>
    </w:lvl>
  </w:abstractNum>
  <w:abstractNum w:abstractNumId="40">
    <w:nsid w:val="6B47F63E"/>
    <w:multiLevelType w:val="hybridMultilevel"/>
    <w:lvl w:ilvl="0">
      <w:lvlJc w:val="left"/>
      <w:lvlText w:val="●"/>
      <w:numFmt w:val="bullet"/>
      <w:start w:val="1"/>
    </w:lvl>
  </w:abstractNum>
  <w:abstractNum w:abstractNumId="41">
    <w:nsid w:val="5CB44A05"/>
    <w:multiLevelType w:val="hybridMultilevel"/>
    <w:lvl w:ilvl="0">
      <w:lvlJc w:val="left"/>
      <w:lvlText w:val="●"/>
      <w:numFmt w:val="bullet"/>
      <w:start w:val="1"/>
    </w:lvl>
  </w:abstractNum>
  <w:abstractNum w:abstractNumId="42">
    <w:nsid w:val="16CF80F1"/>
    <w:multiLevelType w:val="hybridMultilevel"/>
    <w:lvl w:ilvl="0">
      <w:lvlJc w:val="left"/>
      <w:lvlText w:val="●"/>
      <w:numFmt w:val="bullet"/>
      <w:start w:val="1"/>
    </w:lvl>
  </w:abstractNum>
  <w:abstractNum w:abstractNumId="43">
    <w:nsid w:val="1C695DEC"/>
    <w:multiLevelType w:val="hybridMultilevel"/>
    <w:lvl w:ilvl="0">
      <w:lvlJc w:val="left"/>
      <w:lvlText w:val="●"/>
      <w:numFmt w:val="bullet"/>
      <w:start w:val="1"/>
    </w:lvl>
  </w:abstractNum>
  <w:abstractNum w:abstractNumId="44">
    <w:nsid w:val="3FCFAED9"/>
    <w:multiLevelType w:val="hybridMultilevel"/>
    <w:lvl w:ilvl="0">
      <w:lvlJc w:val="left"/>
      <w:lvlText w:val="%1."/>
      <w:numFmt w:val="upperLetter"/>
      <w:start w:val="1"/>
    </w:lvl>
  </w:abstractNum>
  <w:abstractNum w:abstractNumId="45">
    <w:nsid w:val="F856867"/>
    <w:multiLevelType w:val="hybridMultilevel"/>
    <w:lvl w:ilvl="0">
      <w:lvlJc w:val="left"/>
      <w:lvlText w:val="%1."/>
      <w:numFmt w:val="upperLetter"/>
      <w:start w:val="2"/>
    </w:lvl>
  </w:abstractNum>
  <w:abstractNum w:abstractNumId="46">
    <w:nsid w:val="11B1CC33"/>
    <w:multiLevelType w:val="hybridMultilevel"/>
    <w:lvl w:ilvl="0">
      <w:lvlJc w:val="left"/>
      <w:lvlText w:val="●"/>
      <w:numFmt w:val="bullet"/>
      <w:start w:val="1"/>
    </w:lvl>
  </w:abstractNum>
  <w:abstractNum w:abstractNumId="47">
    <w:nsid w:val="2E22FBB7"/>
    <w:multiLevelType w:val="hybridMultilevel"/>
    <w:lvl w:ilvl="0">
      <w:lvlJc w:val="left"/>
      <w:lvlText w:val="●"/>
      <w:numFmt w:val="bullet"/>
      <w:start w:val="1"/>
    </w:lvl>
  </w:abstractNum>
  <w:abstractNum w:abstractNumId="48">
    <w:nsid w:val="29934699"/>
    <w:multiLevelType w:val="hybridMultilevel"/>
    <w:lvl w:ilvl="0">
      <w:lvlJc w:val="left"/>
      <w:lvlText w:val="●"/>
      <w:numFmt w:val="bullet"/>
      <w:start w:val="1"/>
    </w:lvl>
  </w:abstractNum>
  <w:abstractNum w:abstractNumId="49">
    <w:nsid w:val="77485850"/>
    <w:multiLevelType w:val="hybridMultilevel"/>
    <w:lvl w:ilvl="0">
      <w:lvlJc w:val="left"/>
      <w:lvlText w:val="●"/>
      <w:numFmt w:val="bullet"/>
      <w:start w:val="1"/>
    </w:lvl>
  </w:abstractNum>
  <w:abstractNum w:abstractNumId="50">
    <w:nsid w:val="744939A3"/>
    <w:multiLevelType w:val="hybridMultilevel"/>
    <w:lvl w:ilvl="0">
      <w:lvlJc w:val="left"/>
      <w:lvlText w:val="●"/>
      <w:numFmt w:val="bullet"/>
      <w:start w:val="1"/>
    </w:lvl>
  </w:abstractNum>
  <w:abstractNum w:abstractNumId="51">
    <w:nsid w:val="4FA0D2E3"/>
    <w:multiLevelType w:val="hybridMultilevel"/>
    <w:lvl w:ilvl="0">
      <w:lvlJc w:val="left"/>
      <w:lvlText w:val="●"/>
      <w:numFmt w:val="bullet"/>
      <w:start w:val="1"/>
    </w:lvl>
  </w:abstractNum>
  <w:abstractNum w:abstractNumId="52">
    <w:nsid w:val="6B1D2C14"/>
    <w:multiLevelType w:val="hybridMultilevel"/>
    <w:lvl w:ilvl="0">
      <w:lvlJc w:val="left"/>
      <w:lvlText w:val="●"/>
      <w:numFmt w:val="bullet"/>
      <w:start w:val="1"/>
    </w:lvl>
  </w:abstractNum>
  <w:abstractNum w:abstractNumId="53">
    <w:nsid w:val="68B867D3"/>
    <w:multiLevelType w:val="hybridMultilevel"/>
    <w:lvl w:ilvl="0">
      <w:lvlJc w:val="left"/>
      <w:lvlText w:val="●"/>
      <w:numFmt w:val="bullet"/>
      <w:start w:val="1"/>
    </w:lvl>
  </w:abstractNum>
  <w:abstractNum w:abstractNumId="54">
    <w:nsid w:val="3F7F5DD9"/>
    <w:multiLevelType w:val="hybridMultilevel"/>
    <w:lvl w:ilvl="0">
      <w:lvlJc w:val="left"/>
      <w:lvlText w:val="●"/>
      <w:numFmt w:val="bullet"/>
      <w:start w:val="1"/>
    </w:lvl>
  </w:abstractNum>
  <w:abstractNum w:abstractNumId="55">
    <w:nsid w:val="2AE05A34"/>
    <w:multiLevelType w:val="hybridMultilevel"/>
    <w:lvl w:ilvl="0">
      <w:lvlJc w:val="left"/>
      <w:lvlText w:val="●"/>
      <w:numFmt w:val="bullet"/>
      <w:start w:val="1"/>
    </w:lvl>
  </w:abstractNum>
  <w:abstractNum w:abstractNumId="56">
    <w:nsid w:val="32794FF7"/>
    <w:multiLevelType w:val="hybridMultilevel"/>
    <w:lvl w:ilvl="0">
      <w:lvlJc w:val="left"/>
      <w:lvlText w:val="●"/>
      <w:numFmt w:val="bullet"/>
      <w:start w:val="1"/>
    </w:lvl>
  </w:abstractNum>
  <w:abstractNum w:abstractNumId="57">
    <w:nsid w:val="5454945E"/>
    <w:multiLevelType w:val="hybridMultilevel"/>
    <w:lvl w:ilvl="0">
      <w:lvlJc w:val="left"/>
      <w:lvlText w:val="●"/>
      <w:numFmt w:val="bullet"/>
      <w:start w:val="1"/>
    </w:lvl>
  </w:abstractNum>
  <w:abstractNum w:abstractNumId="58">
    <w:nsid w:val="4DEFDFA0"/>
    <w:multiLevelType w:val="hybridMultilevel"/>
    <w:lvl w:ilvl="0">
      <w:lvlJc w:val="left"/>
      <w:lvlText w:val="(%1)"/>
      <w:numFmt w:val="lowerRoman"/>
      <w:start w:val="1"/>
    </w:lvl>
  </w:abstractNum>
  <w:abstractNum w:abstractNumId="59">
    <w:nsid w:val="2123D5F2"/>
    <w:multiLevelType w:val="hybridMultilevel"/>
    <w:lvl w:ilvl="0">
      <w:lvlJc w:val="left"/>
      <w:lvlText w:val="(%1)"/>
      <w:numFmt w:val="lowerRoman"/>
      <w:start w:val="2"/>
    </w:lvl>
  </w:abstractNum>
  <w:abstractNum w:abstractNumId="60">
    <w:nsid w:val="135B8110"/>
    <w:multiLevelType w:val="hybridMultilevel"/>
    <w:lvl w:ilvl="0">
      <w:lvlJc w:val="left"/>
      <w:lvlText w:val="(%1)"/>
      <w:numFmt w:val="lowerRoman"/>
      <w:start w:val="1"/>
    </w:lvl>
  </w:abstractNum>
  <w:abstractNum w:abstractNumId="61">
    <w:nsid w:val="94927A8"/>
    <w:multiLevelType w:val="hybridMultilevel"/>
    <w:lvl w:ilvl="0">
      <w:lvlJc w:val="left"/>
      <w:lvlText w:val="(%1)"/>
      <w:numFmt w:val="lowerRoman"/>
      <w:start w:val="2"/>
    </w:lvl>
  </w:abstractNum>
  <w:abstractNum w:abstractNumId="62">
    <w:nsid w:val="DCDF8F6"/>
    <w:multiLevelType w:val="hybridMultilevel"/>
    <w:lvl w:ilvl="0">
      <w:lvlJc w:val="left"/>
      <w:lvlText w:val="(%1)"/>
      <w:numFmt w:val="lowerRoman"/>
      <w:start w:val="1"/>
    </w:lvl>
  </w:abstractNum>
  <w:abstractNum w:abstractNumId="63">
    <w:nsid w:val="52D7B105"/>
    <w:multiLevelType w:val="hybridMultilevel"/>
    <w:lvl w:ilvl="0">
      <w:lvlJc w:val="left"/>
      <w:lvlText w:val="(%1)"/>
      <w:numFmt w:val="lowerRoman"/>
      <w:start w:val="1"/>
    </w:lvl>
  </w:abstractNum>
  <w:abstractNum w:abstractNumId="64">
    <w:nsid w:val="2E8A6394"/>
    <w:multiLevelType w:val="hybridMultilevel"/>
    <w:lvl w:ilvl="0">
      <w:lvlJc w:val="left"/>
      <w:lvlText w:val="%1."/>
      <w:numFmt w:val="upperLetter"/>
      <w:start w:val="3"/>
    </w:lvl>
  </w:abstractNum>
  <w:abstractNum w:abstractNumId="65">
    <w:nsid w:val="24E60401"/>
    <w:multiLevelType w:val="hybridMultilevel"/>
    <w:lvl w:ilvl="0">
      <w:lvlJc w:val="left"/>
      <w:lvlText w:val="(%1)"/>
      <w:numFmt w:val="decimal"/>
      <w:start w:val="1"/>
    </w:lvl>
  </w:abstractNum>
  <w:abstractNum w:abstractNumId="66">
    <w:nsid w:val="2A6AD9BE"/>
    <w:multiLevelType w:val="hybridMultilevel"/>
    <w:lvl w:ilvl="0">
      <w:lvlJc w:val="left"/>
      <w:lvlText w:val="●"/>
      <w:numFmt w:val="bullet"/>
      <w:start w:val="1"/>
    </w:lvl>
  </w:abstractNum>
  <w:abstractNum w:abstractNumId="67">
    <w:nsid w:val="BAAC1B4"/>
    <w:multiLevelType w:val="hybridMultilevel"/>
    <w:lvl w:ilvl="0">
      <w:lvlJc w:val="left"/>
      <w:lvlText w:val="●"/>
      <w:numFmt w:val="bullet"/>
      <w:start w:val="1"/>
    </w:lvl>
  </w:abstractNum>
  <w:abstractNum w:abstractNumId="68">
    <w:nsid w:val="36B2ACBC"/>
    <w:multiLevelType w:val="hybridMultilevel"/>
    <w:lvl w:ilvl="0">
      <w:lvlJc w:val="left"/>
      <w:lvlText w:val="●"/>
      <w:numFmt w:val="bullet"/>
      <w:start w:val="1"/>
    </w:lvl>
  </w:abstractNum>
  <w:abstractNum w:abstractNumId="69">
    <w:nsid w:val="779D8544"/>
    <w:multiLevelType w:val="hybridMultilevel"/>
    <w:lvl w:ilvl="0">
      <w:lvlJc w:val="left"/>
      <w:lvlText w:val="%1."/>
      <w:numFmt w:val="upperLetter"/>
      <w:start w:val="4"/>
    </w:lvl>
  </w:abstractNum>
  <w:abstractNum w:abstractNumId="70">
    <w:nsid w:val="4AB26E78"/>
    <w:multiLevelType w:val="hybridMultilevel"/>
    <w:lvl w:ilvl="0">
      <w:lvlJc w:val="left"/>
      <w:lvlText w:val="●"/>
      <w:numFmt w:val="bullet"/>
      <w:start w:val="1"/>
    </w:lvl>
  </w:abstractNum>
  <w:abstractNum w:abstractNumId="71">
    <w:nsid w:val="21FAA2FA"/>
    <w:multiLevelType w:val="hybridMultilevel"/>
    <w:lvl w:ilvl="0">
      <w:lvlJc w:val="left"/>
      <w:lvlText w:val="●"/>
      <w:numFmt w:val="bullet"/>
      <w:start w:val="1"/>
    </w:lvl>
  </w:abstractNum>
  <w:abstractNum w:abstractNumId="72">
    <w:nsid w:val="5451CF49"/>
    <w:multiLevelType w:val="hybridMultilevel"/>
    <w:lvl w:ilvl="0">
      <w:lvlJc w:val="left"/>
      <w:lvlText w:val="●"/>
      <w:numFmt w:val="bullet"/>
      <w:start w:val="1"/>
    </w:lvl>
  </w:abstractNum>
  <w:abstractNum w:abstractNumId="73">
    <w:nsid w:val="6181EF69"/>
    <w:multiLevelType w:val="hybridMultilevel"/>
    <w:lvl w:ilvl="0">
      <w:lvlJc w:val="left"/>
      <w:lvlText w:val="●"/>
      <w:numFmt w:val="bullet"/>
      <w:start w:val="1"/>
    </w:lvl>
    <w:lvl w:ilvl="1">
      <w:lvlJc w:val="left"/>
      <w:lvlText w:val="●"/>
      <w:numFmt w:val="bullet"/>
      <w:start w:val="1"/>
    </w:lvl>
  </w:abstractNum>
  <w:abstractNum w:abstractNumId="74">
    <w:nsid w:val="3E6400E6"/>
    <w:multiLevelType w:val="hybridMultilevel"/>
    <w:lvl w:ilvl="0">
      <w:lvlJc w:val="left"/>
      <w:lvlText w:val="●"/>
      <w:numFmt w:val="bullet"/>
      <w:start w:val="1"/>
    </w:lvl>
  </w:abstractNum>
  <w:abstractNum w:abstractNumId="75">
    <w:nsid w:val="14217E23"/>
    <w:multiLevelType w:val="hybridMultilevel"/>
    <w:lvl w:ilvl="0">
      <w:lvlJc w:val="left"/>
      <w:lvlText w:val="●"/>
      <w:numFmt w:val="bullet"/>
      <w:start w:val="1"/>
    </w:lvl>
  </w:abstractNum>
  <w:abstractNum w:abstractNumId="76">
    <w:nsid w:val="710757D0"/>
    <w:multiLevelType w:val="hybridMultilevel"/>
    <w:lvl w:ilvl="0">
      <w:lvlJc w:val="left"/>
      <w:lvlText w:val="●"/>
      <w:numFmt w:val="bullet"/>
      <w:start w:val="1"/>
    </w:lvl>
  </w:abstractNum>
  <w:abstractNum w:abstractNumId="77">
    <w:nsid w:val="5015CD1A"/>
    <w:multiLevelType w:val="hybridMultilevel"/>
    <w:lvl w:ilvl="0">
      <w:lvlJc w:val="left"/>
      <w:lvlText w:val="●"/>
      <w:numFmt w:val="bullet"/>
      <w:start w:val="1"/>
    </w:lvl>
  </w:abstractNum>
  <w:abstractNum w:abstractNumId="78">
    <w:nsid w:val="424479DA"/>
    <w:multiLevelType w:val="hybridMultilevel"/>
    <w:lvl w:ilvl="0">
      <w:lvlJc w:val="left"/>
      <w:lvlText w:val="(%1)"/>
      <w:numFmt w:val="lowerRoman"/>
      <w:start w:val="1"/>
    </w:lvl>
  </w:abstractNum>
  <w:abstractNum w:abstractNumId="79">
    <w:nsid w:val="1A9A9E69"/>
    <w:multiLevelType w:val="hybridMultilevel"/>
    <w:lvl w:ilvl="0">
      <w:lvlJc w:val="left"/>
      <w:lvlText w:val="%1."/>
      <w:numFmt w:val="upperLetter"/>
      <w:start w:val="1"/>
    </w:lvl>
  </w:abstractNum>
  <w:abstractNum w:abstractNumId="80">
    <w:nsid w:val="475E256A"/>
    <w:multiLevelType w:val="hybridMultilevel"/>
    <w:lvl w:ilvl="0">
      <w:lvlJc w:val="left"/>
      <w:lvlText w:val="%1."/>
      <w:numFmt w:val="upperLetter"/>
      <w:start w:val="2"/>
    </w:lvl>
  </w:abstractNum>
  <w:abstractNum w:abstractNumId="81">
    <w:nsid w:val="368DB37E"/>
    <w:multiLevelType w:val="hybridMultilevel"/>
    <w:lvl w:ilvl="0">
      <w:lvlJc w:val="left"/>
      <w:lvlText w:val="*"/>
      <w:numFmt w:val="bullet"/>
      <w:start w:val="1"/>
    </w:lvl>
  </w:abstractNum>
  <w:abstractNum w:abstractNumId="82">
    <w:nsid w:val="6A3B714C"/>
    <w:multiLevelType w:val="hybridMultilevel"/>
    <w:lvl w:ilvl="0">
      <w:lvlJc w:val="left"/>
      <w:lvlText w:val="*"/>
      <w:numFmt w:val="bullet"/>
      <w:start w:val="1"/>
    </w:lvl>
  </w:abstractNum>
  <w:abstractNum w:abstractNumId="83">
    <w:nsid w:val="327B517E"/>
    <w:multiLevelType w:val="hybridMultilevel"/>
    <w:lvl w:ilvl="0">
      <w:lvlJc w:val="left"/>
      <w:lvlText w:val="%1."/>
      <w:numFmt w:val="upperLetter"/>
      <w:start w:val="3"/>
    </w:lvl>
  </w:abstractNum>
  <w:abstractNum w:abstractNumId="84">
    <w:nsid w:val="1F461B51"/>
    <w:multiLevelType w:val="hybridMultilevel"/>
    <w:lvl w:ilvl="0">
      <w:lvlJc w:val="left"/>
      <w:lvlText w:val="●"/>
      <w:numFmt w:val="bullet"/>
      <w:start w:val="1"/>
    </w:lvl>
  </w:abstractNum>
  <w:abstractNum w:abstractNumId="85">
    <w:nsid w:val="29BACF25"/>
    <w:multiLevelType w:val="hybridMultilevel"/>
    <w:lvl w:ilvl="0">
      <w:lvlJc w:val="left"/>
      <w:lvlText w:val="●"/>
      <w:numFmt w:val="bullet"/>
      <w:start w:val="1"/>
    </w:lvl>
  </w:abstractNum>
  <w:abstractNum w:abstractNumId="86">
    <w:nsid w:val="5D5BABB3"/>
    <w:multiLevelType w:val="hybridMultilevel"/>
    <w:lvl w:ilvl="0">
      <w:lvlJc w:val="left"/>
      <w:lvlText w:val="●"/>
      <w:numFmt w:val="bullet"/>
      <w:start w:val="1"/>
    </w:lvl>
  </w:abstractNum>
  <w:abstractNum w:abstractNumId="87">
    <w:nsid w:val="51BF6B48"/>
    <w:multiLevelType w:val="hybridMultilevel"/>
    <w:lvl w:ilvl="0">
      <w:lvlJc w:val="left"/>
      <w:lvlText w:val="●"/>
      <w:numFmt w:val="bullet"/>
      <w:start w:val="1"/>
    </w:lvl>
  </w:abstractNum>
  <w:abstractNum w:abstractNumId="88">
    <w:nsid w:val="7E0F6384"/>
    <w:multiLevelType w:val="hybridMultilevel"/>
    <w:lvl w:ilvl="0">
      <w:lvlJc w:val="left"/>
      <w:lvlText w:val="●"/>
      <w:numFmt w:val="bullet"/>
      <w:start w:val="1"/>
    </w:lvl>
  </w:abstractNum>
  <w:abstractNum w:abstractNumId="89">
    <w:nsid w:val="2B4B8B53"/>
    <w:multiLevelType w:val="hybridMultilevel"/>
    <w:lvl w:ilvl="0">
      <w:lvlJc w:val="left"/>
      <w:lvlText w:val="%1."/>
      <w:numFmt w:val="upperLetter"/>
      <w:start w:val="4"/>
    </w:lvl>
  </w:abstractNum>
  <w:abstractNum w:abstractNumId="90">
    <w:nsid w:val="72E3413A"/>
    <w:multiLevelType w:val="hybridMultilevel"/>
    <w:lvl w:ilvl="0">
      <w:lvlJc w:val="left"/>
      <w:lvlText w:val="%1."/>
      <w:numFmt w:val="upperLetter"/>
      <w:start w:val="5"/>
    </w:lvl>
  </w:abstractNum>
  <w:abstractNum w:abstractNumId="91">
    <w:nsid w:val="116AE494"/>
    <w:multiLevelType w:val="hybridMultilevel"/>
    <w:lvl w:ilvl="0">
      <w:lvlJc w:val="left"/>
      <w:lvlText w:val="●"/>
      <w:numFmt w:val="bullet"/>
      <w:start w:val="1"/>
    </w:lvl>
  </w:abstractNum>
  <w:abstractNum w:abstractNumId="92">
    <w:nsid w:val="3494B2FB"/>
    <w:multiLevelType w:val="hybridMultilevel"/>
    <w:lvl w:ilvl="0">
      <w:lvlJc w:val="left"/>
      <w:lvlText w:val="(%1)"/>
      <w:numFmt w:val="lowerRoman"/>
      <w:start w:val="1"/>
    </w:lvl>
  </w:abstractNum>
  <w:abstractNum w:abstractNumId="93">
    <w:nsid w:val="B13A31"/>
    <w:multiLevelType w:val="hybridMultilevel"/>
    <w:lvl w:ilvl="0">
      <w:lvlJc w:val="left"/>
      <w:lvlText w:val="(%1)"/>
      <w:numFmt w:val="decimal"/>
      <w:start w:val="1"/>
    </w:lvl>
  </w:abstractNum>
  <w:abstractNum w:abstractNumId="94">
    <w:nsid w:val="64429599"/>
    <w:multiLevelType w:val="hybridMultilevel"/>
    <w:lvl w:ilvl="0">
      <w:lvlJc w:val="left"/>
      <w:lvlText w:val="(%1)"/>
      <w:numFmt w:val="decimal"/>
      <w:start w:val="2"/>
    </w:lvl>
  </w:abstractNum>
  <w:abstractNum w:abstractNumId="95">
    <w:nsid w:val="631F1690"/>
    <w:multiLevelType w:val="hybridMultilevel"/>
    <w:lvl w:ilvl="0">
      <w:lvlJc w:val="left"/>
      <w:lvlText w:val="%1."/>
      <w:numFmt w:val="upperLetter"/>
      <w:start w:val="6"/>
    </w:lvl>
  </w:abstractNum>
  <w:abstractNum w:abstractNumId="96">
    <w:nsid w:val="25973E32"/>
    <w:multiLevelType w:val="hybridMultilevel"/>
    <w:lvl w:ilvl="0">
      <w:lvlJc w:val="left"/>
      <w:lvlText w:val="%1."/>
      <w:numFmt w:val="upperLetter"/>
      <w:start w:val="1"/>
    </w:lvl>
  </w:abstractNum>
  <w:abstractNum w:abstractNumId="97">
    <w:nsid w:val="EAD6F57"/>
    <w:multiLevelType w:val="hybridMultilevel"/>
    <w:lvl w:ilvl="0">
      <w:lvlJc w:val="left"/>
      <w:lvlText w:val="%1."/>
      <w:numFmt w:val="upperLetter"/>
      <w:start w:val="3"/>
    </w:lvl>
  </w:abstractNum>
  <w:abstractNum w:abstractNumId="98">
    <w:nsid w:val="6EC9D844"/>
    <w:multiLevelType w:val="hybridMultilevel"/>
    <w:lvl w:ilvl="0">
      <w:lvlJc w:val="left"/>
      <w:lvlText w:val="%1."/>
      <w:numFmt w:val="upperLetter"/>
      <w:start w:val="1"/>
    </w:lvl>
  </w:abstractNum>
  <w:abstractNum w:abstractNumId="99">
    <w:nsid w:val="5C49EAEE"/>
    <w:multiLevelType w:val="hybridMultilevel"/>
    <w:lvl w:ilvl="0">
      <w:lvlJc w:val="left"/>
      <w:lvlText w:val="%1."/>
      <w:numFmt w:val="upperLetter"/>
      <w:start w:val="2"/>
    </w:lvl>
  </w:abstractNum>
  <w:abstractNum w:abstractNumId="100">
    <w:nsid w:val="64AF49B"/>
    <w:multiLevelType w:val="hybridMultilevel"/>
    <w:lvl w:ilvl="0">
      <w:lvlJc w:val="left"/>
      <w:lvlText w:val="%1."/>
      <w:numFmt w:val="upperLetter"/>
      <w:start w:val="1"/>
    </w:lvl>
  </w:abstractNum>
  <w:abstractNum w:abstractNumId="101">
    <w:nsid w:val="397C46BC"/>
    <w:multiLevelType w:val="hybridMultilevel"/>
    <w:lvl w:ilvl="0">
      <w:lvlJc w:val="left"/>
      <w:lvlText w:val="%1."/>
      <w:numFmt w:val="upperLetter"/>
      <w:start w:val="4"/>
    </w:lvl>
  </w:abstractNum>
  <w:abstractNum w:abstractNumId="102">
    <w:nsid w:val="7E448DE9"/>
    <w:multiLevelType w:val="hybridMultilevel"/>
    <w:lvl w:ilvl="0">
      <w:lvlJc w:val="left"/>
      <w:lvlText w:val="%1."/>
      <w:numFmt w:val="upperLetter"/>
      <w:start w:val="6"/>
    </w:lvl>
  </w:abstractNum>
  <w:abstractNum w:abstractNumId="103">
    <w:nsid w:val="5A9CC3E5"/>
    <w:multiLevelType w:val="hybridMultilevel"/>
    <w:lvl w:ilvl="0">
      <w:lvlJc w:val="left"/>
      <w:lvlText w:val="%1."/>
      <w:numFmt w:val="upperLetter"/>
      <w:start w:val="1"/>
    </w:lvl>
  </w:abstractNum>
  <w:abstractNum w:abstractNumId="104">
    <w:nsid w:val="1AFE3625"/>
    <w:multiLevelType w:val="hybridMultilevel"/>
    <w:lvl w:ilvl="0">
      <w:lvlJc w:val="left"/>
      <w:lvlText w:val="(%1)"/>
      <w:numFmt w:val="lowerLetter"/>
      <w:start w:val="1"/>
    </w:lvl>
    <w:lvl w:ilvl="1">
      <w:lvlJc w:val="left"/>
      <w:lvlText w:val="%2."/>
      <w:numFmt w:val="lowerRoman"/>
      <w:start w:val="1"/>
    </w:lvl>
  </w:abstractNum>
  <w:abstractNum w:abstractNumId="105">
    <w:nsid w:val="3CA88ECF"/>
    <w:multiLevelType w:val="hybridMultilevel"/>
    <w:lvl w:ilvl="0">
      <w:lvlJc w:val="left"/>
      <w:lvlText w:val="●"/>
      <w:numFmt w:val="bullet"/>
      <w:start w:val="1"/>
    </w:lvl>
  </w:abstractNum>
  <w:abstractNum w:abstractNumId="106">
    <w:nsid w:val="6EBE4208"/>
    <w:multiLevelType w:val="hybridMultilevel"/>
    <w:lvl w:ilvl="0">
      <w:lvlJc w:val="left"/>
      <w:lvlText w:val="●"/>
      <w:numFmt w:val="bullet"/>
      <w:start w:val="1"/>
    </w:lvl>
  </w:abstractNum>
  <w:abstractNum w:abstractNumId="107">
    <w:nsid w:val="C058DF5"/>
    <w:multiLevelType w:val="hybridMultilevel"/>
    <w:lvl w:ilvl="0">
      <w:lvlJc w:val="left"/>
      <w:lvlText w:val="●"/>
      <w:numFmt w:val="bullet"/>
      <w:start w:val="1"/>
    </w:lvl>
  </w:abstractNum>
  <w:abstractNum w:abstractNumId="108">
    <w:nsid w:val="CBE5BE9"/>
    <w:multiLevelType w:val="hybridMultilevel"/>
    <w:lvl w:ilvl="0">
      <w:lvlJc w:val="left"/>
      <w:lvlText w:val="●"/>
      <w:numFmt w:val="bullet"/>
      <w:start w:val="1"/>
    </w:lvl>
  </w:abstractNum>
  <w:abstractNum w:abstractNumId="109">
    <w:nsid w:val="3102BBE2"/>
    <w:multiLevelType w:val="hybridMultilevel"/>
    <w:lvl w:ilvl="0">
      <w:lvlJc w:val="left"/>
      <w:lvlText w:val="●"/>
      <w:numFmt w:val="bullet"/>
      <w:start w:val="1"/>
    </w:lvl>
  </w:abstractNum>
  <w:abstractNum w:abstractNumId="110">
    <w:nsid w:val="26A02C5E"/>
    <w:multiLevelType w:val="hybridMultilevel"/>
    <w:lvl w:ilvl="0">
      <w:lvlJc w:val="left"/>
      <w:lvlText w:val="%1."/>
      <w:numFmt w:val="upperLetter"/>
      <w:start w:val="2"/>
    </w:lvl>
    <w:lvl w:ilvl="1">
      <w:lvlJc w:val="left"/>
      <w:lvlText w:val="●"/>
      <w:numFmt w:val="bullet"/>
      <w:start w:val="1"/>
    </w:lvl>
  </w:abstractNum>
  <w:abstractNum w:abstractNumId="111">
    <w:nsid w:val="541C8153"/>
    <w:multiLevelType w:val="hybridMultilevel"/>
    <w:lvl w:ilvl="0">
      <w:lvlJc w:val="left"/>
      <w:lvlText w:val="%1."/>
      <w:numFmt w:val="upperLetter"/>
      <w:start w:val="4"/>
    </w:lvl>
  </w:abstractNum>
  <w:abstractNum w:abstractNumId="112">
    <w:nsid w:val="67906F60"/>
    <w:multiLevelType w:val="hybridMultilevel"/>
    <w:lvl w:ilvl="0">
      <w:lvlJc w:val="left"/>
      <w:lvlText w:val="%1."/>
      <w:numFmt w:val="upperLetter"/>
      <w:start w:val="5"/>
    </w:lvl>
  </w:abstractNum>
  <w:abstractNum w:abstractNumId="113">
    <w:nsid w:val="10DB9DAA"/>
    <w:multiLevelType w:val="hybridMultilevel"/>
    <w:lvl w:ilvl="0">
      <w:lvlJc w:val="left"/>
      <w:lvlText w:val="●"/>
      <w:numFmt w:val="bullet"/>
      <w:start w:val="1"/>
    </w:lvl>
  </w:abstractNum>
  <w:abstractNum w:abstractNumId="114">
    <w:nsid w:val="697D2D2"/>
    <w:multiLevelType w:val="hybridMultilevel"/>
    <w:lvl w:ilvl="0">
      <w:lvlJc w:val="left"/>
      <w:lvlText w:val="●"/>
      <w:numFmt w:val="bullet"/>
      <w:start w:val="1"/>
    </w:lvl>
  </w:abstractNum>
  <w:abstractNum w:abstractNumId="115">
    <w:nsid w:val="6D68AB2"/>
    <w:multiLevelType w:val="hybridMultilevel"/>
    <w:lvl w:ilvl="0">
      <w:lvlJc w:val="left"/>
      <w:lvlText w:val="%1."/>
      <w:numFmt w:val="upperLetter"/>
      <w:start w:val="6"/>
    </w:lvl>
  </w:abstractNum>
  <w:abstractNum w:abstractNumId="116">
    <w:nsid w:val="3A966CD0"/>
    <w:multiLevelType w:val="hybridMultilevel"/>
    <w:lvl w:ilvl="0">
      <w:lvlJc w:val="left"/>
      <w:lvlText w:val="%1."/>
      <w:numFmt w:val="upperLetter"/>
      <w:start w:val="9"/>
    </w:lvl>
  </w:abstractNum>
  <w:abstractNum w:abstractNumId="117">
    <w:nsid w:val="63F37E85"/>
    <w:multiLevelType w:val="hybridMultilevel"/>
    <w:lvl w:ilvl="0">
      <w:lvlJc w:val="left"/>
      <w:lvlText w:val="%1."/>
      <w:numFmt w:val="upperLetter"/>
      <w:start w:val="1"/>
    </w:lvl>
  </w:abstractNum>
  <w:abstractNum w:abstractNumId="118">
    <w:nsid w:val="5895F5FA"/>
    <w:multiLevelType w:val="hybridMultilevel"/>
    <w:lvl w:ilvl="0">
      <w:lvlJc w:val="left"/>
      <w:lvlText w:val="●"/>
      <w:numFmt w:val="bullet"/>
      <w:start w:val="1"/>
    </w:lvl>
  </w:abstractNum>
  <w:abstractNum w:abstractNumId="119">
    <w:nsid w:val="38A5D054"/>
    <w:multiLevelType w:val="hybridMultilevel"/>
    <w:lvl w:ilvl="0">
      <w:lvlJc w:val="left"/>
      <w:lvlText w:val="●"/>
      <w:numFmt w:val="bullet"/>
      <w:start w:val="1"/>
    </w:lvl>
  </w:abstractNum>
  <w:abstractNum w:abstractNumId="120">
    <w:nsid w:val="F3F09D8"/>
    <w:multiLevelType w:val="hybridMultilevel"/>
    <w:lvl w:ilvl="0">
      <w:lvlJc w:val="left"/>
      <w:lvlText w:val="●"/>
      <w:numFmt w:val="bullet"/>
      <w:start w:val="1"/>
    </w:lvl>
  </w:abstractNum>
  <w:abstractNum w:abstractNumId="121">
    <w:nsid w:val="4B793735"/>
    <w:multiLevelType w:val="hybridMultilevel"/>
    <w:lvl w:ilvl="0">
      <w:lvlJc w:val="left"/>
      <w:lvlText w:val="(%1)"/>
      <w:numFmt w:val="decimal"/>
      <w:start w:val="1"/>
    </w:lvl>
  </w:abstractNum>
  <w:abstractNum w:abstractNumId="122">
    <w:nsid w:val="4A10B4E8"/>
    <w:multiLevelType w:val="hybridMultilevel"/>
    <w:lvl w:ilvl="0">
      <w:lvlJc w:val="left"/>
      <w:lvlText w:val="(%1)"/>
      <w:numFmt w:val="decimal"/>
      <w:start w:val="3"/>
    </w:lvl>
  </w:abstractNum>
  <w:abstractNum w:abstractNumId="123">
    <w:nsid w:val="43D3BCD4"/>
    <w:multiLevelType w:val="hybridMultilevel"/>
    <w:lvl w:ilvl="0">
      <w:lvlJc w:val="left"/>
      <w:lvlText w:val="(%1)"/>
      <w:numFmt w:val="decimal"/>
      <w:start w:val="1"/>
    </w:lvl>
  </w:abstractNum>
  <w:abstractNum w:abstractNumId="124">
    <w:nsid w:val="4C2A7166"/>
    <w:multiLevelType w:val="hybridMultilevel"/>
    <w:lvl w:ilvl="0">
      <w:lvlJc w:val="left"/>
      <w:lvlText w:val="●"/>
      <w:numFmt w:val="bullet"/>
      <w:start w:val="1"/>
    </w:lvl>
  </w:abstractNum>
  <w:abstractNum w:abstractNumId="125">
    <w:nsid w:val="2E534A82"/>
    <w:multiLevelType w:val="hybridMultilevel"/>
    <w:lvl w:ilvl="0">
      <w:lvlJc w:val="left"/>
      <w:lvlText w:val="%1."/>
      <w:numFmt w:val="decimal"/>
      <w:start w:val="3"/>
    </w:lvl>
  </w:abstractNum>
  <w:abstractNum w:abstractNumId="126">
    <w:nsid w:val="26F2D364"/>
    <w:multiLevelType w:val="hybridMultilevel"/>
    <w:lvl w:ilvl="0">
      <w:lvlJc w:val="left"/>
      <w:lvlText w:val="●"/>
      <w:numFmt w:val="bullet"/>
      <w:start w:val="1"/>
    </w:lvl>
  </w:abstractNum>
  <w:abstractNum w:abstractNumId="127">
    <w:nsid w:val="71C1AF98"/>
    <w:multiLevelType w:val="hybridMultilevel"/>
    <w:lvl w:ilvl="0">
      <w:lvlJc w:val="left"/>
      <w:lvlText w:val="●"/>
      <w:numFmt w:val="bullet"/>
      <w:start w:val="1"/>
    </w:lvl>
  </w:abstractNum>
  <w:abstractNum w:abstractNumId="128">
    <w:nsid w:val="3D00B9D9"/>
    <w:multiLevelType w:val="hybridMultilevel"/>
    <w:lvl w:ilvl="0">
      <w:lvlJc w:val="left"/>
      <w:lvlText w:val="●"/>
      <w:numFmt w:val="bullet"/>
      <w:start w:val="1"/>
    </w:lvl>
  </w:abstractNum>
  <w:abstractNum w:abstractNumId="129">
    <w:nsid w:val="15BCABA8"/>
    <w:multiLevelType w:val="hybridMultilevel"/>
    <w:lvl w:ilvl="0">
      <w:lvlJc w:val="left"/>
      <w:lvlText w:val="*"/>
      <w:numFmt w:val="bullet"/>
      <w:start w:val="1"/>
    </w:lvl>
  </w:abstractNum>
  <w:abstractNum w:abstractNumId="130">
    <w:nsid w:val="4E0B9A87"/>
    <w:multiLevelType w:val="hybridMultilevel"/>
    <w:lvl w:ilvl="0">
      <w:lvlJc w:val="left"/>
      <w:lvlText w:val="**"/>
      <w:numFmt w:val="bullet"/>
      <w:start w:val="1"/>
    </w:lvl>
  </w:abstractNum>
  <w:abstractNum w:abstractNumId="131">
    <w:nsid w:val="434BAE75"/>
    <w:multiLevelType w:val="hybridMultilevel"/>
    <w:lvl w:ilvl="0">
      <w:lvlJc w:val="left"/>
      <w:lvlText w:val="1"/>
      <w:numFmt w:val="bullet"/>
      <w:start w:val="1"/>
    </w:lvl>
  </w:abstractNum>
  <w:abstractNum w:abstractNumId="132">
    <w:nsid w:val="4F38F265"/>
    <w:multiLevelType w:val="hybridMultilevel"/>
    <w:lvl w:ilvl="0">
      <w:lvlJc w:val="left"/>
      <w:lvlText w:val="(%1)"/>
      <w:numFmt w:val="lowerLetter"/>
      <w:start w:val="1"/>
    </w:lvl>
  </w:abstractNum>
  <w:abstractNum w:abstractNumId="133">
    <w:nsid w:val="4C502870"/>
    <w:multiLevelType w:val="hybridMultilevel"/>
    <w:lvl w:ilvl="0">
      <w:lvlJc w:val="left"/>
      <w:lvlText w:val="1"/>
      <w:numFmt w:val="bullet"/>
      <w:start w:val="1"/>
    </w:lvl>
  </w:abstractNum>
  <w:abstractNum w:abstractNumId="134">
    <w:nsid w:val="1DE8725A"/>
    <w:multiLevelType w:val="hybridMultilevel"/>
    <w:lvl w:ilvl="0">
      <w:lvlJc w:val="left"/>
      <w:lvlText w:val="(%1)"/>
      <w:numFmt w:val="lowerLetter"/>
      <w:start w:val="1"/>
    </w:lvl>
  </w:abstractNum>
  <w:abstractNum w:abstractNumId="135">
    <w:nsid w:val="6A37288A"/>
    <w:multiLevelType w:val="hybridMultilevel"/>
    <w:lvl w:ilvl="0">
      <w:lvlJc w:val="left"/>
      <w:lvlText w:val="(%1)"/>
      <w:numFmt w:val="lowerRoman"/>
      <w:start w:val="1"/>
    </w:lvl>
  </w:abstractNum>
  <w:abstractNum w:abstractNumId="136">
    <w:nsid w:val="8F8B73F"/>
    <w:multiLevelType w:val="hybridMultilevel"/>
    <w:lvl w:ilvl="0">
      <w:lvlJc w:val="left"/>
      <w:lvlText w:val="1"/>
      <w:numFmt w:val="bullet"/>
      <w:start w:val="1"/>
    </w:lvl>
  </w:abstractNum>
  <w:abstractNum w:abstractNumId="137">
    <w:nsid w:val="CA6B462"/>
    <w:multiLevelType w:val="hybridMultilevel"/>
    <w:lvl w:ilvl="0">
      <w:lvlJc w:val="left"/>
      <w:lvlText w:val="(%1)"/>
      <w:numFmt w:val="lowerLetter"/>
      <w:start w:val="2"/>
    </w:lvl>
  </w:abstractNum>
  <w:abstractNum w:abstractNumId="138">
    <w:nsid w:val="763CB680"/>
    <w:multiLevelType w:val="hybridMultilevel"/>
    <w:lvl w:ilvl="0">
      <w:lvlJc w:val="left"/>
      <w:lvlText w:val="●"/>
      <w:numFmt w:val="bullet"/>
      <w:start w:val="1"/>
    </w:lvl>
  </w:abstractNum>
  <w:abstractNum w:abstractNumId="139">
    <w:nsid w:val="15B71329"/>
    <w:multiLevelType w:val="hybridMultilevel"/>
    <w:lvl w:ilvl="0">
      <w:lvlJc w:val="left"/>
      <w:lvlText w:val="●"/>
      <w:numFmt w:val="bullet"/>
      <w:start w:val="1"/>
    </w:lvl>
  </w:abstractNum>
  <w:abstractNum w:abstractNumId="140">
    <w:nsid w:val="3DA97044"/>
    <w:multiLevelType w:val="hybridMultilevel"/>
    <w:lvl w:ilvl="0">
      <w:lvlJc w:val="left"/>
      <w:lvlText w:val="1"/>
      <w:numFmt w:val="bullet"/>
      <w:start w:val="1"/>
    </w:lvl>
  </w:abstractNum>
  <w:abstractNum w:abstractNumId="141">
    <w:nsid w:val="1CDCE2DE"/>
    <w:multiLevelType w:val="hybridMultilevel"/>
    <w:lvl w:ilvl="0">
      <w:lvlJc w:val="left"/>
      <w:lvlText w:val="(%1)"/>
      <w:numFmt w:val="lowerLetter"/>
      <w:start w:val="2"/>
    </w:lvl>
    <w:lvl w:ilvl="1">
      <w:lvlJc w:val="left"/>
      <w:lvlText w:val="●"/>
      <w:numFmt w:val="bullet"/>
      <w:start w:val="1"/>
    </w:lvl>
  </w:abstractNum>
  <w:abstractNum w:abstractNumId="142">
    <w:nsid w:val="69D3947C"/>
    <w:multiLevelType w:val="hybridMultilevel"/>
    <w:lvl w:ilvl="0">
      <w:lvlJc w:val="left"/>
      <w:lvlText w:val="●"/>
      <w:numFmt w:val="bullet"/>
      <w:start w:val="1"/>
    </w:lvl>
  </w:abstractNum>
  <w:abstractNum w:abstractNumId="143">
    <w:nsid w:val="2539DFA5"/>
    <w:multiLevelType w:val="hybridMultilevel"/>
    <w:lvl w:ilvl="0">
      <w:lvlJc w:val="left"/>
      <w:lvlText w:val="●"/>
      <w:numFmt w:val="bullet"/>
      <w:start w:val="1"/>
    </w:lvl>
  </w:abstractNum>
  <w:abstractNum w:abstractNumId="144">
    <w:nsid w:val="2DB88089"/>
    <w:multiLevelType w:val="hybridMultilevel"/>
    <w:lvl w:ilvl="0">
      <w:lvlJc w:val="left"/>
      <w:lvlText w:val="1"/>
      <w:numFmt w:val="bullet"/>
      <w:start w:val="1"/>
    </w:lvl>
  </w:abstractNum>
  <w:abstractNum w:abstractNumId="145">
    <w:nsid w:val="706B674E"/>
    <w:multiLevelType w:val="hybridMultilevel"/>
    <w:lvl w:ilvl="0">
      <w:lvlJc w:val="left"/>
      <w:lvlText w:val="(%1)"/>
      <w:numFmt w:val="lowerLetter"/>
      <w:start w:val="2"/>
    </w:lvl>
  </w:abstractNum>
  <w:abstractNum w:abstractNumId="146">
    <w:nsid w:val="2C106A57"/>
    <w:multiLevelType w:val="hybridMultilevel"/>
    <w:lvl w:ilvl="0">
      <w:lvlJc w:val="left"/>
      <w:lvlText w:val="2"/>
      <w:numFmt w:val="bullet"/>
      <w:start w:val="1"/>
    </w:lvl>
  </w:abstractNum>
  <w:abstractNum w:abstractNumId="147">
    <w:nsid w:val="684EED59"/>
    <w:multiLevelType w:val="hybridMultilevel"/>
    <w:lvl w:ilvl="0">
      <w:lvlJc w:val="left"/>
      <w:lvlText w:val="(%1)"/>
      <w:numFmt w:val="lowerLetter"/>
      <w:start w:val="1"/>
    </w:lvl>
  </w:abstractNum>
  <w:abstractNum w:abstractNumId="148">
    <w:nsid w:val="545EE5D3"/>
    <w:multiLevelType w:val="hybridMultilevel"/>
    <w:lvl w:ilvl="0">
      <w:lvlJc w:val="left"/>
      <w:lvlText w:val="2"/>
      <w:numFmt w:val="bullet"/>
      <w:start w:val="1"/>
    </w:lvl>
  </w:abstractNum>
  <w:abstractNum w:abstractNumId="149">
    <w:nsid w:val="4A66051"/>
    <w:multiLevelType w:val="hybridMultilevel"/>
    <w:lvl w:ilvl="0">
      <w:lvlJc w:val="left"/>
      <w:lvlText w:val="(%1)"/>
      <w:numFmt w:val="lowerLetter"/>
      <w:start w:val="2"/>
    </w:lvl>
  </w:abstractNum>
  <w:abstractNum w:abstractNumId="150">
    <w:nsid w:val="20F4BDAD"/>
    <w:multiLevelType w:val="hybridMultilevel"/>
    <w:lvl w:ilvl="0">
      <w:lvlJc w:val="left"/>
      <w:lvlText w:val="2"/>
      <w:numFmt w:val="bullet"/>
      <w:start w:val="1"/>
    </w:lvl>
  </w:abstractNum>
  <w:abstractNum w:abstractNumId="151">
    <w:nsid w:val="639DEFAC"/>
    <w:multiLevelType w:val="hybridMultilevel"/>
    <w:lvl w:ilvl="0">
      <w:lvlJc w:val="left"/>
      <w:lvlText w:val="(%1)"/>
      <w:numFmt w:val="lowerLetter"/>
      <w:start w:val="4"/>
    </w:lvl>
  </w:abstractNum>
  <w:abstractNum w:abstractNumId="152">
    <w:nsid w:val="501F9786"/>
    <w:multiLevelType w:val="hybridMultilevel"/>
    <w:lvl w:ilvl="0">
      <w:lvlJc w:val="left"/>
      <w:lvlText w:val="(%1)"/>
      <w:numFmt w:val="lowerRoman"/>
      <w:start w:val="1"/>
    </w:lvl>
  </w:abstractNum>
  <w:abstractNum w:abstractNumId="153">
    <w:nsid w:val="6B057295"/>
    <w:multiLevelType w:val="hybridMultilevel"/>
    <w:lvl w:ilvl="0">
      <w:lvlJc w:val="left"/>
      <w:lvlText w:val="2"/>
      <w:numFmt w:val="bullet"/>
      <w:start w:val="1"/>
    </w:lvl>
  </w:abstractNum>
  <w:abstractNum w:abstractNumId="154">
    <w:nsid w:val="2771AC80"/>
    <w:multiLevelType w:val="hybridMultilevel"/>
    <w:lvl w:ilvl="0">
      <w:lvlJc w:val="left"/>
      <w:lvlText w:val="(%1)"/>
      <w:numFmt w:val="lowerLetter"/>
      <w:start w:val="5"/>
    </w:lvl>
  </w:abstractNum>
  <w:abstractNum w:abstractNumId="155">
    <w:nsid w:val="1C4A08EC"/>
    <w:multiLevelType w:val="hybridMultilevel"/>
    <w:lvl w:ilvl="0">
      <w:lvlJc w:val="left"/>
      <w:lvlText w:val="(%1)"/>
      <w:numFmt w:val="lowerRoman"/>
      <w:start w:val="2"/>
    </w:lvl>
  </w:abstractNum>
  <w:abstractNum w:abstractNumId="156">
    <w:nsid w:val="1958BD17"/>
    <w:multiLevelType w:val="hybridMultilevel"/>
    <w:lvl w:ilvl="0">
      <w:lvlJc w:val="left"/>
      <w:lvlText w:val="(%1)"/>
      <w:numFmt w:val="lowerLetter"/>
      <w:start w:val="6"/>
    </w:lvl>
  </w:abstractNum>
  <w:abstractNum w:abstractNumId="157">
    <w:nsid w:val="4E647FE4"/>
    <w:multiLevelType w:val="hybridMultilevel"/>
    <w:lvl w:ilvl="0">
      <w:lvlJc w:val="left"/>
      <w:lvlText w:val="2"/>
      <w:numFmt w:val="bullet"/>
      <w:start w:val="1"/>
    </w:lvl>
  </w:abstractNum>
  <w:abstractNum w:abstractNumId="158">
    <w:nsid w:val="E0BB885"/>
    <w:multiLevelType w:val="hybridMultilevel"/>
    <w:lvl w:ilvl="0">
      <w:lvlJc w:val="left"/>
      <w:lvlText w:val="(%1)"/>
      <w:numFmt w:val="lowerLetter"/>
      <w:start w:val="8"/>
    </w:lvl>
  </w:abstractNum>
  <w:abstractNum w:abstractNumId="159">
    <w:nsid w:val="565976F1"/>
    <w:multiLevelType w:val="hybridMultilevel"/>
    <w:lvl w:ilvl="0">
      <w:lvlJc w:val="left"/>
      <w:lvlText w:val="2"/>
      <w:numFmt w:val="bullet"/>
      <w:start w:val="1"/>
    </w:lvl>
  </w:abstractNum>
  <w:abstractNum w:abstractNumId="160">
    <w:nsid w:val="64212B8C"/>
    <w:multiLevelType w:val="hybridMultilevel"/>
    <w:lvl w:ilvl="0">
      <w:lvlJc w:val="left"/>
      <w:lvlText w:val="(%1)"/>
      <w:numFmt w:val="lowerLetter"/>
      <w:start w:val="10"/>
    </w:lvl>
  </w:abstractNum>
  <w:abstractNum w:abstractNumId="161">
    <w:nsid w:val="5C17530C"/>
    <w:multiLevelType w:val="hybridMultilevel"/>
    <w:lvl w:ilvl="0">
      <w:lvlJc w:val="left"/>
      <w:lvlText w:val="2"/>
      <w:numFmt w:val="bullet"/>
      <w:start w:val="1"/>
    </w:lvl>
  </w:abstractNum>
  <w:abstractNum w:abstractNumId="162">
    <w:nsid w:val="19A52566"/>
    <w:multiLevelType w:val="hybridMultilevel"/>
    <w:lvl w:ilvl="0">
      <w:lvlJc w:val="left"/>
      <w:lvlText w:val="(%1)"/>
      <w:numFmt w:val="lowerLetter"/>
      <w:start w:val="11"/>
    </w:lvl>
    <w:lvl w:ilvl="1">
      <w:lvlJc w:val="left"/>
      <w:lvlText w:val="(%2)"/>
      <w:numFmt w:val="lowerLetter"/>
      <w:start w:val="9"/>
    </w:lvl>
  </w:abstractNum>
  <w:abstractNum w:abstractNumId="163">
    <w:nsid w:val="335A1DF1"/>
    <w:multiLevelType w:val="hybridMultilevel"/>
    <w:lvl w:ilvl="0">
      <w:lvlJc w:val="left"/>
      <w:lvlText w:val="(%1)"/>
      <w:numFmt w:val="lowerRoman"/>
      <w:start w:val="2"/>
    </w:lvl>
  </w:abstractNum>
  <w:abstractNum w:abstractNumId="164">
    <w:nsid w:val="28677B7C"/>
    <w:multiLevelType w:val="hybridMultilevel"/>
    <w:lvl w:ilvl="0">
      <w:lvlJc w:val="left"/>
      <w:lvlText w:val="(%1)"/>
      <w:numFmt w:val="lowerRoman"/>
      <w:start w:val="3"/>
    </w:lvl>
  </w:abstractNum>
  <w:abstractNum w:abstractNumId="165">
    <w:nsid w:val="378D97C0"/>
    <w:multiLevelType w:val="hybridMultilevel"/>
    <w:lvl w:ilvl="0">
      <w:lvlJc w:val="left"/>
      <w:lvlText w:val="(%1)"/>
      <w:numFmt w:val="lowerRoman"/>
      <w:start w:val="4"/>
    </w:lvl>
  </w:abstractNum>
  <w:abstractNum w:abstractNumId="166">
    <w:nsid w:val="1D91467C"/>
    <w:multiLevelType w:val="hybridMultilevel"/>
    <w:lvl w:ilvl="0">
      <w:lvlJc w:val="left"/>
      <w:lvlText w:val="2"/>
      <w:numFmt w:val="bullet"/>
      <w:start w:val="1"/>
    </w:lvl>
  </w:abstractNum>
  <w:abstractNum w:abstractNumId="167">
    <w:nsid w:val="316032BB"/>
    <w:multiLevelType w:val="hybridMultilevel"/>
    <w:lvl w:ilvl="0">
      <w:lvlJc w:val="left"/>
      <w:lvlText w:val="(%1)"/>
      <w:numFmt w:val="lowerLetter"/>
      <w:start w:val="12"/>
    </w:lvl>
  </w:abstractNum>
  <w:abstractNum w:abstractNumId="168">
    <w:nsid w:val="44344C22"/>
    <w:multiLevelType w:val="hybridMultilevel"/>
    <w:lvl w:ilvl="0">
      <w:lvlJc w:val="left"/>
      <w:lvlText w:val="(%1)"/>
      <w:numFmt w:val="lowerRoman"/>
      <w:start w:val="1"/>
    </w:lvl>
  </w:abstractNum>
  <w:abstractNum w:abstractNumId="169">
    <w:nsid w:val="13CDFCFC"/>
    <w:multiLevelType w:val="hybridMultilevel"/>
    <w:lvl w:ilvl="0">
      <w:lvlJc w:val="left"/>
      <w:lvlText w:val="(%1)"/>
      <w:numFmt w:val="lowerRoman"/>
      <w:start w:val="3"/>
    </w:lvl>
  </w:abstractNum>
  <w:abstractNum w:abstractNumId="170">
    <w:nsid w:val="471745E4"/>
    <w:multiLevelType w:val="hybridMultilevel"/>
    <w:lvl w:ilvl="0">
      <w:lvlJc w:val="left"/>
      <w:lvlText w:val="2"/>
      <w:numFmt w:val="bullet"/>
      <w:start w:val="1"/>
    </w:lvl>
  </w:abstractNum>
  <w:abstractNum w:abstractNumId="171">
    <w:nsid w:val="1DDBC66"/>
    <w:multiLevelType w:val="hybridMultilevel"/>
    <w:lvl w:ilvl="0">
      <w:lvlJc w:val="left"/>
      <w:lvlText w:val="(%1)"/>
      <w:numFmt w:val="lowerLetter"/>
      <w:start w:val="14"/>
    </w:lvl>
  </w:abstractNum>
  <w:abstractNum w:abstractNumId="172">
    <w:nsid w:val="30AADFDA"/>
    <w:multiLevelType w:val="hybridMultilevel"/>
    <w:lvl w:ilvl="0">
      <w:lvlJc w:val="left"/>
      <w:lvlText w:val="(%1)"/>
      <w:numFmt w:val="lowerLetter"/>
      <w:start w:val="15"/>
    </w:lvl>
  </w:abstractNum>
  <w:abstractNum w:abstractNumId="173">
    <w:nsid w:val="30EADA61"/>
    <w:multiLevelType w:val="hybridMultilevel"/>
    <w:lvl w:ilvl="0">
      <w:lvlJc w:val="left"/>
      <w:lvlText w:val="2"/>
      <w:numFmt w:val="bullet"/>
      <w:start w:val="1"/>
    </w:lvl>
  </w:abstractNum>
  <w:abstractNum w:abstractNumId="174">
    <w:nsid w:val="27179C0B"/>
    <w:multiLevelType w:val="hybridMultilevel"/>
    <w:lvl w:ilvl="0">
      <w:lvlJc w:val="left"/>
      <w:lvlText w:val="(%1)"/>
      <w:numFmt w:val="lowerLetter"/>
      <w:start w:val="17"/>
    </w:lvl>
  </w:abstractNum>
  <w:abstractNum w:abstractNumId="175">
    <w:nsid w:val="5E636063"/>
    <w:multiLevelType w:val="hybridMultilevel"/>
    <w:lvl w:ilvl="0">
      <w:lvlJc w:val="left"/>
      <w:lvlText w:val="2"/>
      <w:numFmt w:val="bullet"/>
      <w:start w:val="1"/>
    </w:lvl>
  </w:abstractNum>
  <w:abstractNum w:abstractNumId="176">
    <w:nsid w:val="215641AF"/>
    <w:multiLevelType w:val="hybridMultilevel"/>
    <w:lvl w:ilvl="0">
      <w:lvlJc w:val="left"/>
      <w:lvlText w:val="(%1)"/>
      <w:numFmt w:val="lowerLetter"/>
      <w:start w:val="18"/>
    </w:lvl>
  </w:abstractNum>
  <w:abstractNum w:abstractNumId="177">
    <w:nsid w:val="53280662"/>
    <w:multiLevelType w:val="hybridMultilevel"/>
    <w:lvl w:ilvl="0">
      <w:lvlJc w:val="left"/>
      <w:lvlText w:val="2"/>
      <w:numFmt w:val="bullet"/>
      <w:start w:val="1"/>
    </w:lvl>
  </w:abstractNum>
  <w:abstractNum w:abstractNumId="178">
    <w:nsid w:val="46B24DBC"/>
    <w:multiLevelType w:val="hybridMultilevel"/>
    <w:lvl w:ilvl="0">
      <w:lvlJc w:val="left"/>
      <w:lvlText w:val="(%1)"/>
      <w:numFmt w:val="lowerLetter"/>
      <w:start w:val="20"/>
    </w:lvl>
  </w:abstractNum>
  <w:abstractNum w:abstractNumId="179">
    <w:nsid w:val="75B52783"/>
    <w:multiLevelType w:val="hybridMultilevel"/>
    <w:lvl w:ilvl="0">
      <w:lvlJc w:val="left"/>
      <w:lvlText w:val="2"/>
      <w:numFmt w:val="bullet"/>
      <w:start w:val="1"/>
    </w:lvl>
  </w:abstractNum>
  <w:abstractNum w:abstractNumId="180">
    <w:nsid w:val="57CE66B4"/>
    <w:multiLevelType w:val="hybridMultilevel"/>
    <w:lvl w:ilvl="0">
      <w:lvlJc w:val="left"/>
      <w:lvlText w:val="(%1)"/>
      <w:numFmt w:val="lowerRoman"/>
      <w:start w:val="5"/>
    </w:lvl>
  </w:abstractNum>
  <w:abstractNum w:abstractNumId="181">
    <w:nsid w:val="67A70B69"/>
    <w:multiLevelType w:val="hybridMultilevel"/>
    <w:lvl w:ilvl="0">
      <w:lvlJc w:val="left"/>
      <w:lvlText w:val="2"/>
      <w:numFmt w:val="bullet"/>
      <w:start w:val="1"/>
    </w:lvl>
  </w:abstractNum>
  <w:abstractNum w:abstractNumId="182">
    <w:nsid w:val="5953172F"/>
    <w:multiLevelType w:val="hybridMultilevel"/>
    <w:lvl w:ilvl="0">
      <w:lvlJc w:val="left"/>
      <w:lvlText w:val="(%1)"/>
      <w:numFmt w:val="lowerRoman"/>
      <w:start w:val="5"/>
    </w:lvl>
  </w:abstractNum>
  <w:abstractNum w:abstractNumId="183">
    <w:nsid w:val="27EDFE3A"/>
    <w:multiLevelType w:val="hybridMultilevel"/>
    <w:lvl w:ilvl="0">
      <w:lvlJc w:val="left"/>
      <w:lvlText w:val="2"/>
      <w:numFmt w:val="bullet"/>
      <w:start w:val="1"/>
    </w:lvl>
  </w:abstractNum>
  <w:abstractNum w:abstractNumId="184">
    <w:nsid w:val="52AC7DFF"/>
    <w:multiLevelType w:val="hybridMultilevel"/>
    <w:lvl w:ilvl="0">
      <w:lvlJc w:val="left"/>
      <w:lvlText w:val="(%1)"/>
      <w:numFmt w:val="lowerRoman"/>
      <w:start w:val="5"/>
    </w:lvl>
  </w:abstractNum>
  <w:abstractNum w:abstractNumId="185">
    <w:nsid w:val="C4C3AF"/>
    <w:multiLevelType w:val="hybridMultilevel"/>
    <w:lvl w:ilvl="0">
      <w:lvlJc w:val="left"/>
      <w:lvlText w:val="2"/>
      <w:numFmt w:val="bullet"/>
      <w:start w:val="1"/>
    </w:lvl>
  </w:abstractNum>
  <w:abstractNum w:abstractNumId="186">
    <w:nsid w:val="44380727"/>
    <w:multiLevelType w:val="hybridMultilevel"/>
    <w:lvl w:ilvl="0">
      <w:lvlJc w:val="left"/>
      <w:lvlText w:val="(%1)"/>
      <w:numFmt w:val="lowerLetter"/>
      <w:start w:val="22"/>
    </w:lvl>
    <w:lvl w:ilvl="1">
      <w:lvlJc w:val="left"/>
      <w:lvlText w:val="(%2)"/>
      <w:numFmt w:val="lowerRoman"/>
      <w:start w:val="1"/>
    </w:lvl>
  </w:abstractNum>
  <w:abstractNum w:abstractNumId="187">
    <w:nsid w:val="6C053B16"/>
    <w:multiLevelType w:val="hybridMultilevel"/>
    <w:lvl w:ilvl="0">
      <w:lvlJc w:val="left"/>
      <w:lvlText w:val="2"/>
      <w:numFmt w:val="bullet"/>
      <w:start w:val="1"/>
    </w:lvl>
  </w:abstractNum>
  <w:abstractNum w:abstractNumId="188">
    <w:nsid w:val="4F294393"/>
    <w:multiLevelType w:val="hybridMultilevel"/>
    <w:lvl w:ilvl="0">
      <w:lvlJc w:val="left"/>
      <w:lvlText w:val="(%1)"/>
      <w:numFmt w:val="lowerRoman"/>
      <w:start w:val="10"/>
    </w:lvl>
  </w:abstractNum>
  <w:abstractNum w:abstractNumId="189">
    <w:nsid w:val="5243BFAC"/>
    <w:multiLevelType w:val="hybridMultilevel"/>
    <w:lvl w:ilvl="0">
      <w:lvlJc w:val="left"/>
      <w:lvlText w:val="(%1)"/>
      <w:numFmt w:val="lowerRoman"/>
      <w:start w:val="2"/>
    </w:lvl>
  </w:abstractNum>
  <w:abstractNum w:abstractNumId="190">
    <w:nsid w:val="425EB207"/>
    <w:multiLevelType w:val="hybridMultilevel"/>
    <w:lvl w:ilvl="0">
      <w:lvlJc w:val="left"/>
      <w:lvlText w:val="(%1)"/>
      <w:numFmt w:val="lowerLetter"/>
      <w:start w:val="25"/>
    </w:lvl>
  </w:abstractNum>
  <w:abstractNum w:abstractNumId="191">
    <w:nsid w:val="334A6F1F"/>
    <w:multiLevelType w:val="hybridMultilevel"/>
    <w:lvl w:ilvl="0">
      <w:lvlJc w:val="left"/>
      <w:lvlText w:val="(%1)"/>
      <w:numFmt w:val="lowerLetter"/>
      <w:start w:val="27"/>
    </w:lvl>
  </w:abstractNum>
  <w:abstractNum w:abstractNumId="192">
    <w:nsid w:val="2E5B12B8"/>
    <w:multiLevelType w:val="hybridMultilevel"/>
    <w:lvl w:ilvl="0">
      <w:lvlJc w:val="left"/>
      <w:lvlText w:val="2"/>
      <w:numFmt w:val="bullet"/>
      <w:start w:val="1"/>
    </w:lvl>
  </w:abstractNum>
  <w:abstractNum w:abstractNumId="193">
    <w:nsid w:val="5C03D76D"/>
    <w:multiLevelType w:val="hybridMultilevel"/>
    <w:lvl w:ilvl="0">
      <w:lvlJc w:val="left"/>
      <w:lvlText w:val="(%1)"/>
      <w:numFmt w:val="lowerLetter"/>
      <w:start w:val="27"/>
    </w:lvl>
  </w:abstractNum>
  <w:abstractNum w:abstractNumId="194">
    <w:nsid w:val="66A48D11"/>
    <w:multiLevelType w:val="hybridMultilevel"/>
    <w:lvl w:ilvl="0">
      <w:lvlJc w:val="left"/>
      <w:lvlText w:val="2"/>
      <w:numFmt w:val="bullet"/>
      <w:start w:val="1"/>
    </w:lvl>
  </w:abstractNum>
  <w:abstractNum w:abstractNumId="195">
    <w:nsid w:val="56C28E34"/>
    <w:multiLevelType w:val="hybridMultilevel"/>
    <w:lvl w:ilvl="0">
      <w:lvlJc w:val="left"/>
      <w:lvlText w:val="2"/>
      <w:numFmt w:val="bullet"/>
      <w:start w:val="1"/>
    </w:lvl>
  </w:abstractNum>
  <w:abstractNum w:abstractNumId="196">
    <w:nsid w:val="13916F2D"/>
    <w:multiLevelType w:val="hybridMultilevel"/>
    <w:lvl w:ilvl="0">
      <w:lvlJc w:val="left"/>
      <w:lvlText w:val="2"/>
      <w:numFmt w:val="bullet"/>
      <w:start w:val="1"/>
    </w:lvl>
  </w:abstractNum>
  <w:abstractNum w:abstractNumId="197">
    <w:nsid w:val="435D38D"/>
    <w:multiLevelType w:val="hybridMultilevel"/>
    <w:lvl w:ilvl="0">
      <w:lvlJc w:val="left"/>
      <w:lvlText w:val="2"/>
      <w:numFmt w:val="bullet"/>
      <w:start w:val="1"/>
    </w:lvl>
  </w:abstractNum>
  <w:abstractNum w:abstractNumId="198">
    <w:nsid w:val="822C0EF"/>
    <w:multiLevelType w:val="hybridMultilevel"/>
    <w:lvl w:ilvl="0">
      <w:lvlJc w:val="left"/>
      <w:lvlText w:val="3"/>
      <w:numFmt w:val="bullet"/>
      <w:start w:val="1"/>
    </w:lvl>
  </w:abstractNum>
  <w:abstractNum w:abstractNumId="199">
    <w:nsid w:val="57C5BB4F"/>
    <w:multiLevelType w:val="hybridMultilevel"/>
    <w:lvl w:ilvl="0">
      <w:lvlJc w:val="left"/>
      <w:lvlText w:val="(%1)"/>
      <w:numFmt w:val="lowerLetter"/>
      <w:start w:val="1"/>
    </w:lvl>
  </w:abstractNum>
  <w:abstractNum w:abstractNumId="200">
    <w:nsid w:val="1803D089"/>
    <w:multiLevelType w:val="hybridMultilevel"/>
    <w:lvl w:ilvl="0">
      <w:lvlJc w:val="left"/>
      <w:lvlText w:val="3"/>
      <w:numFmt w:val="bullet"/>
      <w:start w:val="1"/>
    </w:lvl>
  </w:abstractNum>
  <w:abstractNum w:abstractNumId="201">
    <w:nsid w:val="4F3A06D4"/>
    <w:multiLevelType w:val="hybridMultilevel"/>
    <w:lvl w:ilvl="0">
      <w:lvlJc w:val="left"/>
      <w:lvlText w:val="(%1)"/>
      <w:numFmt w:val="lowerLetter"/>
      <w:start w:val="1"/>
    </w:lvl>
    <w:lvl w:ilvl="1">
      <w:lvlJc w:val="left"/>
      <w:lvlText w:val="●"/>
      <w:numFmt w:val="bullet"/>
      <w:start w:val="1"/>
    </w:lvl>
  </w:abstractNum>
  <w:abstractNum w:abstractNumId="202">
    <w:nsid w:val="59A377B6"/>
    <w:multiLevelType w:val="hybridMultilevel"/>
    <w:lvl w:ilvl="0">
      <w:lvlJc w:val="left"/>
      <w:lvlText w:val="3"/>
      <w:numFmt w:val="bullet"/>
      <w:start w:val="1"/>
    </w:lvl>
  </w:abstractNum>
  <w:abstractNum w:abstractNumId="203">
    <w:nsid w:val="48AEB063"/>
    <w:multiLevelType w:val="hybridMultilevel"/>
    <w:lvl w:ilvl="0">
      <w:lvlJc w:val="left"/>
      <w:lvlText w:val="(%1)"/>
      <w:numFmt w:val="lowerLetter"/>
      <w:start w:val="1"/>
    </w:lvl>
  </w:abstractNum>
  <w:abstractNum w:abstractNumId="204">
    <w:nsid w:val="24E135"/>
    <w:multiLevelType w:val="hybridMultilevel"/>
    <w:lvl w:ilvl="0">
      <w:lvlJc w:val="left"/>
      <w:lvlText w:val="3"/>
      <w:numFmt w:val="bullet"/>
      <w:start w:val="1"/>
    </w:lvl>
  </w:abstractNum>
  <w:abstractNum w:abstractNumId="205">
    <w:nsid w:val="BB13C1"/>
    <w:multiLevelType w:val="hybridMultilevel"/>
    <w:lvl w:ilvl="0">
      <w:lvlJc w:val="left"/>
      <w:lvlText w:val="(%1)"/>
      <w:numFmt w:val="lowerLetter"/>
      <w:start w:val="1"/>
    </w:lvl>
  </w:abstractNum>
  <w:abstractNum w:abstractNumId="206">
    <w:nsid w:val="271210C7"/>
    <w:multiLevelType w:val="hybridMultilevel"/>
    <w:lvl w:ilvl="0">
      <w:lvlJc w:val="left"/>
      <w:lvlText w:val="3"/>
      <w:numFmt w:val="bullet"/>
      <w:start w:val="1"/>
    </w:lvl>
  </w:abstractNum>
  <w:abstractNum w:abstractNumId="207">
    <w:nsid w:val="217B22E4"/>
    <w:multiLevelType w:val="hybridMultilevel"/>
    <w:lvl w:ilvl="0">
      <w:lvlJc w:val="left"/>
      <w:lvlText w:val="(%1)"/>
      <w:numFmt w:val="lowerLetter"/>
      <w:start w:val="2"/>
    </w:lvl>
  </w:abstractNum>
  <w:abstractNum w:abstractNumId="208">
    <w:nsid w:val="53E31A24"/>
    <w:multiLevelType w:val="hybridMultilevel"/>
    <w:lvl w:ilvl="0">
      <w:lvlJc w:val="left"/>
      <w:lvlText w:val="3"/>
      <w:numFmt w:val="bullet"/>
      <w:start w:val="1"/>
    </w:lvl>
  </w:abstractNum>
  <w:abstractNum w:abstractNumId="209">
    <w:nsid w:val="6DC45E83"/>
    <w:multiLevelType w:val="hybridMultilevel"/>
    <w:lvl w:ilvl="0">
      <w:lvlJc w:val="left"/>
      <w:lvlText w:val="(%1)"/>
      <w:numFmt w:val="lowerLetter"/>
      <w:start w:val="2"/>
    </w:lvl>
    <w:lvl w:ilvl="1">
      <w:lvlJc w:val="left"/>
      <w:lvlText w:val="(%2)"/>
      <w:numFmt w:val="lowerRoman"/>
      <w:start w:val="1"/>
    </w:lvl>
  </w:abstractNum>
  <w:abstractNum w:abstractNumId="210">
    <w:nsid w:val="17304A67"/>
    <w:multiLevelType w:val="hybridMultilevel"/>
    <w:lvl w:ilvl="0">
      <w:lvlJc w:val="left"/>
      <w:lvlText w:val="3"/>
      <w:numFmt w:val="bullet"/>
      <w:start w:val="1"/>
    </w:lvl>
  </w:abstractNum>
  <w:abstractNum w:abstractNumId="211">
    <w:nsid w:val="2BB180D8"/>
    <w:multiLevelType w:val="hybridMultilevel"/>
    <w:lvl w:ilvl="0">
      <w:lvlJc w:val="left"/>
      <w:lvlText w:val="(%1)"/>
      <w:numFmt w:val="lowerLetter"/>
      <w:start w:val="3"/>
    </w:lvl>
    <w:lvl w:ilvl="1">
      <w:lvlJc w:val="left"/>
      <w:lvlText w:val="(%2)"/>
      <w:numFmt w:val="lowerRoman"/>
      <w:start w:val="1"/>
    </w:lvl>
  </w:abstractNum>
  <w:abstractNum w:abstractNumId="212">
    <w:nsid w:val="556B69ED"/>
    <w:multiLevelType w:val="hybridMultilevel"/>
    <w:lvl w:ilvl="0">
      <w:lvlJc w:val="left"/>
      <w:lvlText w:val="(%1)"/>
      <w:numFmt w:val="lowerRoman"/>
      <w:start w:val="2"/>
    </w:lvl>
  </w:abstractNum>
  <w:abstractNum w:abstractNumId="213">
    <w:nsid w:val="70836196"/>
    <w:multiLevelType w:val="hybridMultilevel"/>
    <w:lvl w:ilvl="0">
      <w:lvlJc w:val="left"/>
      <w:lvlText w:val="3"/>
      <w:numFmt w:val="bullet"/>
      <w:start w:val="1"/>
    </w:lvl>
  </w:abstractNum>
  <w:abstractNum w:abstractNumId="214">
    <w:nsid w:val="539F7F12"/>
    <w:multiLevelType w:val="hybridMultilevel"/>
    <w:lvl w:ilvl="0">
      <w:lvlJc w:val="left"/>
      <w:lvlText w:val="(%1)"/>
      <w:numFmt w:val="lowerLetter"/>
      <w:start w:val="3"/>
    </w:lvl>
    <w:lvl w:ilvl="1">
      <w:lvlJc w:val="left"/>
      <w:lvlText w:val="(%2)"/>
      <w:numFmt w:val="lowerRoman"/>
      <w:start w:val="2"/>
    </w:lvl>
  </w:abstractNum>
  <w:abstractNum w:abstractNumId="215">
    <w:nsid w:val="2817E7EC"/>
    <w:multiLevelType w:val="hybridMultilevel"/>
    <w:lvl w:ilvl="0">
      <w:lvlJc w:val="left"/>
      <w:lvlText w:val="(%1)"/>
      <w:numFmt w:val="lowerLetter"/>
      <w:start w:val="4"/>
    </w:lvl>
    <w:lvl w:ilvl="1">
      <w:lvlJc w:val="left"/>
      <w:lvlText w:val="(%2)"/>
      <w:numFmt w:val="lowerLetter"/>
      <w:start w:val="9"/>
    </w:lvl>
  </w:abstractNum>
  <w:abstractNum w:abstractNumId="216">
    <w:nsid w:val="71482545"/>
    <w:multiLevelType w:val="hybridMultilevel"/>
    <w:lvl w:ilvl="0">
      <w:lvlJc w:val="left"/>
      <w:lvlText w:val="3"/>
      <w:numFmt w:val="bullet"/>
      <w:start w:val="1"/>
    </w:lvl>
  </w:abstractNum>
  <w:abstractNum w:abstractNumId="217">
    <w:nsid w:val="17D78639"/>
    <w:multiLevelType w:val="hybridMultilevel"/>
    <w:lvl w:ilvl="0">
      <w:lvlJc w:val="left"/>
      <w:lvlText w:val="(%1)"/>
      <w:numFmt w:val="lowerLetter"/>
      <w:start w:val="4"/>
    </w:lvl>
    <w:lvl w:ilvl="1">
      <w:lvlJc w:val="left"/>
      <w:lvlText w:val="(%2)"/>
      <w:numFmt w:val="lowerLetter"/>
      <w:start w:val="35"/>
    </w:lvl>
  </w:abstractNum>
  <w:abstractNum w:abstractNumId="218">
    <w:nsid w:val="141D2302"/>
    <w:multiLevelType w:val="hybridMultilevel"/>
    <w:lvl w:ilvl="0">
      <w:lvlJc w:val="left"/>
      <w:lvlText w:val="(%1)"/>
      <w:numFmt w:val="lowerRoman"/>
      <w:start w:val="3"/>
    </w:lvl>
  </w:abstractNum>
  <w:abstractNum w:abstractNumId="219">
    <w:nsid w:val="407168D8"/>
    <w:multiLevelType w:val="hybridMultilevel"/>
    <w:lvl w:ilvl="0">
      <w:lvlJc w:val="left"/>
      <w:lvlText w:val="4"/>
      <w:numFmt w:val="bullet"/>
      <w:start w:val="1"/>
    </w:lvl>
  </w:abstractNum>
  <w:abstractNum w:abstractNumId="220">
    <w:nsid w:val="6A1B45E5"/>
    <w:multiLevelType w:val="hybridMultilevel"/>
    <w:lvl w:ilvl="0">
      <w:lvlJc w:val="left"/>
      <w:lvlText w:val="(%1)"/>
      <w:numFmt w:val="lowerLetter"/>
      <w:start w:val="1"/>
    </w:lvl>
  </w:abstractNum>
  <w:abstractNum w:abstractNumId="221">
    <w:nsid w:val="567BD50A"/>
    <w:multiLevelType w:val="hybridMultilevel"/>
    <w:lvl w:ilvl="0">
      <w:lvlJc w:val="left"/>
      <w:lvlText w:val="4"/>
      <w:numFmt w:val="bullet"/>
      <w:start w:val="1"/>
    </w:lvl>
  </w:abstractNum>
  <w:abstractNum w:abstractNumId="222">
    <w:nsid w:val="73BBD7F8"/>
    <w:multiLevelType w:val="hybridMultilevel"/>
    <w:lvl w:ilvl="0">
      <w:lvlJc w:val="left"/>
      <w:lvlText w:val="(%1)"/>
      <w:numFmt w:val="lowerLetter"/>
      <w:start w:val="1"/>
    </w:lvl>
  </w:abstractNum>
  <w:abstractNum w:abstractNumId="223">
    <w:nsid w:val="1876589D"/>
    <w:multiLevelType w:val="hybridMultilevel"/>
    <w:lvl w:ilvl="0">
      <w:lvlJc w:val="left"/>
      <w:lvlText w:val="(%1)"/>
      <w:numFmt w:val="lowerRoman"/>
      <w:start w:val="1"/>
    </w:lvl>
  </w:abstractNum>
  <w:abstractNum w:abstractNumId="224">
    <w:nsid w:val="327FAC77"/>
    <w:multiLevelType w:val="hybridMultilevel"/>
    <w:lvl w:ilvl="0">
      <w:lvlJc w:val="left"/>
      <w:lvlText w:val="(%1)"/>
      <w:numFmt w:val="lowerRoman"/>
      <w:start w:val="1"/>
    </w:lvl>
  </w:abstractNum>
  <w:abstractNum w:abstractNumId="225">
    <w:nsid w:val="5A606509"/>
    <w:multiLevelType w:val="hybridMultilevel"/>
    <w:lvl w:ilvl="0">
      <w:lvlJc w:val="left"/>
      <w:lvlText w:val="4"/>
      <w:numFmt w:val="bullet"/>
      <w:start w:val="1"/>
    </w:lvl>
  </w:abstractNum>
  <w:abstractNum w:abstractNumId="226">
    <w:nsid w:val="6F38E6D1"/>
    <w:multiLevelType w:val="hybridMultilevel"/>
    <w:lvl w:ilvl="0">
      <w:lvlJc w:val="left"/>
      <w:lvlText w:val="(%1)"/>
      <w:numFmt w:val="lowerLetter"/>
      <w:start w:val="2"/>
    </w:lvl>
  </w:abstractNum>
  <w:abstractNum w:abstractNumId="227">
    <w:nsid w:val="46111BA5"/>
    <w:multiLevelType w:val="hybridMultilevel"/>
    <w:lvl w:ilvl="0">
      <w:lvlJc w:val="left"/>
      <w:lvlText w:val="4"/>
      <w:numFmt w:val="bullet"/>
      <w:start w:val="1"/>
    </w:lvl>
  </w:abstractNum>
  <w:abstractNum w:abstractNumId="228">
    <w:nsid w:val="5E963896"/>
    <w:multiLevelType w:val="hybridMultilevel"/>
    <w:lvl w:ilvl="0">
      <w:lvlJc w:val="left"/>
      <w:lvlText w:val="(%1)"/>
      <w:numFmt w:val="lowerLetter"/>
      <w:start w:val="3"/>
    </w:lvl>
  </w:abstractNum>
  <w:abstractNum w:abstractNumId="229">
    <w:nsid w:val="775BA7C1"/>
    <w:multiLevelType w:val="hybridMultilevel"/>
    <w:lvl w:ilvl="0">
      <w:lvlJc w:val="left"/>
      <w:lvlText w:val="5"/>
      <w:numFmt w:val="bullet"/>
      <w:start w:val="1"/>
    </w:lvl>
  </w:abstractNum>
  <w:abstractNum w:abstractNumId="230">
    <w:nsid w:val="1DD6D6F4"/>
    <w:multiLevelType w:val="hybridMultilevel"/>
    <w:lvl w:ilvl="0">
      <w:lvlJc w:val="left"/>
      <w:lvlText w:val="6"/>
      <w:numFmt w:val="bullet"/>
      <w:start w:val="1"/>
    </w:lvl>
  </w:abstractNum>
  <w:abstractNum w:abstractNumId="231">
    <w:nsid w:val="769A091F"/>
    <w:multiLevelType w:val="hybridMultilevel"/>
    <w:lvl w:ilvl="0">
      <w:lvlJc w:val="left"/>
      <w:lvlText w:val="7"/>
      <w:numFmt w:val="bullet"/>
      <w:start w:val="1"/>
    </w:lvl>
  </w:abstractNum>
  <w:abstractNum w:abstractNumId="232">
    <w:nsid w:val="4695AE95"/>
    <w:multiLevelType w:val="hybridMultilevel"/>
    <w:lvl w:ilvl="0">
      <w:lvlJc w:val="left"/>
      <w:lvlText w:val="(%1)"/>
      <w:numFmt w:val="lowerLetter"/>
      <w:start w:val="1"/>
    </w:lvl>
  </w:abstractNum>
  <w:abstractNum w:abstractNumId="233">
    <w:nsid w:val="777A4EAA"/>
    <w:multiLevelType w:val="hybridMultilevel"/>
    <w:lvl w:ilvl="0">
      <w:lvlJc w:val="left"/>
      <w:lvlText w:val="7"/>
      <w:numFmt w:val="bullet"/>
      <w:start w:val="1"/>
    </w:lvl>
  </w:abstractNum>
  <w:abstractNum w:abstractNumId="234">
    <w:nsid w:val="3F48B982"/>
    <w:multiLevelType w:val="hybridMultilevel"/>
    <w:lvl w:ilvl="0">
      <w:lvlJc w:val="left"/>
      <w:lvlText w:val="(%1)"/>
      <w:numFmt w:val="lowerLetter"/>
      <w:start w:val="1"/>
    </w:lvl>
  </w:abstractNum>
  <w:abstractNum w:abstractNumId="235">
    <w:nsid w:val="46BA8FCA"/>
    <w:multiLevelType w:val="hybridMultilevel"/>
    <w:lvl w:ilvl="0">
      <w:lvlJc w:val="left"/>
      <w:lvlText w:val="8"/>
      <w:numFmt w:val="bullet"/>
      <w:start w:val="1"/>
    </w:lvl>
  </w:abstractNum>
  <w:abstractNum w:abstractNumId="236">
    <w:nsid w:val="7835626C"/>
    <w:multiLevelType w:val="hybridMultilevel"/>
    <w:lvl w:ilvl="0">
      <w:lvlJc w:val="left"/>
      <w:lvlText w:val="9"/>
      <w:numFmt w:val="bullet"/>
      <w:start w:val="1"/>
    </w:lvl>
  </w:abstractNum>
  <w:abstractNum w:abstractNumId="237">
    <w:nsid w:val="665ACA49"/>
    <w:multiLevelType w:val="hybridMultilevel"/>
    <w:lvl w:ilvl="0">
      <w:lvlJc w:val="left"/>
      <w:lvlText w:val="(%1)"/>
      <w:numFmt w:val="lowerRoman"/>
      <w:start w:val="1"/>
    </w:lvl>
  </w:abstractNum>
  <w:abstractNum w:abstractNumId="238">
    <w:nsid w:val="6835B2AE"/>
    <w:multiLevelType w:val="hybridMultilevel"/>
    <w:lvl w:ilvl="0">
      <w:lvlJc w:val="left"/>
      <w:lvlText w:val="%1"/>
      <w:numFmt w:val="decimal"/>
      <w:start w:val="12"/>
    </w:lvl>
  </w:abstractNum>
  <w:abstractNum w:abstractNumId="239">
    <w:nsid w:val="4C187C90"/>
    <w:multiLevelType w:val="hybridMultilevel"/>
    <w:lvl w:ilvl="0">
      <w:lvlJc w:val="left"/>
      <w:lvlText w:val="%1"/>
      <w:numFmt w:val="decimal"/>
      <w:start w:val="13"/>
    </w:lvl>
  </w:abstractNum>
  <w:abstractNum w:abstractNumId="240">
    <w:nsid w:val="541F28CD"/>
    <w:multiLevelType w:val="hybridMultilevel"/>
    <w:lvl w:ilvl="0">
      <w:lvlJc w:val="left"/>
      <w:lvlText w:val="%1"/>
      <w:numFmt w:val="decimal"/>
      <w:start w:val="14"/>
    </w:lvl>
  </w:abstractNum>
  <w:abstractNum w:abstractNumId="241">
    <w:nsid w:val="7F65FD16"/>
    <w:multiLevelType w:val="hybridMultilevel"/>
    <w:lvl w:ilvl="0">
      <w:lvlJc w:val="left"/>
      <w:lvlText w:val="%1"/>
      <w:numFmt w:val="decimal"/>
      <w:start w:val="14"/>
    </w:lvl>
  </w:abstractNum>
  <w:abstractNum w:abstractNumId="242">
    <w:nsid w:val="77C9FD68"/>
    <w:multiLevelType w:val="hybridMultilevel"/>
    <w:lvl w:ilvl="0">
      <w:lvlJc w:val="left"/>
      <w:lvlText w:val="%1"/>
      <w:numFmt w:val="decimal"/>
      <w:start w:val="17"/>
    </w:lvl>
    <w:lvl w:ilvl="1">
      <w:lvlJc w:val="left"/>
      <w:lvlText w:val="(%2)"/>
      <w:numFmt w:val="lowerRoman"/>
      <w:start w:val="1"/>
    </w:lvl>
  </w:abstractNum>
  <w:abstractNum w:abstractNumId="243">
    <w:nsid w:val="298A92BA"/>
    <w:multiLevelType w:val="hybridMultilevel"/>
    <w:lvl w:ilvl="0">
      <w:lvlJc w:val="left"/>
      <w:lvlText w:val="%1"/>
      <w:numFmt w:val="decimal"/>
      <w:start w:val="18"/>
    </w:lvl>
  </w:abstractNum>
  <w:abstractNum w:abstractNumId="244">
    <w:nsid w:val="6FE95EAC"/>
    <w:multiLevelType w:val="hybridMultilevel"/>
    <w:lvl w:ilvl="0">
      <w:lvlJc w:val="left"/>
      <w:lvlText w:val="%1"/>
      <w:numFmt w:val="decimal"/>
      <w:start w:val="19"/>
    </w:lvl>
  </w:abstractNum>
  <w:abstractNum w:abstractNumId="245">
    <w:nsid w:val="4B697C7A"/>
    <w:multiLevelType w:val="hybridMultilevel"/>
    <w:lvl w:ilvl="0">
      <w:lvlJc w:val="left"/>
      <w:lvlText w:val="(%1)"/>
      <w:numFmt w:val="lowerLetter"/>
      <w:start w:val="1"/>
    </w:lvl>
  </w:abstractNum>
  <w:abstractNum w:abstractNumId="246">
    <w:nsid w:val="51A27AA6"/>
    <w:multiLevelType w:val="hybridMultilevel"/>
    <w:lvl w:ilvl="0">
      <w:lvlJc w:val="left"/>
      <w:lvlText w:val="(%1)"/>
      <w:numFmt w:val="lowerLetter"/>
      <w:start w:val="2"/>
    </w:lvl>
  </w:abstractNum>
  <w:abstractNum w:abstractNumId="247">
    <w:nsid w:val="613183F2"/>
    <w:multiLevelType w:val="hybridMultilevel"/>
    <w:lvl w:ilvl="0">
      <w:lvlJc w:val="left"/>
      <w:lvlText w:val="(%1)"/>
      <w:numFmt w:val="lowerRoman"/>
      <w:start w:val="1"/>
    </w:lvl>
  </w:abstractNum>
  <w:abstractNum w:abstractNumId="248">
    <w:nsid w:val="634102B4"/>
    <w:multiLevelType w:val="hybridMultilevel"/>
    <w:lvl w:ilvl="0">
      <w:lvlJc w:val="left"/>
      <w:lvlText w:val="(%1)"/>
      <w:numFmt w:val="lowerLetter"/>
      <w:start w:val="3"/>
    </w:lvl>
  </w:abstractNum>
  <w:abstractNum w:abstractNumId="249">
    <w:nsid w:val="65BF9DA8"/>
    <w:multiLevelType w:val="hybridMultilevel"/>
    <w:lvl w:ilvl="0">
      <w:lvlJc w:val="left"/>
      <w:lvlText w:val="(%1)"/>
      <w:numFmt w:val="lowerRoman"/>
      <w:start w:val="1"/>
    </w:lvl>
  </w:abstractNum>
  <w:abstractNum w:abstractNumId="250">
    <w:nsid w:val="21A2ECCA"/>
    <w:multiLevelType w:val="hybridMultilevel"/>
    <w:lvl w:ilvl="0">
      <w:lvlJc w:val="left"/>
      <w:lvlText w:val="(%1)"/>
      <w:numFmt w:val="lowerLetter"/>
      <w:start w:val="1"/>
    </w:lvl>
  </w:abstractNum>
  <w:abstractNum w:abstractNumId="251">
    <w:nsid w:val="4D5C4899"/>
    <w:multiLevelType w:val="hybridMultilevel"/>
    <w:lvl w:ilvl="0">
      <w:lvlJc w:val="left"/>
      <w:lvlText w:val="(%1)"/>
      <w:numFmt w:val="lowerLetter"/>
      <w:start w:val="4"/>
    </w:lvl>
  </w:abstractNum>
  <w:abstractNum w:abstractNumId="252">
    <w:nsid w:val="3C3B72B2"/>
    <w:multiLevelType w:val="hybridMultilevel"/>
    <w:lvl w:ilvl="0">
      <w:lvlJc w:val="left"/>
      <w:lvlText w:val="(%1)"/>
      <w:numFmt w:val="lowerLetter"/>
      <w:start w:val="5"/>
    </w:lvl>
  </w:abstractNum>
  <w:abstractNum w:abstractNumId="253">
    <w:nsid w:val="155EC4C2"/>
    <w:multiLevelType w:val="hybridMultilevel"/>
    <w:lvl w:ilvl="0">
      <w:lvlJc w:val="left"/>
      <w:lvlText w:val="(%1)"/>
      <w:numFmt w:val="lowerRoman"/>
      <w:start w:val="1"/>
    </w:lvl>
  </w:abstractNum>
  <w:abstractNum w:abstractNumId="254">
    <w:nsid w:val="65D2A137"/>
    <w:multiLevelType w:val="hybridMultilevel"/>
    <w:lvl w:ilvl="0">
      <w:lvlJc w:val="left"/>
      <w:lvlText w:val="(%1)"/>
      <w:numFmt w:val="lowerLetter"/>
      <w:start w:val="5"/>
    </w:lvl>
    <w:lvl w:ilvl="1">
      <w:lvlJc w:val="left"/>
      <w:lvlText w:val="(%2)"/>
      <w:numFmt w:val="lowerRoman"/>
      <w:start w:val="1"/>
    </w:lvl>
  </w:abstractNum>
  <w:abstractNum w:abstractNumId="255">
    <w:nsid w:val="6EBB1F2A"/>
    <w:multiLevelType w:val="hybridMultilevel"/>
    <w:lvl w:ilvl="0">
      <w:lvlJc w:val="left"/>
      <w:lvlText w:val="(%1)"/>
      <w:numFmt w:val="lowerRoman"/>
      <w:start w:val="2"/>
    </w:lvl>
  </w:abstractNum>
  <w:abstractNum w:abstractNumId="256">
    <w:nsid w:val="6FBF29CB"/>
    <w:multiLevelType w:val="hybridMultilevel"/>
    <w:lvl w:ilvl="0">
      <w:lvlJc w:val="left"/>
      <w:lvlText w:val="(%1)"/>
      <w:numFmt w:val="lowerRoman"/>
      <w:start w:val="3"/>
    </w:lvl>
  </w:abstractNum>
  <w:abstractNum w:abstractNumId="257">
    <w:nsid w:val="550B8808"/>
    <w:multiLevelType w:val="hybridMultilevel"/>
    <w:lvl w:ilvl="0">
      <w:lvlJc w:val="left"/>
      <w:lvlText w:val="(%1)"/>
      <w:numFmt w:val="lowerLetter"/>
      <w:start w:val="6"/>
    </w:lvl>
  </w:abstractNum>
  <w:abstractNum w:abstractNumId="258">
    <w:nsid w:val="34CC3ACF"/>
    <w:multiLevelType w:val="hybridMultilevel"/>
    <w:lvl w:ilvl="0">
      <w:lvlJc w:val="left"/>
      <w:lvlText w:val="(%1)"/>
      <w:numFmt w:val="lowerRoman"/>
      <w:start w:val="1"/>
    </w:lvl>
  </w:abstractNum>
  <w:abstractNum w:abstractNumId="259">
    <w:nsid w:val="4E556261"/>
    <w:multiLevelType w:val="hybridMultilevel"/>
    <w:lvl w:ilvl="0">
      <w:lvlJc w:val="left"/>
      <w:lvlText w:val="%1"/>
      <w:numFmt w:val="decimal"/>
      <w:start w:val="23"/>
    </w:lvl>
  </w:abstractNum>
  <w:abstractNum w:abstractNumId="260">
    <w:nsid w:val="4C672FC9"/>
    <w:multiLevelType w:val="hybridMultilevel"/>
    <w:lvl w:ilvl="0">
      <w:lvlJc w:val="left"/>
      <w:lvlText w:val="%1"/>
      <w:numFmt w:val="decimal"/>
      <w:start w:val="23"/>
    </w:lvl>
  </w:abstractNum>
  <w:abstractNum w:abstractNumId="261">
    <w:nsid w:val="52A311C3"/>
    <w:multiLevelType w:val="hybridMultilevel"/>
    <w:lvl w:ilvl="0">
      <w:lvlJc w:val="left"/>
      <w:lvlText w:val="%1"/>
      <w:numFmt w:val="decimal"/>
      <w:start w:val="24"/>
    </w:lvl>
  </w:abstractNum>
  <w:abstractNum w:abstractNumId="262">
    <w:nsid w:val="44EF6B80"/>
    <w:multiLevelType w:val="hybridMultilevel"/>
    <w:lvl w:ilvl="0">
      <w:lvlJc w:val="left"/>
      <w:lvlText w:val="%1"/>
      <w:numFmt w:val="decimal"/>
      <w:start w:val="25"/>
    </w:lvl>
  </w:abstractNum>
  <w:abstractNum w:abstractNumId="263">
    <w:nsid w:val="12FCDE5E"/>
    <w:multiLevelType w:val="hybridMultilevel"/>
    <w:lvl w:ilvl="0">
      <w:lvlJc w:val="left"/>
      <w:lvlText w:val="(%1)"/>
      <w:numFmt w:val="lowerLetter"/>
      <w:start w:val="1"/>
    </w:lvl>
  </w:abstractNum>
  <w:abstractNum w:abstractNumId="264">
    <w:nsid w:val="4A1D606E"/>
    <w:multiLevelType w:val="hybridMultilevel"/>
    <w:lvl w:ilvl="0">
      <w:lvlJc w:val="left"/>
      <w:lvlText w:val="%1"/>
      <w:numFmt w:val="decimal"/>
      <w:start w:val="27"/>
    </w:lvl>
  </w:abstractNum>
  <w:abstractNum w:abstractNumId="265">
    <w:nsid w:val="4382503"/>
    <w:multiLevelType w:val="hybridMultilevel"/>
    <w:lvl w:ilvl="0">
      <w:lvlJc w:val="left"/>
      <w:lvlText w:val="%1"/>
      <w:numFmt w:val="decimal"/>
      <w:start w:val="28"/>
    </w:lvl>
  </w:abstractNum>
  <w:abstractNum w:abstractNumId="266">
    <w:nsid w:val="59B76E28"/>
    <w:multiLevelType w:val="hybridMultilevel"/>
    <w:lvl w:ilvl="0">
      <w:lvlJc w:val="left"/>
      <w:lvlText w:val="%1."/>
      <w:numFmt w:val="decimal"/>
      <w:start w:val="1"/>
    </w:lvl>
    <w:lvl w:ilvl="1">
      <w:lvlJc w:val="left"/>
      <w:lvlText w:val="(%2)"/>
      <w:numFmt w:val="lowerLetter"/>
      <w:start w:val="1"/>
    </w:lvl>
  </w:abstractNum>
  <w:abstractNum w:abstractNumId="267">
    <w:nsid w:val="4252C2DA"/>
    <w:multiLevelType w:val="hybridMultilevel"/>
    <w:lvl w:ilvl="0">
      <w:lvlJc w:val="left"/>
      <w:lvlText w:val="%1."/>
      <w:numFmt w:val="decimal"/>
      <w:start w:val="1"/>
    </w:lvl>
    <w:lvl w:ilvl="1">
      <w:lvlJc w:val="left"/>
      <w:lvlText w:val="(%2)"/>
      <w:numFmt w:val="lowerLetter"/>
      <w:start w:val="1"/>
    </w:lvl>
  </w:abstractNum>
  <w:abstractNum w:abstractNumId="268">
    <w:nsid w:val="6A92EF4C"/>
    <w:multiLevelType w:val="hybridMultilevel"/>
    <w:lvl w:ilvl="0">
      <w:lvlJc w:val="left"/>
      <w:lvlText w:val="%1."/>
      <w:numFmt w:val="decimal"/>
      <w:start w:val="1"/>
    </w:lvl>
  </w:abstractNum>
  <w:abstractNum w:abstractNumId="269">
    <w:nsid w:val="41ED20D7"/>
    <w:multiLevelType w:val="hybridMultilevel"/>
    <w:lvl w:ilvl="0">
      <w:lvlJc w:val="left"/>
      <w:lvlText w:val="%1."/>
      <w:numFmt w:val="decimal"/>
      <w:start w:val="1"/>
    </w:lvl>
  </w:abstractNum>
  <w:abstractNum w:abstractNumId="270">
    <w:nsid w:val="E6B3F6A"/>
    <w:multiLevelType w:val="hybridMultilevel"/>
    <w:lvl w:ilvl="0">
      <w:lvlJc w:val="left"/>
      <w:lvlText w:val="%1."/>
      <w:numFmt w:val="decimal"/>
      <w:start w:val="1"/>
    </w:lvl>
    <w:lvl w:ilvl="1">
      <w:lvlJc w:val="left"/>
      <w:lvlText w:val="(%2)"/>
      <w:numFmt w:val="lowerLetter"/>
      <w:start w:val="1"/>
    </w:lvl>
  </w:abstractNum>
  <w:abstractNum w:abstractNumId="271">
    <w:nsid w:val="3EB21819"/>
    <w:multiLevelType w:val="hybridMultilevel"/>
    <w:lvl w:ilvl="0">
      <w:lvlJc w:val="left"/>
      <w:lvlText w:val="(%1)"/>
      <w:numFmt w:val="lowerLetter"/>
      <w:start w:val="5"/>
    </w:lvl>
  </w:abstractNum>
  <w:abstractNum w:abstractNumId="272">
    <w:nsid w:val="41531DED"/>
    <w:multiLevelType w:val="hybridMultilevel"/>
    <w:lvl w:ilvl="0">
      <w:lvlJc w:val="left"/>
      <w:lvlText w:val="(%1)"/>
      <w:numFmt w:val="decimal"/>
      <w:start w:val="13"/>
    </w:lvl>
    <w:lvl w:ilvl="1">
      <w:lvlJc w:val="left"/>
      <w:lvlText w:val="(%2)"/>
      <w:numFmt w:val="lowerLetter"/>
      <w:start w:val="16"/>
    </w:lvl>
  </w:abstractNum>
  <w:abstractNum w:abstractNumId="273">
    <w:nsid w:val="6353CD2"/>
    <w:multiLevelType w:val="hybridMultilevel"/>
    <w:lvl w:ilvl="0">
      <w:lvlJc w:val="left"/>
      <w:lvlText w:val="%1."/>
      <w:numFmt w:val="decimal"/>
      <w:start w:val="4"/>
    </w:lvl>
  </w:abstractNum>
  <w:abstractNum w:abstractNumId="274">
    <w:nsid w:val="683CAAD3"/>
    <w:multiLevelType w:val="hybridMultilevel"/>
    <w:lvl w:ilvl="0">
      <w:lvlJc w:val="left"/>
      <w:lvlText w:val="%1"/>
      <w:numFmt w:val="decimal"/>
      <w:start w:val="1"/>
    </w:lvl>
    <w:lvl w:ilvl="1">
      <w:lvlJc w:val="left"/>
      <w:lvlText w:val="(%2)"/>
      <w:numFmt w:val="lowerLetter"/>
      <w:start w:val="1"/>
    </w:lvl>
  </w:abstractNum>
  <w:abstractNum w:abstractNumId="275">
    <w:nsid w:val="313C7C99"/>
    <w:multiLevelType w:val="hybridMultilevel"/>
    <w:lvl w:ilvl="0">
      <w:lvlJc w:val="left"/>
      <w:lvlText w:val="%1."/>
      <w:numFmt w:val="decimal"/>
      <w:start w:val="5"/>
    </w:lvl>
    <w:lvl w:ilvl="1">
      <w:lvlJc w:val="left"/>
      <w:lvlText w:val="%2"/>
      <w:numFmt w:val="lowerLetter"/>
      <w:start w:val="1"/>
    </w:lvl>
  </w:abstractNum>
  <w:abstractNum w:abstractNumId="276">
    <w:nsid w:val="519EB94C"/>
    <w:multiLevelType w:val="hybridMultilevel"/>
    <w:lvl w:ilvl="0">
      <w:lvlJc w:val="left"/>
      <w:lvlText w:val="%1."/>
      <w:numFmt w:val="decimal"/>
      <w:start w:val="7"/>
    </w:lvl>
  </w:abstractNum>
  <w:abstractNum w:abstractNumId="277">
    <w:nsid w:val="39DF2579"/>
    <w:multiLevelType w:val="hybridMultilevel"/>
    <w:lvl w:ilvl="0">
      <w:lvlJc w:val="left"/>
      <w:lvlText w:val="1"/>
      <w:numFmt w:val="bullet"/>
      <w:start w:val="1"/>
    </w:lvl>
  </w:abstractNum>
  <w:abstractNum w:abstractNumId="278">
    <w:nsid w:val="126E008B"/>
    <w:multiLevelType w:val="hybridMultilevel"/>
    <w:lvl w:ilvl="0">
      <w:lvlJc w:val="left"/>
      <w:lvlText w:val="%1."/>
      <w:numFmt w:val="decimal"/>
      <w:start w:val="11"/>
    </w:lvl>
    <w:lvl w:ilvl="1">
      <w:lvlJc w:val="left"/>
      <w:lvlText w:val="*"/>
      <w:numFmt w:val="bullet"/>
      <w:start w:val="1"/>
    </w:lvl>
  </w:abstractNum>
  <w:abstractNum w:abstractNumId="279">
    <w:nsid w:val="34DFBC0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jpeg"/><Relationship Id="rId273" Type="http://schemas.openxmlformats.org/officeDocument/2006/relationships/image" Target="media/image250.png"/><Relationship Id="rId274" Type="http://schemas.openxmlformats.org/officeDocument/2006/relationships/image" Target="media/image251.jpeg"/><Relationship Id="rId275" Type="http://schemas.openxmlformats.org/officeDocument/2006/relationships/image" Target="media/image252.jpe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180" Type="http://schemas.openxmlformats.org/officeDocument/2006/relationships/hyperlink" Target="https://www.sec.gov/Archives/edgar/data/1697818/000110465919023699/a19-3271_1ex1d1.htm" TargetMode="External"/><Relationship Id="rId181" Type="http://schemas.openxmlformats.org/officeDocument/2006/relationships/hyperlink" Target="https://www.sec.gov/Archives/edgar/data/1474274/000119380522001466/e617983_ex99-a2.htm" TargetMode="External"/><Relationship Id="rId182" Type="http://schemas.openxmlformats.org/officeDocument/2006/relationships/hyperlink" Target="https://www.sec.gov/Archives/edgar/data/1697818/000119312517315220/d347875dex42.htm" TargetMode="External"/><Relationship Id="rId183" Type="http://schemas.openxmlformats.org/officeDocument/2006/relationships/hyperlink" Target="https://www.sec.gov/Archives/edgar/data/1474274/000119380522001466/e617983_f6pos-iclick.htm" TargetMode="External"/><Relationship Id="rId184" Type="http://schemas.openxmlformats.org/officeDocument/2006/relationships/hyperlink" Target="https://www.sec.gov/Archives/edgar/data/1697818/000156459022016903/iclk-ex41_824.htm" TargetMode="External"/><Relationship Id="rId185" Type="http://schemas.openxmlformats.org/officeDocument/2006/relationships/hyperlink" Target="https://www.sec.gov/Archives/edgar/data/1697818/000156459022016903/iclk-ex42_825.htm" TargetMode="External"/><Relationship Id="rId186" Type="http://schemas.openxmlformats.org/officeDocument/2006/relationships/hyperlink" Target="https://www.sec.gov/Archives/edgar/data/1697818/000156459022016903/iclk-ex43_826.htm" TargetMode="External"/><Relationship Id="rId187" Type="http://schemas.openxmlformats.org/officeDocument/2006/relationships/hyperlink" Target="https://www.sec.gov/Archives/edgar/data/1697818/000156459022016903/iclk-ex44_827.htm" TargetMode="External"/><Relationship Id="rId188" Type="http://schemas.openxmlformats.org/officeDocument/2006/relationships/hyperlink" Target="https://www.sec.gov/Archives/edgar/data/1697818/000156459022016903/iclk-ex45_828.htm" TargetMode="External"/><Relationship Id="rId189" Type="http://schemas.openxmlformats.org/officeDocument/2006/relationships/hyperlink" Target="https://www.sec.gov/Archives/edgar/data/1697818/000119312518190073/d600917dex102.htm" TargetMode="External"/><Relationship Id="rId190" Type="http://schemas.openxmlformats.org/officeDocument/2006/relationships/hyperlink" Target="https://www.sec.gov/Archives/edgar/data/1697818/000119312517315220/d347875dex109.htm" TargetMode="External"/><Relationship Id="rId191" Type="http://schemas.openxmlformats.org/officeDocument/2006/relationships/hyperlink" Target="https://www.sec.gov/Archives/edgar/data/1697818/000119312517315220/d347875dex1010.htm" TargetMode="External"/><Relationship Id="rId192" Type="http://schemas.openxmlformats.org/officeDocument/2006/relationships/hyperlink" Target="https://www.sec.gov/Archives/edgar/data/1697818/000156459021009407/iclk-ex101_7.htm" TargetMode="External"/><Relationship Id="rId193" Type="http://schemas.openxmlformats.org/officeDocument/2006/relationships/hyperlink" Target="https://www.sec.gov/Archives/edgar/data/1697818/000156459022016903/iclk-ex411_13.htm" TargetMode="External"/><Relationship Id="rId194" Type="http://schemas.openxmlformats.org/officeDocument/2006/relationships/hyperlink" Target="https://www.sec.gov/Archives/edgar/data/1697818/000110465923120926/tm2331491d1_ex99-2.htm" TargetMode="External"/><Relationship Id="rId195" Type="http://schemas.openxmlformats.org/officeDocument/2006/relationships/hyperlink" Target="https://www.sec.gov/Archives/edgar/data/1697818/000119312517315220/d347875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2024-06-20T15:58:00Z</dcterms:created>
  <dcterms:modified xsi:type="dcterms:W3CDTF">2024-06-20T15:58:00Z</dcterms:modified>
</cp:coreProperties>
</file>