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7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398"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0" w:lineRule="exact"/>
        <w:rPr>
          <w:sz w:val="24"/>
          <w:szCs w:val="24"/>
          <w:color w:val="auto"/>
        </w:rPr>
      </w:pPr>
    </w:p>
    <w:p>
      <w:pPr>
        <w:spacing w:after="0" w:line="243"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7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For the month of January 2020</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001-38313</w:t>
      </w:r>
    </w:p>
    <w:p>
      <w:pPr>
        <w:spacing w:after="0" w:line="200" w:lineRule="exact"/>
        <w:rPr>
          <w:sz w:val="24"/>
          <w:szCs w:val="24"/>
          <w:color w:val="auto"/>
        </w:rPr>
      </w:pPr>
    </w:p>
    <w:p>
      <w:pPr>
        <w:spacing w:after="0" w:line="218" w:lineRule="exact"/>
        <w:rPr>
          <w:sz w:val="24"/>
          <w:szCs w:val="24"/>
          <w:color w:val="auto"/>
        </w:rPr>
      </w:pPr>
    </w:p>
    <w:p>
      <w:pPr>
        <w:jc w:val="center"/>
        <w:ind w:right="-73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40"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(Translation of registrant’s name into English)</w:t>
      </w:r>
    </w:p>
    <w:p>
      <w:pPr>
        <w:spacing w:after="0" w:line="200" w:lineRule="exact"/>
        <w:rPr>
          <w:sz w:val="24"/>
          <w:szCs w:val="24"/>
          <w:color w:val="auto"/>
        </w:rPr>
      </w:pPr>
    </w:p>
    <w:p>
      <w:pPr>
        <w:spacing w:after="0" w:line="221"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(Address of principal executive office)</w:t>
      </w:r>
    </w:p>
    <w:p>
      <w:pPr>
        <w:spacing w:after="0" w:line="39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files or will file annual reports under cover of Form 20-F or Form 40-F. 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717550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80"/>
          </w:cols>
          <w:pgMar w:left="240" w:top="760" w:right="9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120" w:type="dxa"/>
            <w:vAlign w:val="bottom"/>
          </w:tcPr>
          <w:p>
            <w:pPr>
              <w:ind w:left="272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120" w:type="dxa"/>
            <w:vAlign w:val="bottom"/>
          </w:tcPr>
          <w:p>
            <w:pPr>
              <w:ind w:left="3800"/>
              <w:spacing w:after="0"/>
              <w:rPr>
                <w:sz w:val="20"/>
                <w:szCs w:val="20"/>
                <w:color w:val="auto"/>
              </w:rPr>
            </w:pPr>
            <w:r>
              <w:rPr>
                <w:rFonts w:ascii="Arial" w:cs="Arial" w:eastAsia="Arial" w:hAnsi="Arial"/>
                <w:sz w:val="14"/>
                <w:szCs w:val="14"/>
                <w:b w:val="1"/>
                <w:bCs w:val="1"/>
                <w:color w:val="auto"/>
              </w:rPr>
              <w:t>Description of Document</w:t>
            </w:r>
          </w:p>
        </w:tc>
      </w:tr>
      <w:tr>
        <w:trPr>
          <w:trHeight w:val="426"/>
        </w:trPr>
        <w:tc>
          <w:tcPr>
            <w:tcW w:w="2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9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619760</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r>
      <w:tr>
        <w:trPr>
          <w:trHeight w:val="432"/>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Jian Tang</w:t>
            </w:r>
          </w:p>
        </w:tc>
      </w:tr>
      <w:tr>
        <w:trPr>
          <w:trHeight w:val="195"/>
        </w:trPr>
        <w:tc>
          <w:tcPr>
            <w:tcW w:w="646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Jian Tang</w:t>
            </w:r>
          </w:p>
        </w:tc>
      </w:t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6460" w:type="dxa"/>
            <w:vAlign w:val="bottom"/>
          </w:tcPr>
          <w:p>
            <w:pPr>
              <w:spacing w:after="0"/>
              <w:rPr>
                <w:sz w:val="20"/>
                <w:szCs w:val="20"/>
                <w:color w:val="auto"/>
              </w:rPr>
            </w:pPr>
            <w:r>
              <w:rPr>
                <w:rFonts w:ascii="Arial" w:cs="Arial" w:eastAsia="Arial" w:hAnsi="Arial"/>
                <w:sz w:val="18"/>
                <w:szCs w:val="18"/>
                <w:color w:val="auto"/>
              </w:rPr>
              <w:t>Date: January 16, 2020</w:t>
            </w:r>
          </w:p>
        </w:tc>
        <w:tc>
          <w:tcPr>
            <w:tcW w:w="4960" w:type="dxa"/>
            <w:vAlign w:val="bottom"/>
          </w:tcPr>
          <w:p>
            <w:pPr>
              <w:spacing w:after="0"/>
              <w:rPr>
                <w:sz w:val="24"/>
                <w:szCs w:val="24"/>
                <w:color w:val="auto"/>
              </w:rPr>
            </w:pPr>
          </w:p>
        </w:tc>
      </w:tr>
      <w:tr>
        <w:trPr>
          <w:trHeight w:val="432"/>
        </w:trPr>
        <w:tc>
          <w:tcPr>
            <w:tcW w:w="6460" w:type="dxa"/>
            <w:vAlign w:val="bottom"/>
          </w:tcPr>
          <w:p>
            <w:pPr>
              <w:ind w:left="5660"/>
              <w:spacing w:after="0"/>
              <w:rPr>
                <w:sz w:val="20"/>
                <w:szCs w:val="20"/>
                <w:color w:val="auto"/>
              </w:rPr>
            </w:pPr>
            <w:r>
              <w:rPr>
                <w:rFonts w:ascii="Arial" w:cs="Arial" w:eastAsia="Arial" w:hAnsi="Arial"/>
                <w:sz w:val="18"/>
                <w:szCs w:val="18"/>
                <w:color w:val="auto"/>
              </w:rPr>
              <w:t>3</w:t>
            </w:r>
          </w:p>
        </w:tc>
        <w:tc>
          <w:tcPr>
            <w:tcW w:w="496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15240</wp:posOffset>
            </wp:positionV>
            <wp:extent cx="1157605" cy="497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5760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iClick Interactive Asia Announces $10-Million Share Repurchase Program</w:t>
      </w:r>
    </w:p>
    <w:p>
      <w:pPr>
        <w:spacing w:after="0" w:line="235"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auto"/>
        </w:rPr>
        <w:t>HONG KONG, January 15, 2020 — iClick Interactive Asia Group Limited (“iClick”) (NASDAQ: ICLK), an independent online marketing and enterprise data solutions provider in China, today announced its board of directors has approved a share repurchase program in which the company may purchase its own ADSs with an aggregate value of up to US$10 million over the 12-month period ending on December 29, 2020.</w:t>
      </w:r>
    </w:p>
    <w:p>
      <w:pPr>
        <w:spacing w:after="0" w:line="165" w:lineRule="exact"/>
        <w:rPr>
          <w:sz w:val="20"/>
          <w:szCs w:val="20"/>
          <w:color w:val="auto"/>
        </w:rPr>
      </w:pPr>
    </w:p>
    <w:p>
      <w:pPr>
        <w:ind w:right="120"/>
        <w:spacing w:after="0" w:line="263" w:lineRule="auto"/>
        <w:rPr>
          <w:sz w:val="20"/>
          <w:szCs w:val="20"/>
          <w:color w:val="auto"/>
        </w:rPr>
      </w:pPr>
      <w:r>
        <w:rPr>
          <w:rFonts w:ascii="Arial" w:cs="Arial" w:eastAsia="Arial" w:hAnsi="Arial"/>
          <w:sz w:val="19"/>
          <w:szCs w:val="19"/>
          <w:color w:val="auto"/>
        </w:rPr>
        <w:t>“This share repurchase program demonstrates our confidence in our long-term business prospects and ability to deliver sustainable growth and solid operating results as we upgrade to an Enterprise and Marketing Cloud Platform. We believe our business model and robust technology will continue to enable us to capture market opportunities and that this share repurchase program is consistent with the goal of creating value for our shareholders in the future,” said Jian “T.J.” Tang, Chief Executive Officer and Co-Founder of iClick.</w:t>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color w:val="auto"/>
        </w:rPr>
        <w:t>iClick expects to fund the repurchase from its existing cash balance, including cash generated from its operations.</w:t>
      </w:r>
    </w:p>
    <w:p>
      <w:pPr>
        <w:spacing w:after="0" w:line="229"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The Company expects to effect the proposed share repurchase on the open market at prevailing market prices, in negotiated transactions off the market, and/or in other legally permissible means from time to time as market conditions warrant in compliance with applicable requirements of Rule 10b5-1 and/or Rule 10b-18 under the U.S. Securities Exchange Act of 1934, as amended, at times and in such amounts as the Company deems appropriate.</w:t>
      </w:r>
    </w:p>
    <w:p>
      <w:pPr>
        <w:spacing w:after="0" w:line="205"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The share repurchase program does not obligate the Company to acquire any particular number of ADSs and may be suspended, terminated or extended at any time at the Company’s discretion without prior notice.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iClick Interactive Asia Group Limited</w:t>
      </w:r>
    </w:p>
    <w:p>
      <w:pPr>
        <w:spacing w:after="0" w:line="235" w:lineRule="exact"/>
        <w:rPr>
          <w:sz w:val="20"/>
          <w:szCs w:val="20"/>
          <w:color w:val="auto"/>
        </w:rPr>
      </w:pPr>
    </w:p>
    <w:p>
      <w:pPr>
        <w:ind w:right="180"/>
        <w:spacing w:after="0" w:line="244" w:lineRule="auto"/>
        <w:rPr>
          <w:sz w:val="20"/>
          <w:szCs w:val="20"/>
          <w:color w:val="auto"/>
        </w:rPr>
      </w:pPr>
      <w:r>
        <w:rPr>
          <w:rFonts w:ascii="Arial" w:cs="Arial" w:eastAsia="Arial" w:hAnsi="Arial"/>
          <w:sz w:val="20"/>
          <w:szCs w:val="20"/>
          <w:color w:val="auto"/>
        </w:rPr>
        <w:t>iClick Interactive Asia Group Limited (NASDAQ: ICLK) is an independent online marketing and enterprise data solutions provider that connects worldwide marketers with audiences in China. Built on cutting-edge technologies, iClick’s proprietary platform possesses omni-channel marketing capabilities and fulfils various marketing objectives in a data-driven and automated manner, helping both international and domestic marketers reach their target audiences in China. Headquartered in Hong Kong, iClick was established in 2009 and is currently operating in ten locations worldwide including Asia and Europe.</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please visit ir.i-click.com.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Safe Harbor Statement</w:t>
      </w:r>
    </w:p>
    <w:p>
      <w:pPr>
        <w:spacing w:after="0" w:line="236"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This announcement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including extending its solutions beyond its core online marketing business;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favorable contractual terms; market competition, including from independent online marketing technology platforms as well as large and well-established internet companies;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fluctuations in foreign exchange rates; and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investor and media inquiries, please contact:</w:t>
      </w:r>
    </w:p>
    <w:p>
      <w:pPr>
        <w:sectPr>
          <w:pgSz w:w="11900" w:h="16838" w:orient="portrait"/>
          <w:cols w:equalWidth="0" w:num="1">
            <w:col w:w="11360"/>
          </w:cols>
          <w:pgMar w:left="240" w:top="116" w:right="299" w:bottom="1440" w:gutter="0" w:footer="0" w:header="0"/>
        </w:sectPr>
      </w:pPr>
    </w:p>
    <w:p>
      <w:pPr>
        <w:spacing w:after="0" w:line="229"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In China:</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0"/>
          <w:szCs w:val="20"/>
          <w:color w:val="auto"/>
        </w:rPr>
        <w:t>Lisa Li</w:t>
      </w:r>
    </w:p>
    <w:p>
      <w:pPr>
        <w:ind w:left="180"/>
        <w:spacing w:after="0"/>
        <w:rPr>
          <w:sz w:val="20"/>
          <w:szCs w:val="20"/>
          <w:color w:val="auto"/>
        </w:rPr>
      </w:pPr>
      <w:r>
        <w:rPr>
          <w:rFonts w:ascii="Arial" w:cs="Arial" w:eastAsia="Arial" w:hAnsi="Arial"/>
          <w:sz w:val="20"/>
          <w:szCs w:val="20"/>
          <w:color w:val="auto"/>
        </w:rPr>
        <w:t>Phone: +86-21-3230-3931 #892</w:t>
      </w:r>
    </w:p>
    <w:p>
      <w:pPr>
        <w:ind w:left="180"/>
        <w:spacing w:after="0"/>
        <w:rPr>
          <w:sz w:val="20"/>
          <w:szCs w:val="20"/>
          <w:color w:val="auto"/>
        </w:rPr>
      </w:pPr>
      <w:r>
        <w:rPr>
          <w:rFonts w:ascii="Arial" w:cs="Arial" w:eastAsia="Arial" w:hAnsi="Arial"/>
          <w:sz w:val="20"/>
          <w:szCs w:val="20"/>
          <w:color w:val="auto"/>
        </w:rPr>
        <w:t>E-mail: ir@i-click.com</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the United States: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Core IR</w:t>
      </w:r>
    </w:p>
    <w:p>
      <w:pPr>
        <w:spacing w:after="0"/>
        <w:rPr>
          <w:sz w:val="20"/>
          <w:szCs w:val="20"/>
          <w:color w:val="auto"/>
        </w:rPr>
      </w:pPr>
      <w:r>
        <w:rPr>
          <w:rFonts w:ascii="Arial" w:cs="Arial" w:eastAsia="Arial" w:hAnsi="Arial"/>
          <w:sz w:val="20"/>
          <w:szCs w:val="20"/>
          <w:color w:val="auto"/>
        </w:rPr>
        <w:t>John Marco</w:t>
      </w:r>
    </w:p>
    <w:p>
      <w:pPr>
        <w:spacing w:after="0"/>
        <w:rPr>
          <w:sz w:val="20"/>
          <w:szCs w:val="20"/>
          <w:color w:val="auto"/>
        </w:rPr>
      </w:pPr>
      <w:r>
        <w:rPr>
          <w:rFonts w:ascii="Arial" w:cs="Arial" w:eastAsia="Arial" w:hAnsi="Arial"/>
          <w:sz w:val="20"/>
          <w:szCs w:val="20"/>
          <w:color w:val="auto"/>
        </w:rPr>
        <w:t>Tel: +1-516-222-2560</w:t>
      </w:r>
    </w:p>
    <w:p>
      <w:pPr>
        <w:spacing w:after="0"/>
        <w:rPr>
          <w:sz w:val="20"/>
          <w:szCs w:val="20"/>
          <w:color w:val="auto"/>
        </w:rPr>
      </w:pPr>
      <w:r>
        <w:rPr>
          <w:rFonts w:ascii="Arial" w:cs="Arial" w:eastAsia="Arial" w:hAnsi="Arial"/>
          <w:sz w:val="18"/>
          <w:szCs w:val="18"/>
          <w:color w:val="auto"/>
        </w:rPr>
        <w:t>E-mail: johnm@coreir.com</w:t>
      </w:r>
    </w:p>
    <w:sectPr>
      <w:pgSz w:w="11900" w:h="16838" w:orient="portrait"/>
      <w:cols w:equalWidth="0" w:num="2">
        <w:col w:w="5000" w:space="720"/>
        <w:col w:w="5640"/>
      </w:cols>
      <w:pgMar w:left="240" w:top="116"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2020-01-16T05:23:52Z</dcterms:created>
  <dcterms:modified xsi:type="dcterms:W3CDTF">2020-01-16T05:23:52Z</dcterms:modified>
</cp:coreProperties>
</file>