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April 2020</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836930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320" w:top="706"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331"/>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107950</wp:posOffset>
            </wp:positionV>
            <wp:extent cx="1525905" cy="728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590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138" w:lineRule="exact"/>
        <w:rPr>
          <w:sz w:val="20"/>
          <w:szCs w:val="20"/>
          <w:color w:val="auto"/>
        </w:rPr>
      </w:pPr>
    </w:p>
    <w:p>
      <w:pPr>
        <w:ind w:left="3380"/>
        <w:spacing w:after="0"/>
        <w:rPr>
          <w:sz w:val="20"/>
          <w:szCs w:val="20"/>
          <w:color w:val="auto"/>
        </w:rPr>
      </w:pPr>
      <w:r>
        <w:rPr>
          <w:rFonts w:ascii="Arial" w:cs="Arial" w:eastAsia="Arial" w:hAnsi="Arial"/>
          <w:sz w:val="27"/>
          <w:szCs w:val="27"/>
          <w:b w:val="1"/>
          <w:bCs w:val="1"/>
          <w:color w:val="auto"/>
        </w:rPr>
        <w:t>iClick Interactive Asia Group Limited</w:t>
      </w:r>
    </w:p>
    <w:p>
      <w:pPr>
        <w:spacing w:after="0" w:line="30" w:lineRule="exact"/>
        <w:rPr>
          <w:sz w:val="20"/>
          <w:szCs w:val="20"/>
          <w:color w:val="auto"/>
        </w:rPr>
      </w:pPr>
    </w:p>
    <w:p>
      <w:pPr>
        <w:ind w:left="3080"/>
        <w:spacing w:after="0"/>
        <w:rPr>
          <w:sz w:val="20"/>
          <w:szCs w:val="20"/>
          <w:color w:val="auto"/>
        </w:rPr>
      </w:pPr>
      <w:r>
        <w:rPr>
          <w:rFonts w:ascii="Arial" w:cs="Arial" w:eastAsia="Arial" w:hAnsi="Arial"/>
          <w:sz w:val="27"/>
          <w:szCs w:val="27"/>
          <w:b w:val="1"/>
          <w:bCs w:val="1"/>
          <w:color w:val="auto"/>
        </w:rPr>
        <w:t>Reports Fourth-Quarter and Full-Year 2019</w:t>
      </w:r>
    </w:p>
    <w:p>
      <w:pPr>
        <w:ind w:left="3980"/>
        <w:spacing w:after="0"/>
        <w:rPr>
          <w:sz w:val="20"/>
          <w:szCs w:val="20"/>
          <w:color w:val="auto"/>
        </w:rPr>
      </w:pPr>
      <w:r>
        <w:rPr>
          <w:rFonts w:ascii="Arial" w:cs="Arial" w:eastAsia="Arial" w:hAnsi="Arial"/>
          <w:sz w:val="27"/>
          <w:szCs w:val="27"/>
          <w:b w:val="1"/>
          <w:bCs w:val="1"/>
          <w:color w:val="auto"/>
        </w:rPr>
        <w:t>Unaudited Financial Results</w:t>
      </w:r>
    </w:p>
    <w:p>
      <w:pPr>
        <w:spacing w:after="0" w:line="191" w:lineRule="exact"/>
        <w:rPr>
          <w:sz w:val="20"/>
          <w:szCs w:val="20"/>
          <w:color w:val="auto"/>
        </w:rPr>
      </w:pPr>
    </w:p>
    <w:p>
      <w:pPr>
        <w:ind w:left="2340"/>
        <w:spacing w:after="0"/>
        <w:rPr>
          <w:sz w:val="20"/>
          <w:szCs w:val="20"/>
          <w:color w:val="auto"/>
        </w:rPr>
      </w:pPr>
      <w:r>
        <w:rPr>
          <w:rFonts w:ascii="Arial" w:cs="Arial" w:eastAsia="Arial" w:hAnsi="Arial"/>
          <w:sz w:val="19"/>
          <w:szCs w:val="19"/>
          <w:i w:val="1"/>
          <w:iCs w:val="1"/>
          <w:color w:val="auto"/>
        </w:rPr>
        <w:t>– Record Year with Historical High Gross Billing, Revenue, Gross Profit and Adjusted EBITDA –</w:t>
      </w:r>
    </w:p>
    <w:p>
      <w:pPr>
        <w:spacing w:after="0" w:line="14" w:lineRule="exact"/>
        <w:rPr>
          <w:sz w:val="20"/>
          <w:szCs w:val="20"/>
          <w:color w:val="auto"/>
        </w:rPr>
      </w:pPr>
    </w:p>
    <w:p>
      <w:pPr>
        <w:ind w:left="2740"/>
        <w:spacing w:after="0"/>
        <w:rPr>
          <w:sz w:val="20"/>
          <w:szCs w:val="20"/>
          <w:color w:val="auto"/>
        </w:rPr>
      </w:pPr>
      <w:r>
        <w:rPr>
          <w:rFonts w:ascii="Arial" w:cs="Arial" w:eastAsia="Arial" w:hAnsi="Arial"/>
          <w:sz w:val="19"/>
          <w:szCs w:val="19"/>
          <w:i w:val="1"/>
          <w:iCs w:val="1"/>
          <w:color w:val="auto"/>
        </w:rPr>
        <w:t>– First-ever Quarterly Adjusted Net Income in the Fourth Quarter of 2019 –</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Hong Kong, March 31, 2020 </w:t>
      </w:r>
      <w:r>
        <w:rPr>
          <w:rFonts w:ascii="Arial" w:cs="Arial" w:eastAsia="Arial" w:hAnsi="Arial"/>
          <w:sz w:val="20"/>
          <w:szCs w:val="20"/>
          <w:color w:val="auto"/>
        </w:rPr>
        <w:t>-- iClick Interactive Asia Group Limited (“iClick”) (NASDAQ: ICLK), an independent online marketing and</w:t>
      </w:r>
      <w:r>
        <w:rPr>
          <w:rFonts w:ascii="Arial" w:cs="Arial" w:eastAsia="Arial" w:hAnsi="Arial"/>
          <w:sz w:val="20"/>
          <w:szCs w:val="20"/>
          <w:b w:val="1"/>
          <w:bCs w:val="1"/>
          <w:color w:val="auto"/>
        </w:rPr>
        <w:t xml:space="preserve"> </w:t>
      </w:r>
      <w:r>
        <w:rPr>
          <w:rFonts w:ascii="Arial" w:cs="Arial" w:eastAsia="Arial" w:hAnsi="Arial"/>
          <w:sz w:val="20"/>
          <w:szCs w:val="20"/>
          <w:color w:val="auto"/>
        </w:rPr>
        <w:t>enterprise data solutions provider in China, today announced unaudited financial results for the fourth quarter and full year ended December 31, 2019.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4100" w:type="dxa"/>
            <w:vAlign w:val="bottom"/>
            <w:gridSpan w:val="3"/>
          </w:tcPr>
          <w:p>
            <w:pPr>
              <w:jc w:val="right"/>
              <w:ind w:right="737"/>
              <w:spacing w:after="0"/>
              <w:rPr>
                <w:sz w:val="20"/>
                <w:szCs w:val="20"/>
                <w:color w:val="auto"/>
              </w:rPr>
            </w:pPr>
            <w:r>
              <w:rPr>
                <w:rFonts w:ascii="Arial" w:cs="Arial" w:eastAsia="Arial" w:hAnsi="Arial"/>
                <w:sz w:val="18"/>
                <w:szCs w:val="18"/>
                <w:b w:val="1"/>
                <w:bCs w:val="1"/>
                <w:color w:val="auto"/>
              </w:rPr>
              <w:t>Three Months Ended December 31,</w:t>
            </w:r>
          </w:p>
        </w:tc>
        <w:tc>
          <w:tcPr>
            <w:tcW w:w="3900" w:type="dxa"/>
            <w:vAlign w:val="bottom"/>
            <w:gridSpan w:val="3"/>
          </w:tcPr>
          <w:p>
            <w:pPr>
              <w:jc w:val="right"/>
              <w:ind w:right="877"/>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5"/>
        </w:trPr>
        <w:tc>
          <w:tcPr>
            <w:tcW w:w="3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80" w:type="dxa"/>
            <w:vAlign w:val="bottom"/>
          </w:tcPr>
          <w:p>
            <w:pPr>
              <w:jc w:val="right"/>
              <w:ind w:right="477"/>
              <w:spacing w:after="0"/>
              <w:rPr>
                <w:sz w:val="20"/>
                <w:szCs w:val="20"/>
                <w:color w:val="auto"/>
              </w:rPr>
            </w:pPr>
            <w:r>
              <w:rPr>
                <w:rFonts w:ascii="Arial" w:cs="Arial" w:eastAsia="Arial" w:hAnsi="Arial"/>
                <w:sz w:val="18"/>
                <w:szCs w:val="18"/>
                <w:b w:val="1"/>
                <w:bCs w:val="1"/>
                <w:color w:val="auto"/>
              </w:rPr>
              <w:t>Percentage</w:t>
            </w: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20" w:type="dxa"/>
            <w:vAlign w:val="bottom"/>
          </w:tcPr>
          <w:p>
            <w:pPr>
              <w:jc w:val="right"/>
              <w:ind w:right="217"/>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34"/>
        </w:trPr>
        <w:tc>
          <w:tcPr>
            <w:tcW w:w="3240" w:type="dxa"/>
            <w:vAlign w:val="bottom"/>
            <w:vMerge w:val="restart"/>
          </w:tcPr>
          <w:p>
            <w:pPr>
              <w:spacing w:after="0"/>
              <w:rPr>
                <w:sz w:val="20"/>
                <w:szCs w:val="20"/>
                <w:color w:val="auto"/>
              </w:rPr>
            </w:pPr>
            <w:r>
              <w:rPr>
                <w:rFonts w:ascii="Arial" w:cs="Arial" w:eastAsia="Arial" w:hAnsi="Arial"/>
                <w:sz w:val="14"/>
                <w:szCs w:val="14"/>
                <w:i w:val="1"/>
                <w:iCs w:val="1"/>
                <w:color w:val="auto"/>
              </w:rPr>
              <w:t>(US$ in thousands)</w:t>
            </w:r>
          </w:p>
        </w:tc>
        <w:tc>
          <w:tcPr>
            <w:tcW w:w="1240" w:type="dxa"/>
            <w:vAlign w:val="bottom"/>
          </w:tcPr>
          <w:p>
            <w:pPr>
              <w:jc w:val="right"/>
              <w:ind w:right="497"/>
              <w:spacing w:after="0"/>
              <w:rPr>
                <w:sz w:val="20"/>
                <w:szCs w:val="20"/>
                <w:color w:val="auto"/>
              </w:rPr>
            </w:pPr>
            <w:r>
              <w:rPr>
                <w:rFonts w:ascii="Arial" w:cs="Arial" w:eastAsia="Arial" w:hAnsi="Arial"/>
                <w:sz w:val="18"/>
                <w:szCs w:val="18"/>
                <w:b w:val="1"/>
                <w:bCs w:val="1"/>
                <w:color w:val="auto"/>
              </w:rPr>
              <w:t>2019</w:t>
            </w:r>
          </w:p>
        </w:tc>
        <w:tc>
          <w:tcPr>
            <w:tcW w:w="1180" w:type="dxa"/>
            <w:vAlign w:val="bottom"/>
          </w:tcPr>
          <w:p>
            <w:pPr>
              <w:jc w:val="right"/>
              <w:ind w:right="477"/>
              <w:spacing w:after="0"/>
              <w:rPr>
                <w:sz w:val="20"/>
                <w:szCs w:val="20"/>
                <w:color w:val="auto"/>
              </w:rPr>
            </w:pPr>
            <w:r>
              <w:rPr>
                <w:rFonts w:ascii="Arial" w:cs="Arial" w:eastAsia="Arial" w:hAnsi="Arial"/>
                <w:sz w:val="18"/>
                <w:szCs w:val="18"/>
                <w:b w:val="1"/>
                <w:bCs w:val="1"/>
                <w:color w:val="auto"/>
              </w:rPr>
              <w:t>2018</w:t>
            </w:r>
          </w:p>
        </w:tc>
        <w:tc>
          <w:tcPr>
            <w:tcW w:w="1680" w:type="dxa"/>
            <w:vAlign w:val="bottom"/>
          </w:tcPr>
          <w:p>
            <w:pPr>
              <w:jc w:val="right"/>
              <w:ind w:right="637"/>
              <w:spacing w:after="0"/>
              <w:rPr>
                <w:sz w:val="20"/>
                <w:szCs w:val="20"/>
                <w:color w:val="auto"/>
              </w:rPr>
            </w:pPr>
            <w:r>
              <w:rPr>
                <w:rFonts w:ascii="Arial" w:cs="Arial" w:eastAsia="Arial" w:hAnsi="Arial"/>
                <w:sz w:val="18"/>
                <w:szCs w:val="18"/>
                <w:b w:val="1"/>
                <w:bCs w:val="1"/>
                <w:color w:val="auto"/>
              </w:rPr>
              <w:t>change</w:t>
            </w:r>
          </w:p>
        </w:tc>
        <w:tc>
          <w:tcPr>
            <w:tcW w:w="1240" w:type="dxa"/>
            <w:vAlign w:val="bottom"/>
          </w:tcPr>
          <w:p>
            <w:pPr>
              <w:jc w:val="right"/>
              <w:ind w:right="497"/>
              <w:spacing w:after="0"/>
              <w:rPr>
                <w:sz w:val="20"/>
                <w:szCs w:val="20"/>
                <w:color w:val="auto"/>
              </w:rPr>
            </w:pPr>
            <w:r>
              <w:rPr>
                <w:rFonts w:ascii="Arial" w:cs="Arial" w:eastAsia="Arial" w:hAnsi="Arial"/>
                <w:sz w:val="18"/>
                <w:szCs w:val="18"/>
                <w:b w:val="1"/>
                <w:bCs w:val="1"/>
                <w:color w:val="auto"/>
              </w:rPr>
              <w:t>2019</w:t>
            </w:r>
          </w:p>
        </w:tc>
        <w:tc>
          <w:tcPr>
            <w:tcW w:w="1240" w:type="dxa"/>
            <w:vAlign w:val="bottom"/>
          </w:tcPr>
          <w:p>
            <w:pPr>
              <w:jc w:val="right"/>
              <w:ind w:right="497"/>
              <w:spacing w:after="0"/>
              <w:rPr>
                <w:sz w:val="20"/>
                <w:szCs w:val="20"/>
                <w:color w:val="auto"/>
              </w:rPr>
            </w:pPr>
            <w:r>
              <w:rPr>
                <w:rFonts w:ascii="Arial" w:cs="Arial" w:eastAsia="Arial" w:hAnsi="Arial"/>
                <w:sz w:val="18"/>
                <w:szCs w:val="18"/>
                <w:b w:val="1"/>
                <w:bCs w:val="1"/>
                <w:color w:val="auto"/>
              </w:rPr>
              <w:t>2018</w:t>
            </w:r>
          </w:p>
        </w:tc>
        <w:tc>
          <w:tcPr>
            <w:tcW w:w="1420" w:type="dxa"/>
            <w:vAlign w:val="bottom"/>
          </w:tcPr>
          <w:p>
            <w:pPr>
              <w:jc w:val="right"/>
              <w:ind w:right="357"/>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63"/>
        </w:trPr>
        <w:tc>
          <w:tcPr>
            <w:tcW w:w="324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3240" w:type="dxa"/>
            <w:vAlign w:val="bottom"/>
          </w:tcPr>
          <w:p>
            <w:pPr>
              <w:spacing w:after="0"/>
              <w:rPr>
                <w:sz w:val="20"/>
                <w:szCs w:val="20"/>
                <w:color w:val="auto"/>
              </w:rPr>
            </w:pPr>
            <w:r>
              <w:rPr>
                <w:rFonts w:ascii="Arial" w:cs="Arial" w:eastAsia="Arial" w:hAnsi="Arial"/>
                <w:sz w:val="14"/>
                <w:szCs w:val="14"/>
                <w:i w:val="1"/>
                <w:iCs w:val="1"/>
                <w:color w:val="auto"/>
              </w:rPr>
              <w:t>(Unaudited)</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b w:val="1"/>
                <w:bCs w:val="1"/>
                <w:color w:val="auto"/>
              </w:rPr>
              <w:t>Financial Metrics:</w:t>
            </w: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40" w:type="dxa"/>
            <w:vAlign w:val="bottom"/>
          </w:tcPr>
          <w:p>
            <w:pPr>
              <w:spacing w:after="0"/>
              <w:rPr>
                <w:sz w:val="20"/>
                <w:szCs w:val="20"/>
                <w:color w:val="auto"/>
              </w:rPr>
            </w:pPr>
            <w:r>
              <w:rPr>
                <w:rFonts w:ascii="Arial" w:cs="Arial" w:eastAsia="Arial" w:hAnsi="Arial"/>
                <w:sz w:val="16"/>
                <w:szCs w:val="16"/>
                <w:color w:val="auto"/>
              </w:rPr>
              <w:t>Revenue</w:t>
            </w: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40" w:type="dxa"/>
            <w:vAlign w:val="bottom"/>
          </w:tcPr>
          <w:p>
            <w:pPr>
              <w:ind w:left="220"/>
              <w:spacing w:after="0"/>
              <w:rPr>
                <w:sz w:val="20"/>
                <w:szCs w:val="20"/>
                <w:color w:val="auto"/>
              </w:rPr>
            </w:pPr>
            <w:r>
              <w:rPr>
                <w:rFonts w:ascii="Arial" w:cs="Arial" w:eastAsia="Arial" w:hAnsi="Arial"/>
                <w:sz w:val="16"/>
                <w:szCs w:val="16"/>
                <w:color w:val="auto"/>
              </w:rPr>
              <w:t>Marketing solutions</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53,068</w:t>
            </w:r>
          </w:p>
        </w:tc>
        <w:tc>
          <w:tcPr>
            <w:tcW w:w="1180" w:type="dxa"/>
            <w:vAlign w:val="bottom"/>
          </w:tcPr>
          <w:p>
            <w:pPr>
              <w:jc w:val="right"/>
              <w:ind w:right="197"/>
              <w:spacing w:after="0"/>
              <w:rPr>
                <w:sz w:val="20"/>
                <w:szCs w:val="20"/>
                <w:color w:val="auto"/>
              </w:rPr>
            </w:pPr>
            <w:r>
              <w:rPr>
                <w:rFonts w:ascii="Arial" w:cs="Arial" w:eastAsia="Arial" w:hAnsi="Arial"/>
                <w:sz w:val="16"/>
                <w:szCs w:val="16"/>
                <w:color w:val="auto"/>
              </w:rPr>
              <w:t>39,504</w:t>
            </w:r>
          </w:p>
        </w:tc>
        <w:tc>
          <w:tcPr>
            <w:tcW w:w="1680" w:type="dxa"/>
            <w:vAlign w:val="bottom"/>
          </w:tcPr>
          <w:p>
            <w:pPr>
              <w:jc w:val="right"/>
              <w:ind w:right="197"/>
              <w:spacing w:after="0"/>
              <w:rPr>
                <w:sz w:val="20"/>
                <w:szCs w:val="20"/>
                <w:color w:val="auto"/>
              </w:rPr>
            </w:pPr>
            <w:r>
              <w:rPr>
                <w:rFonts w:ascii="Arial" w:cs="Arial" w:eastAsia="Arial" w:hAnsi="Arial"/>
                <w:sz w:val="16"/>
                <w:szCs w:val="16"/>
                <w:color w:val="auto"/>
              </w:rPr>
              <w:t>34%</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188,972</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160,017</w:t>
            </w:r>
          </w:p>
        </w:tc>
        <w:tc>
          <w:tcPr>
            <w:tcW w:w="14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0"/>
        </w:trPr>
        <w:tc>
          <w:tcPr>
            <w:tcW w:w="3240" w:type="dxa"/>
            <w:vAlign w:val="bottom"/>
          </w:tcPr>
          <w:p>
            <w:pPr>
              <w:ind w:left="220"/>
              <w:spacing w:after="0"/>
              <w:rPr>
                <w:sz w:val="20"/>
                <w:szCs w:val="20"/>
                <w:color w:val="auto"/>
              </w:rPr>
            </w:pPr>
            <w:r>
              <w:rPr>
                <w:rFonts w:ascii="Arial" w:cs="Arial" w:eastAsia="Arial" w:hAnsi="Arial"/>
                <w:sz w:val="16"/>
                <w:szCs w:val="16"/>
                <w:color w:val="auto"/>
              </w:rPr>
              <w:t>Enterprise solutions</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3,607</w:t>
            </w:r>
          </w:p>
        </w:tc>
        <w:tc>
          <w:tcPr>
            <w:tcW w:w="118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97"/>
              <w:spacing w:after="0"/>
              <w:rPr>
                <w:sz w:val="20"/>
                <w:szCs w:val="20"/>
                <w:color w:val="auto"/>
              </w:rPr>
            </w:pPr>
            <w:r>
              <w:rPr>
                <w:rFonts w:ascii="Arial" w:cs="Arial" w:eastAsia="Arial" w:hAnsi="Arial"/>
                <w:sz w:val="16"/>
                <w:szCs w:val="16"/>
                <w:color w:val="auto"/>
              </w:rPr>
              <w:t>N/M</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10,436</w:t>
            </w:r>
          </w:p>
        </w:tc>
        <w:tc>
          <w:tcPr>
            <w:tcW w:w="124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Total revenue</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56,675</w:t>
            </w:r>
          </w:p>
        </w:tc>
        <w:tc>
          <w:tcPr>
            <w:tcW w:w="1180" w:type="dxa"/>
            <w:vAlign w:val="bottom"/>
          </w:tcPr>
          <w:p>
            <w:pPr>
              <w:jc w:val="right"/>
              <w:ind w:right="197"/>
              <w:spacing w:after="0"/>
              <w:rPr>
                <w:sz w:val="20"/>
                <w:szCs w:val="20"/>
                <w:color w:val="auto"/>
              </w:rPr>
            </w:pPr>
            <w:r>
              <w:rPr>
                <w:rFonts w:ascii="Arial" w:cs="Arial" w:eastAsia="Arial" w:hAnsi="Arial"/>
                <w:sz w:val="16"/>
                <w:szCs w:val="16"/>
                <w:color w:val="auto"/>
              </w:rPr>
              <w:t>39,504</w:t>
            </w:r>
          </w:p>
        </w:tc>
        <w:tc>
          <w:tcPr>
            <w:tcW w:w="1680" w:type="dxa"/>
            <w:vAlign w:val="bottom"/>
          </w:tcPr>
          <w:p>
            <w:pPr>
              <w:jc w:val="right"/>
              <w:ind w:right="197"/>
              <w:spacing w:after="0"/>
              <w:rPr>
                <w:sz w:val="20"/>
                <w:szCs w:val="20"/>
                <w:color w:val="auto"/>
              </w:rPr>
            </w:pPr>
            <w:r>
              <w:rPr>
                <w:rFonts w:ascii="Arial" w:cs="Arial" w:eastAsia="Arial" w:hAnsi="Arial"/>
                <w:sz w:val="16"/>
                <w:szCs w:val="16"/>
                <w:color w:val="auto"/>
              </w:rPr>
              <w:t>43%</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199,408</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160,017</w:t>
            </w:r>
          </w:p>
        </w:tc>
        <w:tc>
          <w:tcPr>
            <w:tcW w:w="14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9"/>
        </w:trPr>
        <w:tc>
          <w:tcPr>
            <w:tcW w:w="3240" w:type="dxa"/>
            <w:vAlign w:val="bottom"/>
          </w:tcPr>
          <w:p>
            <w:pPr>
              <w:spacing w:after="0"/>
              <w:rPr>
                <w:sz w:val="20"/>
                <w:szCs w:val="20"/>
                <w:color w:val="auto"/>
              </w:rPr>
            </w:pPr>
            <w:r>
              <w:rPr>
                <w:rFonts w:ascii="Arial" w:cs="Arial" w:eastAsia="Arial" w:hAnsi="Arial"/>
                <w:sz w:val="16"/>
                <w:szCs w:val="16"/>
                <w:color w:val="auto"/>
              </w:rPr>
              <w:t>Gross profit</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17,162</w:t>
            </w:r>
          </w:p>
        </w:tc>
        <w:tc>
          <w:tcPr>
            <w:tcW w:w="1180" w:type="dxa"/>
            <w:vAlign w:val="bottom"/>
          </w:tcPr>
          <w:p>
            <w:pPr>
              <w:jc w:val="right"/>
              <w:ind w:right="197"/>
              <w:spacing w:after="0"/>
              <w:rPr>
                <w:sz w:val="20"/>
                <w:szCs w:val="20"/>
                <w:color w:val="auto"/>
              </w:rPr>
            </w:pPr>
            <w:r>
              <w:rPr>
                <w:rFonts w:ascii="Arial" w:cs="Arial" w:eastAsia="Arial" w:hAnsi="Arial"/>
                <w:sz w:val="16"/>
                <w:szCs w:val="16"/>
                <w:color w:val="auto"/>
              </w:rPr>
              <w:t>11,753</w:t>
            </w:r>
          </w:p>
        </w:tc>
        <w:tc>
          <w:tcPr>
            <w:tcW w:w="1680" w:type="dxa"/>
            <w:vAlign w:val="bottom"/>
          </w:tcPr>
          <w:p>
            <w:pPr>
              <w:jc w:val="right"/>
              <w:ind w:right="197"/>
              <w:spacing w:after="0"/>
              <w:rPr>
                <w:sz w:val="20"/>
                <w:szCs w:val="20"/>
                <w:color w:val="auto"/>
              </w:rPr>
            </w:pPr>
            <w:r>
              <w:rPr>
                <w:rFonts w:ascii="Arial" w:cs="Arial" w:eastAsia="Arial" w:hAnsi="Arial"/>
                <w:sz w:val="16"/>
                <w:szCs w:val="16"/>
                <w:color w:val="auto"/>
              </w:rPr>
              <w:t>46%</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56,705</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39,120</w:t>
            </w:r>
          </w:p>
        </w:tc>
        <w:tc>
          <w:tcPr>
            <w:tcW w:w="14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23"/>
                <w:szCs w:val="23"/>
                <w:color w:val="auto"/>
                <w:vertAlign w:val="superscript"/>
              </w:rPr>
              <w:t>1</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2,508</w:t>
            </w:r>
          </w:p>
        </w:tc>
        <w:tc>
          <w:tcPr>
            <w:tcW w:w="1180" w:type="dxa"/>
            <w:vAlign w:val="bottom"/>
          </w:tcPr>
          <w:p>
            <w:pPr>
              <w:jc w:val="right"/>
              <w:ind w:right="197"/>
              <w:spacing w:after="0"/>
              <w:rPr>
                <w:sz w:val="20"/>
                <w:szCs w:val="20"/>
                <w:color w:val="auto"/>
              </w:rPr>
            </w:pPr>
            <w:r>
              <w:rPr>
                <w:rFonts w:ascii="Arial" w:cs="Arial" w:eastAsia="Arial" w:hAnsi="Arial"/>
                <w:sz w:val="16"/>
                <w:szCs w:val="16"/>
                <w:color w:val="auto"/>
              </w:rPr>
              <w:t>(885)</w:t>
            </w:r>
          </w:p>
        </w:tc>
        <w:tc>
          <w:tcPr>
            <w:tcW w:w="1680" w:type="dxa"/>
            <w:vAlign w:val="bottom"/>
          </w:tcPr>
          <w:p>
            <w:pPr>
              <w:jc w:val="right"/>
              <w:ind w:right="197"/>
              <w:spacing w:after="0"/>
              <w:rPr>
                <w:sz w:val="20"/>
                <w:szCs w:val="20"/>
                <w:color w:val="auto"/>
              </w:rPr>
            </w:pPr>
            <w:r>
              <w:rPr>
                <w:rFonts w:ascii="Arial" w:cs="Arial" w:eastAsia="Arial" w:hAnsi="Arial"/>
                <w:sz w:val="16"/>
                <w:szCs w:val="16"/>
                <w:color w:val="auto"/>
              </w:rPr>
              <w:t>N/M</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5,908</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1,564</w:t>
            </w:r>
          </w:p>
        </w:tc>
        <w:tc>
          <w:tcPr>
            <w:tcW w:w="142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4"/>
                <w:szCs w:val="14"/>
                <w:color w:val="auto"/>
              </w:rPr>
              <w:t>Adjusted net income/(loss)</w:t>
            </w:r>
            <w:r>
              <w:rPr>
                <w:rFonts w:ascii="Arial" w:cs="Arial" w:eastAsia="Arial" w:hAnsi="Arial"/>
                <w:sz w:val="23"/>
                <w:szCs w:val="23"/>
                <w:color w:val="auto"/>
                <w:vertAlign w:val="superscript"/>
              </w:rPr>
              <w:t>1</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118</w:t>
            </w:r>
          </w:p>
        </w:tc>
        <w:tc>
          <w:tcPr>
            <w:tcW w:w="1180" w:type="dxa"/>
            <w:vAlign w:val="bottom"/>
          </w:tcPr>
          <w:p>
            <w:pPr>
              <w:jc w:val="right"/>
              <w:ind w:right="197"/>
              <w:spacing w:after="0"/>
              <w:rPr>
                <w:sz w:val="20"/>
                <w:szCs w:val="20"/>
                <w:color w:val="auto"/>
              </w:rPr>
            </w:pPr>
            <w:r>
              <w:rPr>
                <w:rFonts w:ascii="Arial" w:cs="Arial" w:eastAsia="Arial" w:hAnsi="Arial"/>
                <w:sz w:val="16"/>
                <w:szCs w:val="16"/>
                <w:color w:val="auto"/>
              </w:rPr>
              <w:t>(1,291)</w:t>
            </w:r>
          </w:p>
        </w:tc>
        <w:tc>
          <w:tcPr>
            <w:tcW w:w="1680" w:type="dxa"/>
            <w:vAlign w:val="bottom"/>
          </w:tcPr>
          <w:p>
            <w:pPr>
              <w:jc w:val="right"/>
              <w:ind w:right="197"/>
              <w:spacing w:after="0"/>
              <w:rPr>
                <w:sz w:val="20"/>
                <w:szCs w:val="20"/>
                <w:color w:val="auto"/>
              </w:rPr>
            </w:pPr>
            <w:r>
              <w:rPr>
                <w:rFonts w:ascii="Arial" w:cs="Arial" w:eastAsia="Arial" w:hAnsi="Arial"/>
                <w:sz w:val="16"/>
                <w:szCs w:val="16"/>
                <w:color w:val="auto"/>
              </w:rPr>
              <w:t>N/M</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(2,173)</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(4,669)</w:t>
            </w:r>
          </w:p>
        </w:tc>
        <w:tc>
          <w:tcPr>
            <w:tcW w:w="14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7"/>
        </w:trPr>
        <w:tc>
          <w:tcPr>
            <w:tcW w:w="3240" w:type="dxa"/>
            <w:vAlign w:val="bottom"/>
          </w:tcPr>
          <w:p>
            <w:pPr>
              <w:spacing w:after="0" w:line="198" w:lineRule="exact"/>
              <w:rPr>
                <w:sz w:val="20"/>
                <w:szCs w:val="20"/>
                <w:color w:val="auto"/>
              </w:rPr>
            </w:pPr>
            <w:r>
              <w:rPr>
                <w:rFonts w:ascii="Arial" w:cs="Arial" w:eastAsia="Arial" w:hAnsi="Arial"/>
                <w:sz w:val="14"/>
                <w:szCs w:val="14"/>
                <w:color w:val="auto"/>
              </w:rPr>
              <w:t>Diluted adjusted net income/(loss) per ADS</w:t>
            </w:r>
            <w:r>
              <w:rPr>
                <w:rFonts w:ascii="Arial" w:cs="Arial" w:eastAsia="Arial" w:hAnsi="Arial"/>
                <w:sz w:val="22"/>
                <w:szCs w:val="22"/>
                <w:color w:val="auto"/>
                <w:vertAlign w:val="superscript"/>
              </w:rPr>
              <w:t>1</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0.0020</w:t>
            </w:r>
          </w:p>
        </w:tc>
        <w:tc>
          <w:tcPr>
            <w:tcW w:w="1180" w:type="dxa"/>
            <w:vAlign w:val="bottom"/>
          </w:tcPr>
          <w:p>
            <w:pPr>
              <w:jc w:val="right"/>
              <w:ind w:right="197"/>
              <w:spacing w:after="0"/>
              <w:rPr>
                <w:sz w:val="20"/>
                <w:szCs w:val="20"/>
                <w:color w:val="auto"/>
              </w:rPr>
            </w:pPr>
            <w:r>
              <w:rPr>
                <w:rFonts w:ascii="Arial" w:cs="Arial" w:eastAsia="Arial" w:hAnsi="Arial"/>
                <w:sz w:val="16"/>
                <w:szCs w:val="16"/>
                <w:color w:val="auto"/>
              </w:rPr>
              <w:t>(0.0237)</w:t>
            </w:r>
          </w:p>
        </w:tc>
        <w:tc>
          <w:tcPr>
            <w:tcW w:w="1680" w:type="dxa"/>
            <w:vAlign w:val="bottom"/>
          </w:tcPr>
          <w:p>
            <w:pPr>
              <w:jc w:val="right"/>
              <w:ind w:right="197"/>
              <w:spacing w:after="0"/>
              <w:rPr>
                <w:sz w:val="20"/>
                <w:szCs w:val="20"/>
                <w:color w:val="auto"/>
              </w:rPr>
            </w:pPr>
            <w:r>
              <w:rPr>
                <w:rFonts w:ascii="Arial" w:cs="Arial" w:eastAsia="Arial" w:hAnsi="Arial"/>
                <w:sz w:val="16"/>
                <w:szCs w:val="16"/>
                <w:color w:val="auto"/>
              </w:rPr>
              <w:t>N/M</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(0.0382)</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(0.0883)</w:t>
            </w:r>
          </w:p>
        </w:tc>
        <w:tc>
          <w:tcPr>
            <w:tcW w:w="14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b w:val="1"/>
                <w:bCs w:val="1"/>
                <w:color w:val="auto"/>
              </w:rPr>
              <w:t>Operating Metrics:</w:t>
            </w: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6"/>
                <w:szCs w:val="16"/>
                <w:color w:val="auto"/>
              </w:rPr>
              <w:t>Gross billing</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223,429</w:t>
            </w:r>
          </w:p>
        </w:tc>
        <w:tc>
          <w:tcPr>
            <w:tcW w:w="1180" w:type="dxa"/>
            <w:vAlign w:val="bottom"/>
          </w:tcPr>
          <w:p>
            <w:pPr>
              <w:jc w:val="right"/>
              <w:ind w:right="197"/>
              <w:spacing w:after="0"/>
              <w:rPr>
                <w:sz w:val="20"/>
                <w:szCs w:val="20"/>
                <w:color w:val="auto"/>
              </w:rPr>
            </w:pPr>
            <w:r>
              <w:rPr>
                <w:rFonts w:ascii="Arial" w:cs="Arial" w:eastAsia="Arial" w:hAnsi="Arial"/>
                <w:sz w:val="16"/>
                <w:szCs w:val="16"/>
                <w:color w:val="auto"/>
              </w:rPr>
              <w:t>98,057</w:t>
            </w:r>
          </w:p>
        </w:tc>
        <w:tc>
          <w:tcPr>
            <w:tcW w:w="1680" w:type="dxa"/>
            <w:vAlign w:val="bottom"/>
          </w:tcPr>
          <w:p>
            <w:pPr>
              <w:jc w:val="right"/>
              <w:ind w:right="197"/>
              <w:spacing w:after="0"/>
              <w:rPr>
                <w:sz w:val="20"/>
                <w:szCs w:val="20"/>
                <w:color w:val="auto"/>
              </w:rPr>
            </w:pPr>
            <w:r>
              <w:rPr>
                <w:rFonts w:ascii="Arial" w:cs="Arial" w:eastAsia="Arial" w:hAnsi="Arial"/>
                <w:sz w:val="16"/>
                <w:szCs w:val="16"/>
                <w:color w:val="auto"/>
              </w:rPr>
              <w:t>128%</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640,767</w:t>
            </w:r>
          </w:p>
        </w:tc>
        <w:tc>
          <w:tcPr>
            <w:tcW w:w="1240" w:type="dxa"/>
            <w:vAlign w:val="bottom"/>
          </w:tcPr>
          <w:p>
            <w:pPr>
              <w:jc w:val="right"/>
              <w:ind w:right="197"/>
              <w:spacing w:after="0"/>
              <w:rPr>
                <w:sz w:val="20"/>
                <w:szCs w:val="20"/>
                <w:color w:val="auto"/>
              </w:rPr>
            </w:pPr>
            <w:r>
              <w:rPr>
                <w:rFonts w:ascii="Arial" w:cs="Arial" w:eastAsia="Arial" w:hAnsi="Arial"/>
                <w:sz w:val="16"/>
                <w:szCs w:val="16"/>
                <w:color w:val="auto"/>
              </w:rPr>
              <w:t>399,749</w:t>
            </w:r>
          </w:p>
        </w:tc>
        <w:tc>
          <w:tcPr>
            <w:tcW w:w="14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Jian “T.J.” Tang, Chief Executive Officer and Co-Founder of iClick noted: “2019 was a record year for iClick as we continue to migrate our services to an integrated Enterprise and Marketing Cloud Platform in China. Our business achieved record results in gross billings, revenues, gross profit and adjusted EBITDA. More importantly, for the first-time ever, we reported quarterly adjusted net income in the fourth quarter of 2019.</w:t>
      </w:r>
    </w:p>
    <w:p>
      <w:pPr>
        <w:spacing w:after="0" w:line="12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key highlight of 2019 was the launch of our Enterprise Solutions business. This is a major initiative that will serve to strengthen our company for years to come by diversifying our product offerings, providing new revenue opportunities that will also drive higher gross margins. In our first full year of operations, our Enterprise Solutions division reported $10.4 million in revenues, which we project to increase substantially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2040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1"/>
          <w:szCs w:val="11"/>
          <w:color w:val="auto"/>
        </w:rPr>
      </w:pPr>
      <w:r>
        <w:rPr>
          <w:rFonts w:ascii="Arial" w:cs="Arial" w:eastAsia="Arial" w:hAnsi="Arial"/>
          <w:sz w:val="13"/>
          <w:szCs w:val="13"/>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91" w:lineRule="auto"/>
        <w:rPr>
          <w:sz w:val="20"/>
          <w:szCs w:val="20"/>
          <w:color w:val="auto"/>
        </w:rPr>
      </w:pPr>
      <w:r>
        <w:rPr>
          <w:rFonts w:ascii="Arial" w:cs="Arial" w:eastAsia="Arial" w:hAnsi="Arial"/>
          <w:sz w:val="18"/>
          <w:szCs w:val="18"/>
          <w:color w:val="auto"/>
        </w:rPr>
        <w:t>Another key accomplishment was our recent announcement to get new credit facilities from HSBC and the introduction of new strategic and financial investors which shall support our future growth. Lastly, in 2019 we celebrated our tenth anniversary, which sees us transform from a small start-up to a cutting-edge marketing technology company in China. We are very proud of what we have achieved.”</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“While we expect our business to continue growing rapidly, there is a unique set of macro challenges in 2020. We face not only the ongoing US-China trade conflicts but also the recent Coronavirus outbreak. Currently, we are doing everything we can to help protect the health and well-being of our employees. We are closely monitoring the outbreak’s impact on our operations and financial results and our outlook remains cautiously optimistic. We are increasing our recently announced 2020 full-year revenue guidance range, from $240 million to $260 million range, primarily because we believe that more brands are seeing the greater importance of online-to-offline integration and we are confident that this will serve to increase the demand for our Enterprise Solutions in the second half of 2020.”</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2019 Results:</w:t>
      </w:r>
    </w:p>
    <w:p>
      <w:pPr>
        <w:spacing w:after="0" w:line="10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for the fourth quarter of 2019 grew to US$56.7 million, up 43% from US$39.5 million for the same period of the prior year,</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the increase in contributions from existing marketing solutions and enterprise solutions, partially offset by a 4% decrease in the average exchange rate of Renminbi to the US dollar for the fourth quarter of 2019 compared to the same period in 2018.</w:t>
      </w:r>
    </w:p>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Revenue from marketing solutions </w:t>
      </w:r>
      <w:r>
        <w:rPr>
          <w:rFonts w:ascii="Arial" w:cs="Arial" w:eastAsia="Arial" w:hAnsi="Arial"/>
          <w:sz w:val="20"/>
          <w:szCs w:val="20"/>
          <w:color w:val="auto"/>
        </w:rPr>
        <w:t>grew to US$53.1 million for the fourth quarter of 2019, up 34% from US$39.5 million for the fourth</w:t>
      </w:r>
      <w:r>
        <w:rPr>
          <w:rFonts w:ascii="Arial" w:cs="Arial" w:eastAsia="Arial" w:hAnsi="Arial"/>
          <w:sz w:val="20"/>
          <w:szCs w:val="20"/>
          <w:i w:val="1"/>
          <w:iCs w:val="1"/>
          <w:color w:val="auto"/>
        </w:rPr>
        <w:t xml:space="preserve"> </w:t>
      </w:r>
      <w:r>
        <w:rPr>
          <w:rFonts w:ascii="Arial" w:cs="Arial" w:eastAsia="Arial" w:hAnsi="Arial"/>
          <w:sz w:val="20"/>
          <w:szCs w:val="20"/>
          <w:color w:val="auto"/>
        </w:rPr>
        <w:t>quarter of 2018, primarily as the result of growing market demand from marketers.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Revenue from enterprise solutions </w:t>
      </w:r>
      <w:r>
        <w:rPr>
          <w:rFonts w:ascii="Arial" w:cs="Arial" w:eastAsia="Arial" w:hAnsi="Arial"/>
          <w:sz w:val="20"/>
          <w:szCs w:val="20"/>
          <w:color w:val="auto"/>
        </w:rPr>
        <w:t>was US$3.6 million for the fourth quarter of 2019.</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for the fourth quarter of 2019 was US$17.2 million, representing a 46% increase compared with US$11.8 million for the fourth</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2018, mainly due to continual expansion of the Company’s marketing solutions and contribution from higher margin enterprise solutions.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Total operating expenses </w:t>
      </w:r>
      <w:r>
        <w:rPr>
          <w:rFonts w:ascii="Arial" w:cs="Arial" w:eastAsia="Arial" w:hAnsi="Arial"/>
          <w:sz w:val="20"/>
          <w:szCs w:val="20"/>
          <w:color w:val="auto"/>
        </w:rPr>
        <w:t>were US$22.4 million for the fourth quarter of 2019, compared with US$22.3 million for the fourth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2018, primarily attributable to the issuance cost of new convertible notes of US$4.6 million and operating expenses incurred for new business, partially offset by the reduction in share-based compensation expense of US$5.9 million.</w:t>
      </w:r>
    </w:p>
    <w:p>
      <w:pPr>
        <w:spacing w:after="0" w:line="204"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 xml:space="preserve">Operating loss </w:t>
      </w:r>
      <w:r>
        <w:rPr>
          <w:rFonts w:ascii="Arial" w:cs="Arial" w:eastAsia="Arial" w:hAnsi="Arial"/>
          <w:sz w:val="20"/>
          <w:szCs w:val="20"/>
          <w:color w:val="auto"/>
        </w:rPr>
        <w:t>was US$5.3 million for the fourth quarter of 2019, compared with an operating loss of US$10.5 million for the fourth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of 2018, as a result of reduction in share-based compensation expenses and strong growth in gross profit, partially offset by the issuance cost of new convertible notes of US$4.6 million for the fourth quarter of 2019.</w:t>
      </w:r>
    </w:p>
    <w:p>
      <w:pPr>
        <w:spacing w:after="0" w:line="20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totalled US$6.0 million for the fourth quarter of 2019, compared with net loss of US$8.1 million for the fourth quarter of 2018. This</w:t>
      </w:r>
      <w:r>
        <w:rPr>
          <w:rFonts w:ascii="Arial" w:cs="Arial" w:eastAsia="Arial" w:hAnsi="Arial"/>
          <w:sz w:val="18"/>
          <w:szCs w:val="18"/>
          <w:b w:val="1"/>
          <w:bCs w:val="1"/>
          <w:color w:val="auto"/>
        </w:rPr>
        <w:t xml:space="preserve"> </w:t>
      </w:r>
      <w:r>
        <w:rPr>
          <w:rFonts w:ascii="Arial" w:cs="Arial" w:eastAsia="Arial" w:hAnsi="Arial"/>
          <w:sz w:val="18"/>
          <w:szCs w:val="18"/>
          <w:color w:val="auto"/>
        </w:rPr>
        <w:t>was mainly attributed to the lower operating loss of US$5.3 million in the fourth quarter of 2019, compared to operating loss of US$10.5 million in the fourth quarter of 2018. This decrease in operating loss was partially offset by fair value losses on convertible notes of US$0.8 million in the fourth quarter of 2019, compared with fair value gains on convertible notes of US$0.5 million in the fourth quarter of 2018, and the change from income tax benefits in the fourth quarter of 2018 to income tax expenses in the fourth quarter of 2019.</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loss attributable to the Company’s shareholders per basic and diluted ADS for the fourth quarter of 2019 was US$0.1003, compared with a net loss per basic and diluted ADS of US$0.1455 for the fourth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 w:name="page6"/>
    <w:bookmarkEnd w:id="5"/>
    <w:p>
      <w:pPr>
        <w:jc w:val="both"/>
        <w:spacing w:after="0" w:line="272" w:lineRule="auto"/>
        <w:rPr>
          <w:sz w:val="20"/>
          <w:szCs w:val="20"/>
          <w:color w:val="auto"/>
        </w:rPr>
      </w:pPr>
      <w:r>
        <w:rPr>
          <w:rFonts w:ascii="Arial" w:cs="Arial" w:eastAsia="Arial" w:hAnsi="Arial"/>
          <w:sz w:val="19"/>
          <w:szCs w:val="19"/>
          <w:b w:val="1"/>
          <w:bCs w:val="1"/>
          <w:color w:val="auto"/>
        </w:rPr>
        <w:t xml:space="preserve">Adjusted EBITDA </w:t>
      </w:r>
      <w:r>
        <w:rPr>
          <w:rFonts w:ascii="Arial" w:cs="Arial" w:eastAsia="Arial" w:hAnsi="Arial"/>
          <w:sz w:val="19"/>
          <w:szCs w:val="19"/>
          <w:color w:val="auto"/>
        </w:rPr>
        <w:t>for the fourth quarter of 2019 was an income of US $2.5 million, compared with a loss of US $0.9 million for the fourth</w:t>
      </w:r>
      <w:r>
        <w:rPr>
          <w:rFonts w:ascii="Arial" w:cs="Arial" w:eastAsia="Arial" w:hAnsi="Arial"/>
          <w:sz w:val="19"/>
          <w:szCs w:val="19"/>
          <w:b w:val="1"/>
          <w:bCs w:val="1"/>
          <w:color w:val="auto"/>
        </w:rPr>
        <w:t xml:space="preserve"> </w:t>
      </w:r>
      <w:r>
        <w:rPr>
          <w:rFonts w:ascii="Arial" w:cs="Arial" w:eastAsia="Arial" w:hAnsi="Arial"/>
          <w:sz w:val="19"/>
          <w:szCs w:val="19"/>
          <w:color w:val="auto"/>
        </w:rPr>
        <w:t>quarter of 2018, mainly resulting from the increase in gross profit. For a reconciliation of the Company’s adjusted EBITDA from net loss, its most comparable GAAP measure, please refer to “Unaudited Reconciliations of GAAP and Non-GAAP Results.”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Adjusted net income/(loss) </w:t>
      </w:r>
      <w:r>
        <w:rPr>
          <w:rFonts w:ascii="Arial" w:cs="Arial" w:eastAsia="Arial" w:hAnsi="Arial"/>
          <w:sz w:val="19"/>
          <w:szCs w:val="19"/>
          <w:color w:val="auto"/>
        </w:rPr>
        <w:t>for the fourth quarter of 2019 was an adjusted net income of US$0.1 million, compared with an adjusted net loss</w:t>
      </w:r>
      <w:r>
        <w:rPr>
          <w:rFonts w:ascii="Arial" w:cs="Arial" w:eastAsia="Arial" w:hAnsi="Arial"/>
          <w:sz w:val="19"/>
          <w:szCs w:val="19"/>
          <w:b w:val="1"/>
          <w:bCs w:val="1"/>
          <w:color w:val="auto"/>
        </w:rPr>
        <w:t xml:space="preserve"> </w:t>
      </w:r>
      <w:r>
        <w:rPr>
          <w:rFonts w:ascii="Arial" w:cs="Arial" w:eastAsia="Arial" w:hAnsi="Arial"/>
          <w:sz w:val="19"/>
          <w:szCs w:val="19"/>
          <w:color w:val="auto"/>
        </w:rPr>
        <w:t>of US$1.3 million in the fourth quarter of 2018. For a reconciliation of the Company’s adjusted net income/(loss) from net loss, its most comparable GAAP measure, please refer to “Unaudited Reconciliations of GAAP and Non-GAAP Results.”</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Gross billing</w:t>
      </w:r>
      <w:r>
        <w:rPr>
          <w:rFonts w:ascii="Arial" w:cs="Arial" w:eastAsia="Arial" w:hAnsi="Arial"/>
          <w:sz w:val="16"/>
          <w:szCs w:val="16"/>
          <w:color w:val="auto"/>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grew to US$223.4 million for the fourth quarter of 2019, up 128% from US$98.1 million in the fourth quarter of 2018. The</w:t>
      </w:r>
      <w:r>
        <w:rPr>
          <w:rFonts w:ascii="Arial" w:cs="Arial" w:eastAsia="Arial" w:hAnsi="Arial"/>
          <w:sz w:val="20"/>
          <w:szCs w:val="20"/>
          <w:b w:val="1"/>
          <w:bCs w:val="1"/>
          <w:color w:val="auto"/>
        </w:rPr>
        <w:t xml:space="preserve"> </w:t>
      </w:r>
      <w:r>
        <w:rPr>
          <w:rFonts w:ascii="Arial" w:cs="Arial" w:eastAsia="Arial" w:hAnsi="Arial"/>
          <w:sz w:val="20"/>
          <w:szCs w:val="20"/>
          <w:color w:val="auto"/>
        </w:rPr>
        <w:t>increase was primarily a result of increasing marketers’ demands, partially offset by the depreciation of Renminbi against the US dollar by 4% compared with the same period of the prior year. The gross billing would have increased by 136% on a currency-neutral basis at US$232.0 million for the fourth quarter of 2019 compared with the same period of the prior year.</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December 31, 2019, the Company had cash and cash equivalents of US$36.9 million, compared with US$39.8 million as of December 31, 2018. Restricted cash and time deposit as of December 31, 2019 amounted to US$23.8 million and US$0.4 million respectively, compared with nil and nil as of December 31, 2018,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2019 Results:</w:t>
      </w:r>
    </w:p>
    <w:p>
      <w:pPr>
        <w:spacing w:after="0" w:line="243"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for 2019 was US $199.4 million, an increase of 25% from US$160.0 million in 2018, primarily as a result of the increase in</w:t>
      </w:r>
      <w:r>
        <w:rPr>
          <w:rFonts w:ascii="Arial" w:cs="Arial" w:eastAsia="Arial" w:hAnsi="Arial"/>
          <w:sz w:val="20"/>
          <w:szCs w:val="20"/>
          <w:b w:val="1"/>
          <w:bCs w:val="1"/>
          <w:color w:val="auto"/>
        </w:rPr>
        <w:t xml:space="preserve"> </w:t>
      </w:r>
      <w:r>
        <w:rPr>
          <w:rFonts w:ascii="Arial" w:cs="Arial" w:eastAsia="Arial" w:hAnsi="Arial"/>
          <w:sz w:val="20"/>
          <w:szCs w:val="20"/>
          <w:color w:val="auto"/>
        </w:rPr>
        <w:t>contributions from existing marketing solutions and enterprise solutions, partially offset by a 5% decrease in the average exchange rate of Renminbi to the US dollar for 2019 compared to the prior year.</w:t>
      </w:r>
    </w:p>
    <w:p>
      <w:pPr>
        <w:spacing w:after="0" w:line="21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Revenue from marketing solutions </w:t>
      </w:r>
      <w:r>
        <w:rPr>
          <w:rFonts w:ascii="Arial" w:cs="Arial" w:eastAsia="Arial" w:hAnsi="Arial"/>
          <w:sz w:val="20"/>
          <w:szCs w:val="20"/>
          <w:color w:val="auto"/>
        </w:rPr>
        <w:t>grew to US$189.0 million for 2019, up 18% from US$160.0 million for 2018, primarily as the result of</w:t>
      </w:r>
      <w:r>
        <w:rPr>
          <w:rFonts w:ascii="Arial" w:cs="Arial" w:eastAsia="Arial" w:hAnsi="Arial"/>
          <w:sz w:val="20"/>
          <w:szCs w:val="20"/>
          <w:i w:val="1"/>
          <w:iCs w:val="1"/>
          <w:color w:val="auto"/>
        </w:rPr>
        <w:t xml:space="preserve"> </w:t>
      </w:r>
      <w:r>
        <w:rPr>
          <w:rFonts w:ascii="Arial" w:cs="Arial" w:eastAsia="Arial" w:hAnsi="Arial"/>
          <w:sz w:val="20"/>
          <w:szCs w:val="20"/>
          <w:color w:val="auto"/>
        </w:rPr>
        <w:t>growing market demand from marketers.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Revenue from enterprise solutions </w:t>
      </w:r>
      <w:r>
        <w:rPr>
          <w:rFonts w:ascii="Arial" w:cs="Arial" w:eastAsia="Arial" w:hAnsi="Arial"/>
          <w:sz w:val="20"/>
          <w:szCs w:val="20"/>
          <w:color w:val="auto"/>
        </w:rPr>
        <w:t>was US$10.4 million in 2019.</w:t>
      </w:r>
    </w:p>
    <w:p>
      <w:pPr>
        <w:spacing w:after="0" w:line="23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increased by 45% to US$56.7 million in 2019 from US$39.1 million in 2018, mainly as a result of continual expansion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marketing solution and contribution from higher margin enterprise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2364105</wp:posOffset>
            </wp:positionV>
            <wp:extent cx="2040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2"/>
          <w:szCs w:val="12"/>
          <w:color w:val="auto"/>
        </w:rPr>
      </w:pPr>
      <w:r>
        <w:rPr>
          <w:rFonts w:ascii="Arial" w:cs="Arial" w:eastAsia="Arial" w:hAnsi="Arial"/>
          <w:sz w:val="14"/>
          <w:szCs w:val="14"/>
          <w:color w:val="auto"/>
        </w:rPr>
        <w:t>Gross billing is defined as the aggregate dollar amount that clients pay the Company after deducting rebates paid and discounts given to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 w:name="page7"/>
    <w:bookmarkEnd w:id="6"/>
    <w:p>
      <w:pPr>
        <w:jc w:val="both"/>
        <w:spacing w:after="0" w:line="253" w:lineRule="auto"/>
        <w:rPr>
          <w:sz w:val="20"/>
          <w:szCs w:val="20"/>
          <w:color w:val="auto"/>
        </w:rPr>
      </w:pPr>
      <w:r>
        <w:rPr>
          <w:rFonts w:ascii="Arial" w:cs="Arial" w:eastAsia="Arial" w:hAnsi="Arial"/>
          <w:sz w:val="20"/>
          <w:szCs w:val="20"/>
          <w:b w:val="1"/>
          <w:bCs w:val="1"/>
          <w:color w:val="auto"/>
        </w:rPr>
        <w:t xml:space="preserve">Total operating expenses </w:t>
      </w:r>
      <w:r>
        <w:rPr>
          <w:rFonts w:ascii="Arial" w:cs="Arial" w:eastAsia="Arial" w:hAnsi="Arial"/>
          <w:sz w:val="20"/>
          <w:szCs w:val="20"/>
          <w:color w:val="auto"/>
        </w:rPr>
        <w:t>were US$68.8 million for 2019, compared with US $66.6 million for 2018. The increase was resulted primarily</w:t>
      </w:r>
      <w:r>
        <w:rPr>
          <w:rFonts w:ascii="Arial" w:cs="Arial" w:eastAsia="Arial" w:hAnsi="Arial"/>
          <w:sz w:val="20"/>
          <w:szCs w:val="20"/>
          <w:b w:val="1"/>
          <w:bCs w:val="1"/>
          <w:color w:val="auto"/>
        </w:rPr>
        <w:t xml:space="preserve"> </w:t>
      </w:r>
      <w:r>
        <w:rPr>
          <w:rFonts w:ascii="Arial" w:cs="Arial" w:eastAsia="Arial" w:hAnsi="Arial"/>
          <w:sz w:val="20"/>
          <w:szCs w:val="20"/>
          <w:color w:val="auto"/>
        </w:rPr>
        <w:t>from the increase in the operating expenses for new business developments and the issuance cost of new convertible notes in 2019, partially offset by the reduction in share-based compensation expenses of US$17.6 million.</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Operating loss </w:t>
      </w:r>
      <w:r>
        <w:rPr>
          <w:rFonts w:ascii="Arial" w:cs="Arial" w:eastAsia="Arial" w:hAnsi="Arial"/>
          <w:sz w:val="20"/>
          <w:szCs w:val="20"/>
          <w:color w:val="auto"/>
        </w:rPr>
        <w:t>for 2019 was US$12.1 million, compared with an operating loss of US$27.5 million for 2018, as a result of a reduction in</w:t>
      </w:r>
      <w:r>
        <w:rPr>
          <w:rFonts w:ascii="Arial" w:cs="Arial" w:eastAsia="Arial" w:hAnsi="Arial"/>
          <w:sz w:val="20"/>
          <w:szCs w:val="20"/>
          <w:b w:val="1"/>
          <w:bCs w:val="1"/>
          <w:color w:val="auto"/>
        </w:rPr>
        <w:t xml:space="preserve"> </w:t>
      </w:r>
      <w:r>
        <w:rPr>
          <w:rFonts w:ascii="Arial" w:cs="Arial" w:eastAsia="Arial" w:hAnsi="Arial"/>
          <w:sz w:val="20"/>
          <w:szCs w:val="20"/>
          <w:color w:val="auto"/>
        </w:rPr>
        <w:t>share-based compensation expenses and strong growth in gross profit, partially offset by the expenses incurred on new business developments.</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Net loss </w:t>
      </w:r>
      <w:r>
        <w:rPr>
          <w:rFonts w:ascii="Arial" w:cs="Arial" w:eastAsia="Arial" w:hAnsi="Arial"/>
          <w:sz w:val="19"/>
          <w:szCs w:val="19"/>
          <w:color w:val="auto"/>
        </w:rPr>
        <w:t>totalled US$10.8 million for 2019, compared with US$32.6 million for 2018, mainly attributed to the decrease in share-based</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expense and the strong growth in gross profit as described above. In addition, we recorded fair value gains on convertible notes of US$0.1 million for 2019, compared with fair value losses on convertible notes of US$4.8 million for 2018.</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loss attributable to the Company’s shareholders per basic and diluted ADS for 2019 was US$0.1686, compared with a net loss per basic and diluted ADS of US$0.6126 for 2018.</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for 2019 was an income of US$5.9 million, compared with an income of US $1.6 million for 2018, primarily resulting</w:t>
      </w:r>
      <w:r>
        <w:rPr>
          <w:rFonts w:ascii="Arial" w:cs="Arial" w:eastAsia="Arial" w:hAnsi="Arial"/>
          <w:sz w:val="20"/>
          <w:szCs w:val="20"/>
          <w:b w:val="1"/>
          <w:bCs w:val="1"/>
          <w:color w:val="auto"/>
        </w:rPr>
        <w:t xml:space="preserve"> </w:t>
      </w:r>
      <w:r>
        <w:rPr>
          <w:rFonts w:ascii="Arial" w:cs="Arial" w:eastAsia="Arial" w:hAnsi="Arial"/>
          <w:sz w:val="20"/>
          <w:szCs w:val="20"/>
          <w:color w:val="auto"/>
        </w:rPr>
        <w:t>from a substantial increase in gross profit. For a reconciliation of the Company’s adjusted EBITDA from net loss, its most comparable GAAP measure, please refer to “Unaudited Reconciliations of GAAP and Non-GAAP Results.”</w:t>
      </w:r>
    </w:p>
    <w:p>
      <w:pPr>
        <w:spacing w:after="0" w:line="204"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 xml:space="preserve">Adjusted net loss </w:t>
      </w:r>
      <w:r>
        <w:rPr>
          <w:rFonts w:ascii="Arial" w:cs="Arial" w:eastAsia="Arial" w:hAnsi="Arial"/>
          <w:sz w:val="18"/>
          <w:szCs w:val="18"/>
          <w:color w:val="auto"/>
        </w:rPr>
        <w:t>for 2019 was US$2.2 million, compared with US $4.7 million for 2018. For a reconciliation of the Company’s adjusted net</w:t>
      </w:r>
      <w:r>
        <w:rPr>
          <w:rFonts w:ascii="Arial" w:cs="Arial" w:eastAsia="Arial" w:hAnsi="Arial"/>
          <w:sz w:val="18"/>
          <w:szCs w:val="18"/>
          <w:b w:val="1"/>
          <w:bCs w:val="1"/>
          <w:color w:val="auto"/>
        </w:rPr>
        <w:t xml:space="preserve"> </w:t>
      </w:r>
      <w:r>
        <w:rPr>
          <w:rFonts w:ascii="Arial" w:cs="Arial" w:eastAsia="Arial" w:hAnsi="Arial"/>
          <w:sz w:val="18"/>
          <w:szCs w:val="18"/>
          <w:color w:val="auto"/>
        </w:rPr>
        <w:t>loss to net loss, its most comparable GAAP measure, please refer to “Unaudited Reconciliations of GAAP and Non-GAAP Results.”</w:t>
      </w:r>
    </w:p>
    <w:p>
      <w:pPr>
        <w:spacing w:after="0" w:line="3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Gross billing </w:t>
      </w:r>
      <w:r>
        <w:rPr>
          <w:rFonts w:ascii="Arial" w:cs="Arial" w:eastAsia="Arial" w:hAnsi="Arial"/>
          <w:sz w:val="20"/>
          <w:szCs w:val="20"/>
          <w:color w:val="auto"/>
        </w:rPr>
        <w:t>grew to US$640.8 million for 2019, up 60% for 2018. The increase is primarily a result of increasing marketers’ demands,</w:t>
      </w:r>
      <w:r>
        <w:rPr>
          <w:rFonts w:ascii="Arial" w:cs="Arial" w:eastAsia="Arial" w:hAnsi="Arial"/>
          <w:sz w:val="20"/>
          <w:szCs w:val="20"/>
          <w:b w:val="1"/>
          <w:bCs w:val="1"/>
          <w:color w:val="auto"/>
        </w:rPr>
        <w:t xml:space="preserve"> </w:t>
      </w:r>
      <w:r>
        <w:rPr>
          <w:rFonts w:ascii="Arial" w:cs="Arial" w:eastAsia="Arial" w:hAnsi="Arial"/>
          <w:sz w:val="20"/>
          <w:szCs w:val="20"/>
          <w:color w:val="auto"/>
        </w:rPr>
        <w:t>partially offset by the depreciation of Renminbi against the US dollar by 5% in 2019.</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November of 2018 we announced that our board of directors authorized us to purchase up to US$10 million of our own ADS in a twelve-month period up to November 27, 2019. As of December 31, 2019, we had purchased our ADSs in an aggregate value of approximately US$4.4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Outlook</w:t>
      </w:r>
    </w:p>
    <w:p>
      <w:pPr>
        <w:spacing w:after="0" w:line="11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Based on the information available as of the date of this press release, iClick provided the following outlook for the first quarter of 2020 and the following outlook for the 2020 full year: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First Quarter 2020:</w:t>
      </w:r>
    </w:p>
    <w:p>
      <w:pPr>
        <w:spacing w:after="0" w:line="15" w:lineRule="exact"/>
        <w:rPr>
          <w:sz w:val="20"/>
          <w:szCs w:val="20"/>
          <w:color w:val="auto"/>
        </w:rPr>
      </w:pP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is estimated to be between US$46 million and US$50 million.</w:t>
      </w: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Gross profit is estimated to be between US$12 million and US$14 million.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Full Year 2020:</w:t>
      </w:r>
    </w:p>
    <w:p>
      <w:pPr>
        <w:spacing w:after="0" w:line="1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is estimated to be between US$240 million and US$260 million.</w:t>
      </w: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Gross profit is estimated to be between US$70 million and US$75 million.</w:t>
      </w: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EBIDTA is estimated to between $5 million and $8 million.</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Currently, certain industry verticals such as the travel and hospitality sectors of our business have been adversely impacted by the coronavirus disease (COVID-19). However, some other sectors including e-commerce and online-gaming, have shown resiliency as homebound consumers shift more of their purchasing activities online. Based on the current commercial environment, we anticipate that brands may allocate more of their advertising budgets to mobile and online targeted marketing, with the potential to benefit our mobile and performance-focused Marketing Solutions business. Brands may also see the importance of online and offline consumer behavioural data integration and analysis, which may favour our Enterprise Solutions business in the long run.</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With iClick’s diversified customer base of stable, top-tier brands, and the Chinese government’s highly devoted efforts to contain the spread of the virus, we remain cautiously optimistic for the second half of this year. However, outbreaks of COVID-19 around the world may continue to impact market conditions and potentially trigger a longer period of global economic slowdown. This could affect the overall sentiment and advertising budgets of our branding customers, which in turn may impact our Marketing Solution business in the short term. The rapid development and fluidity of the current situation precludes any prediction as to the ultimate adverse impact of COVID-19. Management will continue to closely monitor the outbreaks’ impact on our operations and financial results this year and will particularly focus on business retention and accounts receivable recoverability.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Conference Call</w:t>
      </w:r>
    </w:p>
    <w:p>
      <w:pPr>
        <w:spacing w:after="0" w:line="114"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 xml:space="preserve">The Company will host an earnings conference call at 8:00 AM U.S. Eastern Time on March 31, 2020 (8:00 PM Beijing/Hong Kong time on March 31, 2020). A live and archived webcast of the conference call will be available on iClick’s investor relations website at </w:t>
      </w:r>
      <w:r>
        <w:rPr>
          <w:rFonts w:ascii="Arial" w:cs="Arial" w:eastAsia="Arial" w:hAnsi="Arial"/>
          <w:sz w:val="20"/>
          <w:szCs w:val="20"/>
          <w:u w:val="single" w:color="auto"/>
          <w:color w:val="auto"/>
        </w:rPr>
        <w:t>http://ir.i-click.com</w:t>
      </w: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Dial-in details for the conference call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United States:</w:t>
            </w:r>
          </w:p>
        </w:tc>
        <w:tc>
          <w:tcPr>
            <w:tcW w:w="1940" w:type="dxa"/>
            <w:vAlign w:val="bottom"/>
          </w:tcPr>
          <w:p>
            <w:pPr>
              <w:ind w:left="620"/>
              <w:spacing w:after="0"/>
              <w:rPr>
                <w:sz w:val="20"/>
                <w:szCs w:val="20"/>
                <w:color w:val="auto"/>
              </w:rPr>
            </w:pPr>
            <w:r>
              <w:rPr>
                <w:rFonts w:ascii="Arial" w:cs="Arial" w:eastAsia="Arial" w:hAnsi="Arial"/>
                <w:sz w:val="18"/>
                <w:szCs w:val="18"/>
                <w:color w:val="auto"/>
                <w:w w:val="93"/>
              </w:rPr>
              <w:t>+1-888-346-8982</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International:</w:t>
            </w:r>
          </w:p>
        </w:tc>
        <w:tc>
          <w:tcPr>
            <w:tcW w:w="1940" w:type="dxa"/>
            <w:vAlign w:val="bottom"/>
          </w:tcPr>
          <w:p>
            <w:pPr>
              <w:ind w:left="620"/>
              <w:spacing w:after="0"/>
              <w:rPr>
                <w:sz w:val="20"/>
                <w:szCs w:val="20"/>
                <w:color w:val="auto"/>
              </w:rPr>
            </w:pPr>
            <w:r>
              <w:rPr>
                <w:rFonts w:ascii="Arial" w:cs="Arial" w:eastAsia="Arial" w:hAnsi="Arial"/>
                <w:sz w:val="18"/>
                <w:szCs w:val="18"/>
                <w:color w:val="auto"/>
                <w:w w:val="93"/>
              </w:rPr>
              <w:t>+1-412-902-4272</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Hong Kong:</w:t>
            </w:r>
          </w:p>
        </w:tc>
        <w:tc>
          <w:tcPr>
            <w:tcW w:w="1940" w:type="dxa"/>
            <w:vAlign w:val="bottom"/>
          </w:tcPr>
          <w:p>
            <w:pPr>
              <w:ind w:left="620"/>
              <w:spacing w:after="0"/>
              <w:rPr>
                <w:sz w:val="20"/>
                <w:szCs w:val="20"/>
                <w:color w:val="auto"/>
              </w:rPr>
            </w:pPr>
            <w:r>
              <w:rPr>
                <w:rFonts w:ascii="Arial" w:cs="Arial" w:eastAsia="Arial" w:hAnsi="Arial"/>
                <w:sz w:val="18"/>
                <w:szCs w:val="18"/>
                <w:color w:val="auto"/>
                <w:w w:val="91"/>
              </w:rPr>
              <w:t>+852-800-905945</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China:</w:t>
            </w:r>
          </w:p>
        </w:tc>
        <w:tc>
          <w:tcPr>
            <w:tcW w:w="1940" w:type="dxa"/>
            <w:vAlign w:val="bottom"/>
          </w:tcPr>
          <w:p>
            <w:pPr>
              <w:ind w:left="620"/>
              <w:spacing w:after="0"/>
              <w:rPr>
                <w:sz w:val="20"/>
                <w:szCs w:val="20"/>
                <w:color w:val="auto"/>
              </w:rPr>
            </w:pPr>
            <w:r>
              <w:rPr>
                <w:rFonts w:ascii="Arial" w:cs="Arial" w:eastAsia="Arial" w:hAnsi="Arial"/>
                <w:sz w:val="18"/>
                <w:szCs w:val="18"/>
                <w:color w:val="auto"/>
                <w:w w:val="91"/>
              </w:rPr>
              <w:t>+86-4001-201203</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Participants please ask to join the iClick Interactive Asia Group Limited conference call.</w:t>
      </w:r>
    </w:p>
    <w:p>
      <w:pPr>
        <w:spacing w:after="0" w:line="243"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A replay of the conference call will be accessible by phone one hour after the conclusion of the live call at the following numbers, until April 7,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United States:</w:t>
            </w:r>
          </w:p>
        </w:tc>
        <w:tc>
          <w:tcPr>
            <w:tcW w:w="9340" w:type="dxa"/>
            <w:vAlign w:val="bottom"/>
          </w:tcPr>
          <w:p>
            <w:pPr>
              <w:ind w:left="360"/>
              <w:spacing w:after="0"/>
              <w:rPr>
                <w:sz w:val="20"/>
                <w:szCs w:val="20"/>
                <w:color w:val="auto"/>
              </w:rPr>
            </w:pPr>
            <w:r>
              <w:rPr>
                <w:rFonts w:ascii="Arial" w:cs="Arial" w:eastAsia="Arial" w:hAnsi="Arial"/>
                <w:sz w:val="18"/>
                <w:szCs w:val="18"/>
                <w:color w:val="auto"/>
              </w:rPr>
              <w:t>+1-877-344-7529</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International:</w:t>
            </w:r>
          </w:p>
        </w:tc>
        <w:tc>
          <w:tcPr>
            <w:tcW w:w="9340" w:type="dxa"/>
            <w:vAlign w:val="bottom"/>
          </w:tcPr>
          <w:p>
            <w:pPr>
              <w:ind w:left="360"/>
              <w:spacing w:after="0"/>
              <w:rPr>
                <w:sz w:val="20"/>
                <w:szCs w:val="20"/>
                <w:color w:val="auto"/>
              </w:rPr>
            </w:pPr>
            <w:r>
              <w:rPr>
                <w:rFonts w:ascii="Arial" w:cs="Arial" w:eastAsia="Arial" w:hAnsi="Arial"/>
                <w:sz w:val="18"/>
                <w:szCs w:val="18"/>
                <w:color w:val="auto"/>
              </w:rPr>
              <w:t>+1-412-317-0088</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Canada:</w:t>
            </w:r>
          </w:p>
        </w:tc>
        <w:tc>
          <w:tcPr>
            <w:tcW w:w="9340" w:type="dxa"/>
            <w:vAlign w:val="bottom"/>
          </w:tcPr>
          <w:p>
            <w:pPr>
              <w:ind w:left="360"/>
              <w:spacing w:after="0"/>
              <w:rPr>
                <w:sz w:val="20"/>
                <w:szCs w:val="20"/>
                <w:color w:val="auto"/>
              </w:rPr>
            </w:pPr>
            <w:r>
              <w:rPr>
                <w:rFonts w:ascii="Arial" w:cs="Arial" w:eastAsia="Arial" w:hAnsi="Arial"/>
                <w:sz w:val="18"/>
                <w:szCs w:val="18"/>
                <w:color w:val="auto"/>
              </w:rPr>
              <w:t>+1-855-669-9658</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Replay Access Code:</w:t>
            </w:r>
          </w:p>
        </w:tc>
        <w:tc>
          <w:tcPr>
            <w:tcW w:w="9340" w:type="dxa"/>
            <w:vAlign w:val="bottom"/>
          </w:tcPr>
          <w:p>
            <w:pPr>
              <w:ind w:left="360"/>
              <w:spacing w:after="0"/>
              <w:rPr>
                <w:sz w:val="20"/>
                <w:szCs w:val="20"/>
                <w:color w:val="auto"/>
              </w:rPr>
            </w:pPr>
            <w:r>
              <w:rPr>
                <w:rFonts w:ascii="Arial" w:cs="Arial" w:eastAsia="Arial" w:hAnsi="Arial"/>
                <w:sz w:val="18"/>
                <w:szCs w:val="18"/>
                <w:color w:val="auto"/>
              </w:rPr>
              <w:t>10140139</w:t>
            </w:r>
          </w:p>
        </w:tc>
      </w:tr>
      <w:tr>
        <w:trPr>
          <w:trHeight w:val="1047"/>
        </w:trPr>
        <w:tc>
          <w:tcPr>
            <w:tcW w:w="192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iClick Interactive Asia Group Limited (NASDAQ: ICLK) is an independent online marketing and enterprise data solutions provider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 For more information, please visit ir.i-click.com.</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uses adjusted EBITDA, adjusted net income/(loss), and diluted adjusted net income/(loss) per ADS, each a non-GAAP financial measure, in evaluating the Company’s operating results and for financial and operational decision-making purposes.</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believes that adjusted EBITDA, adjusted net income/(loss), and diluted adjusted net income/(loss) per ADS help identify underlying trends in the Company’s business that could otherwise be distorted by the effect of the expenses and gains that the Company includes in net loss. The Company believes that adjusted EBITDA and adjusted net income/(loss)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Adjusted EBITDA, adjusted net income/(loss), and diluted adjusted net income/(loss)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income/(loss), and diluted adjusted net income/(loss)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36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more information on these non-GAAP financial measures, please see the table captioned “Unaudited Reconciliations of GAAP and Non-GAAP results” set forth at the end of this press release.</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Additionally, currency-neutral gross billing is calculated using actual exchange rates in use during the comparative prior year period to enhance the visibility of the underlying business trends excluding the impact of translation arising from foreign currency exchange rate fluctuations. These non-GAAP financial measures were presented with the most directly comparable GAAP financial measures together for facilitating a more comprehensive understanding of operating performance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Safe Harbor Statement</w:t>
      </w:r>
    </w:p>
    <w:p>
      <w:pPr>
        <w:spacing w:after="0" w:line="11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 and media inquiries, please contact: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In China:</w:t>
            </w:r>
          </w:p>
        </w:tc>
        <w:tc>
          <w:tcPr>
            <w:tcW w:w="7460" w:type="dxa"/>
            <w:vAlign w:val="bottom"/>
          </w:tcPr>
          <w:p>
            <w:pPr>
              <w:ind w:left="94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7460" w:type="dxa"/>
            <w:vAlign w:val="bottom"/>
          </w:tcPr>
          <w:p>
            <w:pPr>
              <w:ind w:left="940"/>
              <w:spacing w:after="0"/>
              <w:rPr>
                <w:sz w:val="20"/>
                <w:szCs w:val="20"/>
                <w:color w:val="auto"/>
              </w:rPr>
            </w:pPr>
            <w:r>
              <w:rPr>
                <w:rFonts w:ascii="Arial" w:cs="Arial" w:eastAsia="Arial" w:hAnsi="Arial"/>
                <w:sz w:val="18"/>
                <w:szCs w:val="18"/>
                <w:b w:val="1"/>
                <w:bCs w:val="1"/>
                <w:color w:val="auto"/>
              </w:rPr>
              <w:t>Core IR</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Lisa Li</w:t>
            </w:r>
          </w:p>
        </w:tc>
        <w:tc>
          <w:tcPr>
            <w:tcW w:w="7460" w:type="dxa"/>
            <w:vAlign w:val="bottom"/>
          </w:tcPr>
          <w:p>
            <w:pPr>
              <w:ind w:left="940"/>
              <w:spacing w:after="0"/>
              <w:rPr>
                <w:sz w:val="20"/>
                <w:szCs w:val="20"/>
                <w:color w:val="auto"/>
              </w:rPr>
            </w:pPr>
            <w:r>
              <w:rPr>
                <w:rFonts w:ascii="Arial" w:cs="Arial" w:eastAsia="Arial" w:hAnsi="Arial"/>
                <w:sz w:val="18"/>
                <w:szCs w:val="18"/>
                <w:color w:val="auto"/>
              </w:rPr>
              <w:t>John Marco</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Phone: +86-21-3230-3931 #892</w:t>
            </w:r>
          </w:p>
        </w:tc>
        <w:tc>
          <w:tcPr>
            <w:tcW w:w="7460" w:type="dxa"/>
            <w:vAlign w:val="bottom"/>
          </w:tcPr>
          <w:p>
            <w:pPr>
              <w:ind w:left="940"/>
              <w:spacing w:after="0"/>
              <w:rPr>
                <w:sz w:val="20"/>
                <w:szCs w:val="20"/>
                <w:color w:val="auto"/>
              </w:rPr>
            </w:pPr>
            <w:r>
              <w:rPr>
                <w:rFonts w:ascii="Arial" w:cs="Arial" w:eastAsia="Arial" w:hAnsi="Arial"/>
                <w:sz w:val="18"/>
                <w:szCs w:val="18"/>
                <w:color w:val="auto"/>
              </w:rPr>
              <w:t>Tel: +1-516-222-2560</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E-mail: ir@i-click.com</w:t>
            </w:r>
          </w:p>
        </w:tc>
        <w:tc>
          <w:tcPr>
            <w:tcW w:w="7460" w:type="dxa"/>
            <w:vAlign w:val="bottom"/>
          </w:tcPr>
          <w:p>
            <w:pPr>
              <w:ind w:left="940"/>
              <w:spacing w:after="0"/>
              <w:rPr>
                <w:sz w:val="20"/>
                <w:szCs w:val="20"/>
                <w:color w:val="auto"/>
              </w:rPr>
            </w:pPr>
            <w:r>
              <w:rPr>
                <w:rFonts w:ascii="Arial" w:cs="Arial" w:eastAsia="Arial" w:hAnsi="Arial"/>
                <w:sz w:val="18"/>
                <w:szCs w:val="18"/>
                <w:color w:val="auto"/>
              </w:rPr>
              <w:t>E-mail: johnm@coreir.com</w:t>
            </w:r>
          </w:p>
        </w:tc>
      </w:tr>
      <w:tr>
        <w:trPr>
          <w:trHeight w:val="692"/>
        </w:trPr>
        <w:tc>
          <w:tcPr>
            <w:tcW w:w="3800" w:type="dxa"/>
            <w:vAlign w:val="bottom"/>
          </w:tcPr>
          <w:p>
            <w:pPr>
              <w:spacing w:after="0"/>
              <w:rPr>
                <w:sz w:val="24"/>
                <w:szCs w:val="24"/>
                <w:color w:val="auto"/>
              </w:rPr>
            </w:pPr>
          </w:p>
        </w:tc>
        <w:tc>
          <w:tcPr>
            <w:tcW w:w="7460" w:type="dxa"/>
            <w:vAlign w:val="bottom"/>
          </w:tcPr>
          <w:p>
            <w:pPr>
              <w:ind w:left="880"/>
              <w:spacing w:after="0"/>
              <w:rPr>
                <w:sz w:val="20"/>
                <w:szCs w:val="20"/>
                <w:color w:val="auto"/>
              </w:rPr>
            </w:pPr>
            <w:r>
              <w:rPr>
                <w:rFonts w:ascii="Arial" w:cs="Arial" w:eastAsia="Arial" w:hAnsi="Arial"/>
                <w:sz w:val="20"/>
                <w:szCs w:val="20"/>
                <w:color w:val="auto"/>
              </w:rPr>
              <w:t>(financial tables follow)</w:t>
            </w:r>
          </w:p>
        </w:tc>
      </w:tr>
      <w:tr>
        <w:trPr>
          <w:trHeight w:val="557"/>
        </w:trPr>
        <w:tc>
          <w:tcPr>
            <w:tcW w:w="380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Condensed Consolidated Statements of Comprehensive Loss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260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Three Months Ended</w:t>
            </w:r>
          </w:p>
        </w:tc>
        <w:tc>
          <w:tcPr>
            <w:tcW w:w="240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2600" w:type="dxa"/>
            <w:vAlign w:val="bottom"/>
            <w:gridSpan w:val="4"/>
          </w:tcPr>
          <w:p>
            <w:pPr>
              <w:jc w:val="right"/>
              <w:ind w:right="880"/>
              <w:spacing w:after="0"/>
              <w:rPr>
                <w:sz w:val="20"/>
                <w:szCs w:val="20"/>
                <w:color w:val="auto"/>
              </w:rPr>
            </w:pPr>
            <w:r>
              <w:rPr>
                <w:rFonts w:ascii="Arial" w:cs="Arial" w:eastAsia="Arial" w:hAnsi="Arial"/>
                <w:sz w:val="16"/>
                <w:szCs w:val="16"/>
                <w:b w:val="1"/>
                <w:bCs w:val="1"/>
                <w:color w:val="auto"/>
              </w:rPr>
              <w:t>December 31,</w:t>
            </w:r>
          </w:p>
        </w:tc>
        <w:tc>
          <w:tcPr>
            <w:tcW w:w="240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28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9"/>
        </w:trPr>
        <w:tc>
          <w:tcPr>
            <w:tcW w:w="626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20" w:type="dxa"/>
            <w:vAlign w:val="bottom"/>
          </w:tcPr>
          <w:p>
            <w:pPr>
              <w:jc w:val="right"/>
              <w:spacing w:after="0"/>
              <w:rPr>
                <w:sz w:val="20"/>
                <w:szCs w:val="20"/>
                <w:color w:val="auto"/>
              </w:rPr>
            </w:pPr>
            <w:r>
              <w:rPr>
                <w:rFonts w:ascii="Arial" w:cs="Arial" w:eastAsia="Arial" w:hAnsi="Arial"/>
                <w:sz w:val="16"/>
                <w:szCs w:val="16"/>
                <w:color w:val="auto"/>
              </w:rPr>
              <w:t>56,675</w:t>
            </w:r>
          </w:p>
        </w:tc>
        <w:tc>
          <w:tcPr>
            <w:tcW w:w="28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39,504</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199,408</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160,017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260" w:type="dxa"/>
            <w:vAlign w:val="bottom"/>
          </w:tcPr>
          <w:p>
            <w:pPr>
              <w:spacing w:after="0"/>
              <w:rPr>
                <w:sz w:val="20"/>
                <w:szCs w:val="20"/>
                <w:color w:val="auto"/>
              </w:rPr>
            </w:pPr>
            <w:r>
              <w:rPr>
                <w:rFonts w:ascii="Arial" w:cs="Arial" w:eastAsia="Arial" w:hAnsi="Arial"/>
                <w:sz w:val="16"/>
                <w:szCs w:val="16"/>
                <w:color w:val="auto"/>
              </w:rPr>
              <w:t>Cost of revenue</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(39,513)</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(27,751)</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(142,703)</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(120,897)</w:t>
            </w:r>
          </w:p>
        </w:tc>
        <w:tc>
          <w:tcPr>
            <w:tcW w:w="0" w:type="dxa"/>
            <w:vAlign w:val="bottom"/>
          </w:tcPr>
          <w:p>
            <w:pPr>
              <w:spacing w:after="0"/>
              <w:rPr>
                <w:sz w:val="1"/>
                <w:szCs w:val="1"/>
                <w:color w:val="auto"/>
              </w:rPr>
            </w:pPr>
          </w:p>
        </w:tc>
      </w:tr>
      <w:tr>
        <w:trPr>
          <w:trHeight w:val="169"/>
        </w:trPr>
        <w:tc>
          <w:tcPr>
            <w:tcW w:w="6260" w:type="dxa"/>
            <w:vAlign w:val="bottom"/>
          </w:tcPr>
          <w:p>
            <w:pPr>
              <w:spacing w:after="0" w:line="169" w:lineRule="exact"/>
              <w:rPr>
                <w:sz w:val="20"/>
                <w:szCs w:val="20"/>
                <w:color w:val="auto"/>
              </w:rPr>
            </w:pPr>
            <w:r>
              <w:rPr>
                <w:rFonts w:ascii="Arial" w:cs="Arial" w:eastAsia="Arial" w:hAnsi="Arial"/>
                <w:sz w:val="16"/>
                <w:szCs w:val="16"/>
                <w:b w:val="1"/>
                <w:bCs w:val="1"/>
                <w:color w:val="auto"/>
              </w:rPr>
              <w:t>Gross profit</w:t>
            </w:r>
          </w:p>
        </w:tc>
        <w:tc>
          <w:tcPr>
            <w:tcW w:w="10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17,162</w:t>
            </w:r>
          </w:p>
        </w:tc>
        <w:tc>
          <w:tcPr>
            <w:tcW w:w="280" w:type="dxa"/>
            <w:vAlign w:val="bottom"/>
          </w:tcPr>
          <w:p>
            <w:pPr>
              <w:spacing w:after="0"/>
              <w:rPr>
                <w:sz w:val="14"/>
                <w:szCs w:val="14"/>
                <w:color w:val="auto"/>
              </w:rPr>
            </w:pPr>
          </w:p>
        </w:tc>
        <w:tc>
          <w:tcPr>
            <w:tcW w:w="10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11,753</w:t>
            </w:r>
          </w:p>
        </w:tc>
        <w:tc>
          <w:tcPr>
            <w:tcW w:w="260" w:type="dxa"/>
            <w:vAlign w:val="bottom"/>
          </w:tcPr>
          <w:p>
            <w:pPr>
              <w:spacing w:after="0"/>
              <w:rPr>
                <w:sz w:val="14"/>
                <w:szCs w:val="14"/>
                <w:color w:val="auto"/>
              </w:rPr>
            </w:pPr>
          </w:p>
        </w:tc>
        <w:tc>
          <w:tcPr>
            <w:tcW w:w="9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56,705</w:t>
            </w:r>
          </w:p>
        </w:tc>
        <w:tc>
          <w:tcPr>
            <w:tcW w:w="260" w:type="dxa"/>
            <w:vAlign w:val="bottom"/>
          </w:tcPr>
          <w:p>
            <w:pPr>
              <w:spacing w:after="0"/>
              <w:rPr>
                <w:sz w:val="14"/>
                <w:szCs w:val="14"/>
                <w:color w:val="auto"/>
              </w:rPr>
            </w:pPr>
          </w:p>
        </w:tc>
        <w:tc>
          <w:tcPr>
            <w:tcW w:w="1040" w:type="dxa"/>
            <w:vAlign w:val="bottom"/>
            <w:tcBorders>
              <w:top w:val="single" w:sz="8" w:color="auto"/>
            </w:tcBorders>
            <w:gridSpan w:val="2"/>
          </w:tcPr>
          <w:p>
            <w:pPr>
              <w:jc w:val="right"/>
              <w:ind w:right="20"/>
              <w:spacing w:after="0" w:line="169" w:lineRule="exact"/>
              <w:rPr>
                <w:sz w:val="20"/>
                <w:szCs w:val="20"/>
                <w:color w:val="auto"/>
              </w:rPr>
            </w:pPr>
            <w:r>
              <w:rPr>
                <w:rFonts w:ascii="Arial" w:cs="Arial" w:eastAsia="Arial" w:hAnsi="Arial"/>
                <w:sz w:val="16"/>
                <w:szCs w:val="16"/>
                <w:color w:val="auto"/>
              </w:rPr>
              <w:t>39,120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1"/>
        </w:trPr>
        <w:tc>
          <w:tcPr>
            <w:tcW w:w="626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0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260" w:type="dxa"/>
            <w:vAlign w:val="bottom"/>
          </w:tcPr>
          <w:p>
            <w:pPr>
              <w:spacing w:after="0" w:line="175" w:lineRule="exact"/>
              <w:rPr>
                <w:sz w:val="20"/>
                <w:szCs w:val="20"/>
                <w:color w:val="auto"/>
              </w:rPr>
            </w:pPr>
            <w:r>
              <w:rPr>
                <w:rFonts w:ascii="Arial" w:cs="Arial" w:eastAsia="Arial" w:hAnsi="Arial"/>
                <w:sz w:val="16"/>
                <w:szCs w:val="16"/>
                <w:color w:val="auto"/>
              </w:rPr>
              <w:t>Research and development expenses</w:t>
            </w:r>
          </w:p>
        </w:tc>
        <w:tc>
          <w:tcPr>
            <w:tcW w:w="13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(1,302)</w:t>
            </w:r>
          </w:p>
        </w:tc>
        <w:tc>
          <w:tcPr>
            <w:tcW w:w="13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(2,451)</w:t>
            </w:r>
          </w:p>
        </w:tc>
        <w:tc>
          <w:tcPr>
            <w:tcW w:w="120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(5,574)</w:t>
            </w:r>
          </w:p>
        </w:tc>
        <w:tc>
          <w:tcPr>
            <w:tcW w:w="120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(10,737)</w:t>
            </w:r>
          </w:p>
        </w:tc>
        <w:tc>
          <w:tcPr>
            <w:tcW w:w="0" w:type="dxa"/>
            <w:vAlign w:val="bottom"/>
          </w:tcPr>
          <w:p>
            <w:pPr>
              <w:spacing w:after="0"/>
              <w:rPr>
                <w:sz w:val="1"/>
                <w:szCs w:val="1"/>
                <w:color w:val="auto"/>
              </w:rPr>
            </w:pPr>
          </w:p>
        </w:tc>
      </w:tr>
      <w:tr>
        <w:trPr>
          <w:trHeight w:val="176"/>
        </w:trPr>
        <w:tc>
          <w:tcPr>
            <w:tcW w:w="6260" w:type="dxa"/>
            <w:vAlign w:val="bottom"/>
          </w:tcPr>
          <w:p>
            <w:pPr>
              <w:spacing w:after="0" w:line="175" w:lineRule="exact"/>
              <w:rPr>
                <w:sz w:val="20"/>
                <w:szCs w:val="20"/>
                <w:color w:val="auto"/>
              </w:rPr>
            </w:pPr>
            <w:r>
              <w:rPr>
                <w:rFonts w:ascii="Arial" w:cs="Arial" w:eastAsia="Arial" w:hAnsi="Arial"/>
                <w:sz w:val="16"/>
                <w:szCs w:val="16"/>
                <w:color w:val="auto"/>
              </w:rPr>
              <w:t>Sales and marketing expenses</w:t>
            </w:r>
          </w:p>
        </w:tc>
        <w:tc>
          <w:tcPr>
            <w:tcW w:w="13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(11,531)</w:t>
            </w:r>
          </w:p>
        </w:tc>
        <w:tc>
          <w:tcPr>
            <w:tcW w:w="13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(12,747)</w:t>
            </w:r>
          </w:p>
        </w:tc>
        <w:tc>
          <w:tcPr>
            <w:tcW w:w="120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(42,968)</w:t>
            </w:r>
          </w:p>
        </w:tc>
        <w:tc>
          <w:tcPr>
            <w:tcW w:w="120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(32,080)</w:t>
            </w:r>
          </w:p>
        </w:tc>
        <w:tc>
          <w:tcPr>
            <w:tcW w:w="0" w:type="dxa"/>
            <w:vAlign w:val="bottom"/>
          </w:tcPr>
          <w:p>
            <w:pPr>
              <w:spacing w:after="0"/>
              <w:rPr>
                <w:sz w:val="1"/>
                <w:szCs w:val="1"/>
                <w:color w:val="auto"/>
              </w:rPr>
            </w:pPr>
          </w:p>
        </w:tc>
      </w:tr>
      <w:tr>
        <w:trPr>
          <w:trHeight w:val="199"/>
        </w:trPr>
        <w:tc>
          <w:tcPr>
            <w:tcW w:w="62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(9,610)</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(7,101)</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(20,304)</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(23,757)</w:t>
            </w:r>
          </w:p>
        </w:tc>
        <w:tc>
          <w:tcPr>
            <w:tcW w:w="0" w:type="dxa"/>
            <w:vAlign w:val="bottom"/>
          </w:tcPr>
          <w:p>
            <w:pPr>
              <w:spacing w:after="0"/>
              <w:rPr>
                <w:sz w:val="1"/>
                <w:szCs w:val="1"/>
                <w:color w:val="auto"/>
              </w:rPr>
            </w:pPr>
          </w:p>
        </w:tc>
      </w:tr>
      <w:tr>
        <w:trPr>
          <w:trHeight w:val="169"/>
        </w:trPr>
        <w:tc>
          <w:tcPr>
            <w:tcW w:w="6260" w:type="dxa"/>
            <w:vAlign w:val="bottom"/>
          </w:tcPr>
          <w:p>
            <w:pPr>
              <w:spacing w:after="0" w:line="169" w:lineRule="exact"/>
              <w:rPr>
                <w:sz w:val="20"/>
                <w:szCs w:val="20"/>
                <w:color w:val="auto"/>
              </w:rPr>
            </w:pPr>
            <w:r>
              <w:rPr>
                <w:rFonts w:ascii="Arial" w:cs="Arial" w:eastAsia="Arial" w:hAnsi="Arial"/>
                <w:sz w:val="16"/>
                <w:szCs w:val="16"/>
                <w:b w:val="1"/>
                <w:bCs w:val="1"/>
                <w:color w:val="auto"/>
              </w:rPr>
              <w:t>Total operating expenses</w:t>
            </w:r>
          </w:p>
        </w:tc>
        <w:tc>
          <w:tcPr>
            <w:tcW w:w="10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(22,443)</w:t>
            </w:r>
          </w:p>
        </w:tc>
        <w:tc>
          <w:tcPr>
            <w:tcW w:w="2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(22,299)</w:t>
            </w:r>
          </w:p>
        </w:tc>
        <w:tc>
          <w:tcPr>
            <w:tcW w:w="2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(68,846)</w:t>
            </w:r>
          </w:p>
        </w:tc>
        <w:tc>
          <w:tcPr>
            <w:tcW w:w="26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(66,574)</w:t>
            </w:r>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260" w:type="dxa"/>
            <w:vAlign w:val="bottom"/>
          </w:tcPr>
          <w:p>
            <w:pPr>
              <w:spacing w:after="0" w:line="146" w:lineRule="exact"/>
              <w:rPr>
                <w:sz w:val="20"/>
                <w:szCs w:val="20"/>
                <w:color w:val="auto"/>
              </w:rPr>
            </w:pPr>
            <w:r>
              <w:rPr>
                <w:rFonts w:ascii="Arial" w:cs="Arial" w:eastAsia="Arial" w:hAnsi="Arial"/>
                <w:sz w:val="16"/>
                <w:szCs w:val="16"/>
                <w:b w:val="1"/>
                <w:bCs w:val="1"/>
                <w:color w:val="auto"/>
              </w:rPr>
              <w:t>Operating loss</w:t>
            </w:r>
          </w:p>
        </w:tc>
        <w:tc>
          <w:tcPr>
            <w:tcW w:w="1020" w:type="dxa"/>
            <w:vAlign w:val="bottom"/>
          </w:tcPr>
          <w:p>
            <w:pPr>
              <w:jc w:val="right"/>
              <w:spacing w:after="0" w:line="146" w:lineRule="exact"/>
              <w:rPr>
                <w:sz w:val="20"/>
                <w:szCs w:val="20"/>
                <w:color w:val="auto"/>
              </w:rPr>
            </w:pPr>
            <w:r>
              <w:rPr>
                <w:rFonts w:ascii="Arial" w:cs="Arial" w:eastAsia="Arial" w:hAnsi="Arial"/>
                <w:sz w:val="16"/>
                <w:szCs w:val="16"/>
                <w:color w:val="auto"/>
              </w:rPr>
              <w:t>(5,281)</w:t>
            </w:r>
          </w:p>
        </w:tc>
        <w:tc>
          <w:tcPr>
            <w:tcW w:w="280" w:type="dxa"/>
            <w:vAlign w:val="bottom"/>
          </w:tcPr>
          <w:p>
            <w:pPr>
              <w:spacing w:after="0"/>
              <w:rPr>
                <w:sz w:val="12"/>
                <w:szCs w:val="12"/>
                <w:color w:val="auto"/>
              </w:rPr>
            </w:pPr>
          </w:p>
        </w:tc>
        <w:tc>
          <w:tcPr>
            <w:tcW w:w="1040" w:type="dxa"/>
            <w:vAlign w:val="bottom"/>
          </w:tcPr>
          <w:p>
            <w:pPr>
              <w:jc w:val="right"/>
              <w:spacing w:after="0" w:line="146" w:lineRule="exact"/>
              <w:rPr>
                <w:sz w:val="20"/>
                <w:szCs w:val="20"/>
                <w:color w:val="auto"/>
              </w:rPr>
            </w:pPr>
            <w:r>
              <w:rPr>
                <w:rFonts w:ascii="Arial" w:cs="Arial" w:eastAsia="Arial" w:hAnsi="Arial"/>
                <w:sz w:val="16"/>
                <w:szCs w:val="16"/>
                <w:color w:val="auto"/>
              </w:rPr>
              <w:t>(10,546)</w:t>
            </w:r>
          </w:p>
        </w:tc>
        <w:tc>
          <w:tcPr>
            <w:tcW w:w="260" w:type="dxa"/>
            <w:vAlign w:val="bottom"/>
          </w:tcPr>
          <w:p>
            <w:pPr>
              <w:spacing w:after="0"/>
              <w:rPr>
                <w:sz w:val="12"/>
                <w:szCs w:val="12"/>
                <w:color w:val="auto"/>
              </w:rPr>
            </w:pPr>
          </w:p>
        </w:tc>
        <w:tc>
          <w:tcPr>
            <w:tcW w:w="940" w:type="dxa"/>
            <w:vAlign w:val="bottom"/>
          </w:tcPr>
          <w:p>
            <w:pPr>
              <w:jc w:val="right"/>
              <w:spacing w:after="0" w:line="146" w:lineRule="exact"/>
              <w:rPr>
                <w:sz w:val="20"/>
                <w:szCs w:val="20"/>
                <w:color w:val="auto"/>
              </w:rPr>
            </w:pPr>
            <w:r>
              <w:rPr>
                <w:rFonts w:ascii="Arial" w:cs="Arial" w:eastAsia="Arial" w:hAnsi="Arial"/>
                <w:sz w:val="16"/>
                <w:szCs w:val="16"/>
                <w:color w:val="auto"/>
              </w:rPr>
              <w:t>(12,141)</w:t>
            </w:r>
          </w:p>
        </w:tc>
        <w:tc>
          <w:tcPr>
            <w:tcW w:w="260" w:type="dxa"/>
            <w:vAlign w:val="bottom"/>
          </w:tcPr>
          <w:p>
            <w:pPr>
              <w:spacing w:after="0"/>
              <w:rPr>
                <w:sz w:val="12"/>
                <w:szCs w:val="12"/>
                <w:color w:val="auto"/>
              </w:rPr>
            </w:pPr>
          </w:p>
        </w:tc>
        <w:tc>
          <w:tcPr>
            <w:tcW w:w="1020" w:type="dxa"/>
            <w:vAlign w:val="bottom"/>
          </w:tcPr>
          <w:p>
            <w:pPr>
              <w:jc w:val="right"/>
              <w:spacing w:after="0" w:line="146" w:lineRule="exact"/>
              <w:rPr>
                <w:sz w:val="20"/>
                <w:szCs w:val="20"/>
                <w:color w:val="auto"/>
              </w:rPr>
            </w:pPr>
            <w:r>
              <w:rPr>
                <w:rFonts w:ascii="Arial" w:cs="Arial" w:eastAsia="Arial" w:hAnsi="Arial"/>
                <w:sz w:val="16"/>
                <w:szCs w:val="16"/>
                <w:color w:val="auto"/>
              </w:rPr>
              <w:t>(27,454)</w:t>
            </w:r>
          </w:p>
        </w:tc>
        <w:tc>
          <w:tcPr>
            <w:tcW w:w="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60" w:type="dxa"/>
            <w:vAlign w:val="bottom"/>
          </w:tcPr>
          <w:p>
            <w:pPr>
              <w:spacing w:after="0" w:line="175" w:lineRule="exact"/>
              <w:rPr>
                <w:sz w:val="20"/>
                <w:szCs w:val="20"/>
                <w:color w:val="auto"/>
              </w:rPr>
            </w:pPr>
            <w:r>
              <w:rPr>
                <w:rFonts w:ascii="Arial" w:cs="Arial" w:eastAsia="Arial" w:hAnsi="Arial"/>
                <w:sz w:val="16"/>
                <w:szCs w:val="16"/>
                <w:color w:val="auto"/>
              </w:rPr>
              <w:t>Interest expense</w:t>
            </w:r>
          </w:p>
        </w:tc>
        <w:tc>
          <w:tcPr>
            <w:tcW w:w="13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(902)</w:t>
            </w:r>
          </w:p>
        </w:tc>
        <w:tc>
          <w:tcPr>
            <w:tcW w:w="13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(239)</w:t>
            </w:r>
          </w:p>
        </w:tc>
        <w:tc>
          <w:tcPr>
            <w:tcW w:w="120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(1,915)</w:t>
            </w:r>
          </w:p>
        </w:tc>
        <w:tc>
          <w:tcPr>
            <w:tcW w:w="120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176"/>
        </w:trPr>
        <w:tc>
          <w:tcPr>
            <w:tcW w:w="6260" w:type="dxa"/>
            <w:vAlign w:val="bottom"/>
          </w:tcPr>
          <w:p>
            <w:pPr>
              <w:spacing w:after="0" w:line="175" w:lineRule="exact"/>
              <w:rPr>
                <w:sz w:val="20"/>
                <w:szCs w:val="20"/>
                <w:color w:val="auto"/>
              </w:rPr>
            </w:pPr>
            <w:r>
              <w:rPr>
                <w:rFonts w:ascii="Arial" w:cs="Arial" w:eastAsia="Arial" w:hAnsi="Arial"/>
                <w:sz w:val="16"/>
                <w:szCs w:val="16"/>
                <w:color w:val="auto"/>
              </w:rPr>
              <w:t>Interest income</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213</w:t>
            </w:r>
          </w:p>
        </w:tc>
        <w:tc>
          <w:tcPr>
            <w:tcW w:w="280" w:type="dxa"/>
            <w:vAlign w:val="bottom"/>
          </w:tcPr>
          <w:p>
            <w:pPr>
              <w:spacing w:after="0"/>
              <w:rPr>
                <w:sz w:val="15"/>
                <w:szCs w:val="15"/>
                <w:color w:val="auto"/>
              </w:rPr>
            </w:pPr>
          </w:p>
        </w:tc>
        <w:tc>
          <w:tcPr>
            <w:tcW w:w="1300" w:type="dxa"/>
            <w:vAlign w:val="bottom"/>
            <w:gridSpan w:val="2"/>
          </w:tcPr>
          <w:p>
            <w:pPr>
              <w:jc w:val="right"/>
              <w:ind w:right="260"/>
              <w:spacing w:after="0" w:line="175" w:lineRule="exact"/>
              <w:rPr>
                <w:sz w:val="20"/>
                <w:szCs w:val="20"/>
                <w:color w:val="auto"/>
              </w:rPr>
            </w:pPr>
            <w:r>
              <w:rPr>
                <w:rFonts w:ascii="Arial" w:cs="Arial" w:eastAsia="Arial" w:hAnsi="Arial"/>
                <w:sz w:val="16"/>
                <w:szCs w:val="16"/>
                <w:color w:val="auto"/>
              </w:rPr>
              <w:t>160</w:t>
            </w:r>
          </w:p>
        </w:tc>
        <w:tc>
          <w:tcPr>
            <w:tcW w:w="1200" w:type="dxa"/>
            <w:vAlign w:val="bottom"/>
            <w:gridSpan w:val="2"/>
          </w:tcPr>
          <w:p>
            <w:pPr>
              <w:jc w:val="right"/>
              <w:ind w:right="260"/>
              <w:spacing w:after="0" w:line="175" w:lineRule="exact"/>
              <w:rPr>
                <w:sz w:val="20"/>
                <w:szCs w:val="20"/>
                <w:color w:val="auto"/>
              </w:rPr>
            </w:pPr>
            <w:r>
              <w:rPr>
                <w:rFonts w:ascii="Arial" w:cs="Arial" w:eastAsia="Arial" w:hAnsi="Arial"/>
                <w:sz w:val="16"/>
                <w:szCs w:val="16"/>
                <w:color w:val="auto"/>
              </w:rPr>
              <w:t>537</w:t>
            </w:r>
          </w:p>
        </w:tc>
        <w:tc>
          <w:tcPr>
            <w:tcW w:w="10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421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60" w:type="dxa"/>
            <w:vAlign w:val="bottom"/>
          </w:tcPr>
          <w:p>
            <w:pPr>
              <w:spacing w:after="0" w:line="175" w:lineRule="exact"/>
              <w:rPr>
                <w:sz w:val="20"/>
                <w:szCs w:val="20"/>
                <w:color w:val="auto"/>
              </w:rPr>
            </w:pPr>
            <w:r>
              <w:rPr>
                <w:rFonts w:ascii="Arial" w:cs="Arial" w:eastAsia="Arial" w:hAnsi="Arial"/>
                <w:sz w:val="16"/>
                <w:szCs w:val="16"/>
                <w:color w:val="auto"/>
              </w:rPr>
              <w:t>Other gains, net</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1,021</w:t>
            </w:r>
          </w:p>
        </w:tc>
        <w:tc>
          <w:tcPr>
            <w:tcW w:w="280" w:type="dxa"/>
            <w:vAlign w:val="bottom"/>
          </w:tcPr>
          <w:p>
            <w:pPr>
              <w:spacing w:after="0"/>
              <w:rPr>
                <w:sz w:val="15"/>
                <w:szCs w:val="15"/>
                <w:color w:val="auto"/>
              </w:rPr>
            </w:pPr>
          </w:p>
        </w:tc>
        <w:tc>
          <w:tcPr>
            <w:tcW w:w="1300" w:type="dxa"/>
            <w:vAlign w:val="bottom"/>
            <w:gridSpan w:val="2"/>
          </w:tcPr>
          <w:p>
            <w:pPr>
              <w:jc w:val="right"/>
              <w:ind w:right="260"/>
              <w:spacing w:after="0" w:line="175" w:lineRule="exact"/>
              <w:rPr>
                <w:sz w:val="20"/>
                <w:szCs w:val="20"/>
                <w:color w:val="auto"/>
              </w:rPr>
            </w:pPr>
            <w:r>
              <w:rPr>
                <w:rFonts w:ascii="Arial" w:cs="Arial" w:eastAsia="Arial" w:hAnsi="Arial"/>
                <w:sz w:val="16"/>
                <w:szCs w:val="16"/>
                <w:color w:val="auto"/>
              </w:rPr>
              <w:t>925</w:t>
            </w:r>
          </w:p>
        </w:tc>
        <w:tc>
          <w:tcPr>
            <w:tcW w:w="1200" w:type="dxa"/>
            <w:vAlign w:val="bottom"/>
            <w:gridSpan w:val="2"/>
          </w:tcPr>
          <w:p>
            <w:pPr>
              <w:jc w:val="right"/>
              <w:ind w:right="260"/>
              <w:spacing w:after="0" w:line="175" w:lineRule="exact"/>
              <w:rPr>
                <w:sz w:val="20"/>
                <w:szCs w:val="20"/>
                <w:color w:val="auto"/>
              </w:rPr>
            </w:pPr>
            <w:r>
              <w:rPr>
                <w:rFonts w:ascii="Arial" w:cs="Arial" w:eastAsia="Arial" w:hAnsi="Arial"/>
                <w:sz w:val="16"/>
                <w:szCs w:val="16"/>
                <w:color w:val="auto"/>
              </w:rPr>
              <w:t>2,992</w:t>
            </w:r>
          </w:p>
        </w:tc>
        <w:tc>
          <w:tcPr>
            <w:tcW w:w="10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687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260" w:type="dxa"/>
            <w:vAlign w:val="bottom"/>
          </w:tcPr>
          <w:p>
            <w:pPr>
              <w:spacing w:after="0"/>
              <w:rPr>
                <w:sz w:val="20"/>
                <w:szCs w:val="20"/>
                <w:color w:val="auto"/>
              </w:rPr>
            </w:pPr>
            <w:r>
              <w:rPr>
                <w:rFonts w:ascii="Arial" w:cs="Arial" w:eastAsia="Arial" w:hAnsi="Arial"/>
                <w:sz w:val="16"/>
                <w:szCs w:val="16"/>
                <w:color w:val="auto"/>
              </w:rPr>
              <w:t>Fair value (losses)/gains on convertible notes</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(813)</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546</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133</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(4,837)</w:t>
            </w:r>
          </w:p>
        </w:tc>
        <w:tc>
          <w:tcPr>
            <w:tcW w:w="0" w:type="dxa"/>
            <w:vAlign w:val="bottom"/>
          </w:tcPr>
          <w:p>
            <w:pPr>
              <w:spacing w:after="0"/>
              <w:rPr>
                <w:sz w:val="1"/>
                <w:szCs w:val="1"/>
                <w:color w:val="auto"/>
              </w:rPr>
            </w:pPr>
          </w:p>
        </w:tc>
      </w:tr>
      <w:tr>
        <w:trPr>
          <w:trHeight w:val="146"/>
        </w:trPr>
        <w:tc>
          <w:tcPr>
            <w:tcW w:w="6260" w:type="dxa"/>
            <w:vAlign w:val="bottom"/>
          </w:tcPr>
          <w:p>
            <w:pPr>
              <w:spacing w:after="0" w:line="146" w:lineRule="exact"/>
              <w:rPr>
                <w:sz w:val="20"/>
                <w:szCs w:val="20"/>
                <w:color w:val="auto"/>
              </w:rPr>
            </w:pPr>
            <w:r>
              <w:rPr>
                <w:rFonts w:ascii="Arial" w:cs="Arial" w:eastAsia="Arial" w:hAnsi="Arial"/>
                <w:sz w:val="16"/>
                <w:szCs w:val="16"/>
                <w:b w:val="1"/>
                <w:bCs w:val="1"/>
                <w:color w:val="auto"/>
              </w:rPr>
              <w:t>Loss before income tax expense</w:t>
            </w:r>
          </w:p>
        </w:tc>
        <w:tc>
          <w:tcPr>
            <w:tcW w:w="102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6"/>
                <w:szCs w:val="16"/>
                <w:color w:val="auto"/>
              </w:rPr>
              <w:t>(5,762)</w:t>
            </w:r>
          </w:p>
        </w:tc>
        <w:tc>
          <w:tcPr>
            <w:tcW w:w="280" w:type="dxa"/>
            <w:vAlign w:val="bottom"/>
          </w:tcPr>
          <w:p>
            <w:pPr>
              <w:spacing w:after="0"/>
              <w:rPr>
                <w:sz w:val="12"/>
                <w:szCs w:val="12"/>
                <w:color w:val="auto"/>
              </w:rPr>
            </w:pPr>
          </w:p>
        </w:tc>
        <w:tc>
          <w:tcPr>
            <w:tcW w:w="104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6"/>
                <w:szCs w:val="16"/>
                <w:color w:val="auto"/>
              </w:rPr>
              <w:t>(9,154)</w:t>
            </w:r>
          </w:p>
        </w:tc>
        <w:tc>
          <w:tcPr>
            <w:tcW w:w="260" w:type="dxa"/>
            <w:vAlign w:val="bottom"/>
          </w:tcPr>
          <w:p>
            <w:pPr>
              <w:spacing w:after="0"/>
              <w:rPr>
                <w:sz w:val="12"/>
                <w:szCs w:val="12"/>
                <w:color w:val="auto"/>
              </w:rPr>
            </w:pPr>
          </w:p>
        </w:tc>
        <w:tc>
          <w:tcPr>
            <w:tcW w:w="94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6"/>
                <w:szCs w:val="16"/>
                <w:color w:val="auto"/>
              </w:rPr>
              <w:t>(10,394)</w:t>
            </w:r>
          </w:p>
        </w:tc>
        <w:tc>
          <w:tcPr>
            <w:tcW w:w="260" w:type="dxa"/>
            <w:vAlign w:val="bottom"/>
          </w:tcPr>
          <w:p>
            <w:pPr>
              <w:spacing w:after="0"/>
              <w:rPr>
                <w:sz w:val="12"/>
                <w:szCs w:val="12"/>
                <w:color w:val="auto"/>
              </w:rPr>
            </w:pPr>
          </w:p>
        </w:tc>
        <w:tc>
          <w:tcPr>
            <w:tcW w:w="102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6"/>
                <w:szCs w:val="16"/>
                <w:color w:val="auto"/>
              </w:rPr>
              <w:t>(31,956)</w:t>
            </w:r>
          </w:p>
        </w:tc>
        <w:tc>
          <w:tcPr>
            <w:tcW w:w="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260" w:type="dxa"/>
            <w:vAlign w:val="bottom"/>
          </w:tcPr>
          <w:p>
            <w:pPr>
              <w:spacing w:after="0" w:line="175" w:lineRule="exact"/>
              <w:rPr>
                <w:sz w:val="20"/>
                <w:szCs w:val="20"/>
                <w:color w:val="auto"/>
              </w:rPr>
            </w:pPr>
            <w:r>
              <w:rPr>
                <w:rFonts w:ascii="Arial" w:cs="Arial" w:eastAsia="Arial" w:hAnsi="Arial"/>
                <w:sz w:val="16"/>
                <w:szCs w:val="16"/>
                <w:color w:val="auto"/>
              </w:rPr>
              <w:t>Share of losses from an equity investee</w:t>
            </w:r>
          </w:p>
        </w:tc>
        <w:tc>
          <w:tcPr>
            <w:tcW w:w="13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(177)</w:t>
            </w:r>
          </w:p>
        </w:tc>
        <w:tc>
          <w:tcPr>
            <w:tcW w:w="1300" w:type="dxa"/>
            <w:vAlign w:val="bottom"/>
            <w:gridSpan w:val="2"/>
          </w:tcPr>
          <w:p>
            <w:pPr>
              <w:jc w:val="right"/>
              <w:ind w:right="260"/>
              <w:spacing w:after="0" w:line="175"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(408)</w:t>
            </w:r>
          </w:p>
        </w:tc>
        <w:tc>
          <w:tcPr>
            <w:tcW w:w="12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260" w:type="dxa"/>
            <w:vAlign w:val="bottom"/>
          </w:tcPr>
          <w:p>
            <w:pPr>
              <w:spacing w:after="0"/>
              <w:rPr>
                <w:sz w:val="20"/>
                <w:szCs w:val="20"/>
                <w:color w:val="auto"/>
              </w:rPr>
            </w:pPr>
            <w:r>
              <w:rPr>
                <w:rFonts w:ascii="Arial" w:cs="Arial" w:eastAsia="Arial" w:hAnsi="Arial"/>
                <w:sz w:val="16"/>
                <w:szCs w:val="16"/>
                <w:color w:val="auto"/>
              </w:rPr>
              <w:t>Income tax (expense)/benefit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(60)</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1,015</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(47)</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146"/>
        </w:trPr>
        <w:tc>
          <w:tcPr>
            <w:tcW w:w="6260" w:type="dxa"/>
            <w:vAlign w:val="bottom"/>
          </w:tcPr>
          <w:p>
            <w:pPr>
              <w:spacing w:after="0" w:line="146" w:lineRule="exact"/>
              <w:rPr>
                <w:sz w:val="20"/>
                <w:szCs w:val="20"/>
                <w:color w:val="auto"/>
              </w:rPr>
            </w:pPr>
            <w:r>
              <w:rPr>
                <w:rFonts w:ascii="Arial" w:cs="Arial" w:eastAsia="Arial" w:hAnsi="Arial"/>
                <w:sz w:val="16"/>
                <w:szCs w:val="16"/>
                <w:b w:val="1"/>
                <w:bCs w:val="1"/>
                <w:color w:val="auto"/>
              </w:rPr>
              <w:t>Net loss</w:t>
            </w:r>
          </w:p>
        </w:tc>
        <w:tc>
          <w:tcPr>
            <w:tcW w:w="102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6"/>
                <w:szCs w:val="16"/>
                <w:color w:val="auto"/>
              </w:rPr>
              <w:t>(5,999)</w:t>
            </w:r>
          </w:p>
        </w:tc>
        <w:tc>
          <w:tcPr>
            <w:tcW w:w="280" w:type="dxa"/>
            <w:vAlign w:val="bottom"/>
          </w:tcPr>
          <w:p>
            <w:pPr>
              <w:spacing w:after="0"/>
              <w:rPr>
                <w:sz w:val="12"/>
                <w:szCs w:val="12"/>
                <w:color w:val="auto"/>
              </w:rPr>
            </w:pPr>
          </w:p>
        </w:tc>
        <w:tc>
          <w:tcPr>
            <w:tcW w:w="104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6"/>
                <w:szCs w:val="16"/>
                <w:color w:val="auto"/>
              </w:rPr>
              <w:t>(8,139)</w:t>
            </w:r>
          </w:p>
        </w:tc>
        <w:tc>
          <w:tcPr>
            <w:tcW w:w="260" w:type="dxa"/>
            <w:vAlign w:val="bottom"/>
          </w:tcPr>
          <w:p>
            <w:pPr>
              <w:spacing w:after="0"/>
              <w:rPr>
                <w:sz w:val="12"/>
                <w:szCs w:val="12"/>
                <w:color w:val="auto"/>
              </w:rPr>
            </w:pPr>
          </w:p>
        </w:tc>
        <w:tc>
          <w:tcPr>
            <w:tcW w:w="94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6"/>
                <w:szCs w:val="16"/>
                <w:color w:val="auto"/>
              </w:rPr>
              <w:t>(10,849)</w:t>
            </w:r>
          </w:p>
        </w:tc>
        <w:tc>
          <w:tcPr>
            <w:tcW w:w="260" w:type="dxa"/>
            <w:vAlign w:val="bottom"/>
          </w:tcPr>
          <w:p>
            <w:pPr>
              <w:spacing w:after="0"/>
              <w:rPr>
                <w:sz w:val="12"/>
                <w:szCs w:val="12"/>
                <w:color w:val="auto"/>
              </w:rPr>
            </w:pPr>
          </w:p>
        </w:tc>
        <w:tc>
          <w:tcPr>
            <w:tcW w:w="102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6"/>
                <w:szCs w:val="16"/>
                <w:color w:val="auto"/>
              </w:rPr>
              <w:t>(32,611)</w:t>
            </w:r>
          </w:p>
        </w:tc>
        <w:tc>
          <w:tcPr>
            <w:tcW w:w="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260" w:type="dxa"/>
            <w:vAlign w:val="bottom"/>
          </w:tcPr>
          <w:p>
            <w:pPr>
              <w:spacing w:after="0"/>
              <w:rPr>
                <w:sz w:val="20"/>
                <w:szCs w:val="20"/>
                <w:color w:val="auto"/>
              </w:rPr>
            </w:pPr>
            <w:r>
              <w:rPr>
                <w:rFonts w:ascii="Arial" w:cs="Arial" w:eastAsia="Arial" w:hAnsi="Arial"/>
                <w:sz w:val="16"/>
                <w:szCs w:val="16"/>
                <w:color w:val="auto"/>
              </w:rPr>
              <w:t>Net loss attributable to noncontrolling interests</w:t>
            </w:r>
          </w:p>
        </w:tc>
        <w:tc>
          <w:tcPr>
            <w:tcW w:w="1020" w:type="dxa"/>
            <w:vAlign w:val="bottom"/>
          </w:tcPr>
          <w:p>
            <w:pPr>
              <w:jc w:val="right"/>
              <w:spacing w:after="0"/>
              <w:rPr>
                <w:sz w:val="20"/>
                <w:szCs w:val="20"/>
                <w:color w:val="auto"/>
              </w:rPr>
            </w:pPr>
            <w:r>
              <w:rPr>
                <w:rFonts w:ascii="Arial" w:cs="Arial" w:eastAsia="Arial" w:hAnsi="Arial"/>
                <w:sz w:val="16"/>
                <w:szCs w:val="16"/>
                <w:color w:val="auto"/>
              </w:rPr>
              <w:t>259</w:t>
            </w:r>
          </w:p>
        </w:tc>
        <w:tc>
          <w:tcPr>
            <w:tcW w:w="2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202</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1,246</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202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6260" w:type="dxa"/>
            <w:vAlign w:val="bottom"/>
          </w:tcPr>
          <w:p>
            <w:pPr>
              <w:spacing w:after="0"/>
              <w:rPr>
                <w:sz w:val="20"/>
                <w:szCs w:val="20"/>
                <w:color w:val="auto"/>
              </w:rPr>
            </w:pPr>
            <w:r>
              <w:rPr>
                <w:rFonts w:ascii="Arial" w:cs="Arial" w:eastAsia="Arial" w:hAnsi="Arial"/>
                <w:sz w:val="16"/>
                <w:szCs w:val="16"/>
                <w:b w:val="1"/>
                <w:bCs w:val="1"/>
                <w:color w:val="auto"/>
                <w:w w:val="96"/>
              </w:rPr>
              <w:t>Net loss attributable to iClick Interactive Asia Group Limited’s ordinary shareholders</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(5,740)</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(7,937)</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(9,603)</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(32,409)</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6260" w:type="dxa"/>
            <w:vAlign w:val="bottom"/>
          </w:tcPr>
          <w:p>
            <w:pPr>
              <w:spacing w:after="0"/>
              <w:rPr>
                <w:sz w:val="20"/>
                <w:szCs w:val="20"/>
                <w:color w:val="auto"/>
              </w:rPr>
            </w:pPr>
            <w:r>
              <w:rPr>
                <w:rFonts w:ascii="Arial" w:cs="Arial" w:eastAsia="Arial" w:hAnsi="Arial"/>
                <w:sz w:val="16"/>
                <w:szCs w:val="16"/>
                <w:color w:val="auto"/>
              </w:rPr>
              <w:t>Net loss</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(5,999)</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(8,139)</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(10,849)</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(32,611)</w:t>
            </w:r>
          </w:p>
        </w:tc>
        <w:tc>
          <w:tcPr>
            <w:tcW w:w="0" w:type="dxa"/>
            <w:vAlign w:val="bottom"/>
          </w:tcPr>
          <w:p>
            <w:pPr>
              <w:spacing w:after="0"/>
              <w:rPr>
                <w:sz w:val="1"/>
                <w:szCs w:val="1"/>
                <w:color w:val="auto"/>
              </w:rPr>
            </w:pPr>
          </w:p>
        </w:tc>
      </w:tr>
      <w:tr>
        <w:trPr>
          <w:trHeight w:val="176"/>
        </w:trPr>
        <w:tc>
          <w:tcPr>
            <w:tcW w:w="6260" w:type="dxa"/>
            <w:vAlign w:val="bottom"/>
          </w:tcPr>
          <w:p>
            <w:pPr>
              <w:spacing w:after="0" w:line="175" w:lineRule="exact"/>
              <w:rPr>
                <w:sz w:val="20"/>
                <w:szCs w:val="20"/>
                <w:color w:val="auto"/>
              </w:rPr>
            </w:pPr>
            <w:r>
              <w:rPr>
                <w:rFonts w:ascii="Arial" w:cs="Arial" w:eastAsia="Arial" w:hAnsi="Arial"/>
                <w:sz w:val="16"/>
                <w:szCs w:val="16"/>
                <w:color w:val="auto"/>
              </w:rPr>
              <w:t>Other comprehensive (loss)/income:</w:t>
            </w: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260" w:type="dxa"/>
            <w:vAlign w:val="bottom"/>
          </w:tcPr>
          <w:p>
            <w:pPr>
              <w:ind w:left="100"/>
              <w:spacing w:after="0"/>
              <w:rPr>
                <w:sz w:val="20"/>
                <w:szCs w:val="20"/>
                <w:color w:val="auto"/>
              </w:rPr>
            </w:pPr>
            <w:r>
              <w:rPr>
                <w:rFonts w:ascii="Arial" w:cs="Arial" w:eastAsia="Arial" w:hAnsi="Arial"/>
                <w:sz w:val="16"/>
                <w:szCs w:val="16"/>
                <w:color w:val="auto"/>
              </w:rPr>
              <w:t>Foreign currency translation adjustment, net of US$nil tax</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(198)</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1</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(1,700)</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(2,547)</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6"/>
                <w:szCs w:val="16"/>
                <w:b w:val="1"/>
                <w:bCs w:val="1"/>
                <w:color w:val="auto"/>
              </w:rPr>
              <w:t>Comprehensive loss</w:t>
            </w: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260" w:type="dxa"/>
            <w:vAlign w:val="bottom"/>
            <w:vMerge w:val="continue"/>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(6,197)</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(8,138)</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(12,549)</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(35,158)</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6"/>
                <w:szCs w:val="16"/>
                <w:b w:val="1"/>
                <w:bCs w:val="1"/>
                <w:color w:val="auto"/>
              </w:rPr>
              <w:t>Comprehensive loss attributable to noncontrolling interests</w:t>
            </w:r>
          </w:p>
        </w:tc>
        <w:tc>
          <w:tcPr>
            <w:tcW w:w="1020" w:type="dxa"/>
            <w:vAlign w:val="bottom"/>
          </w:tcPr>
          <w:p>
            <w:pPr>
              <w:jc w:val="right"/>
              <w:spacing w:after="0"/>
              <w:rPr>
                <w:sz w:val="20"/>
                <w:szCs w:val="20"/>
                <w:color w:val="auto"/>
              </w:rPr>
            </w:pPr>
            <w:r>
              <w:rPr>
                <w:rFonts w:ascii="Arial" w:cs="Arial" w:eastAsia="Arial" w:hAnsi="Arial"/>
                <w:sz w:val="16"/>
                <w:szCs w:val="16"/>
                <w:color w:val="auto"/>
              </w:rPr>
              <w:t>347</w:t>
            </w:r>
          </w:p>
        </w:tc>
        <w:tc>
          <w:tcPr>
            <w:tcW w:w="2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202</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1,334</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6260" w:type="dxa"/>
            <w:vAlign w:val="bottom"/>
          </w:tcPr>
          <w:p>
            <w:pPr>
              <w:spacing w:after="0"/>
              <w:rPr>
                <w:sz w:val="20"/>
                <w:szCs w:val="20"/>
                <w:color w:val="auto"/>
              </w:rPr>
            </w:pPr>
            <w:r>
              <w:rPr>
                <w:rFonts w:ascii="Arial" w:cs="Arial" w:eastAsia="Arial" w:hAnsi="Arial"/>
                <w:sz w:val="16"/>
                <w:szCs w:val="16"/>
                <w:b w:val="1"/>
                <w:bCs w:val="1"/>
                <w:color w:val="auto"/>
              </w:rPr>
              <w:t>Comprehensive loss attributable to iClick Interactive Asia Group Limited</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(5,850)</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(7,936)</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(11,215)</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(34,956)</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6"/>
                <w:szCs w:val="16"/>
                <w:b w:val="1"/>
                <w:bCs w:val="1"/>
                <w:color w:val="auto"/>
              </w:rPr>
              <w:t>Net loss per ADS attributable to iClick Interactive Asia Group Limited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2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260" w:type="dxa"/>
            <w:vAlign w:val="bottom"/>
          </w:tcPr>
          <w:p>
            <w:pPr>
              <w:spacing w:after="0" w:line="175" w:lineRule="exact"/>
              <w:rPr>
                <w:sz w:val="20"/>
                <w:szCs w:val="20"/>
                <w:color w:val="auto"/>
              </w:rPr>
            </w:pPr>
            <w:r>
              <w:rPr>
                <w:rFonts w:ascii="Arial" w:cs="Arial" w:eastAsia="Arial" w:hAnsi="Arial"/>
                <w:sz w:val="16"/>
                <w:szCs w:val="16"/>
                <w:color w:val="auto"/>
              </w:rPr>
              <w:t>— Basic</w:t>
            </w:r>
          </w:p>
        </w:tc>
        <w:tc>
          <w:tcPr>
            <w:tcW w:w="13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(0.1003)</w:t>
            </w:r>
          </w:p>
        </w:tc>
        <w:tc>
          <w:tcPr>
            <w:tcW w:w="13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(0.1455)</w:t>
            </w:r>
          </w:p>
        </w:tc>
        <w:tc>
          <w:tcPr>
            <w:tcW w:w="120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(0.1686)</w:t>
            </w:r>
          </w:p>
        </w:tc>
        <w:tc>
          <w:tcPr>
            <w:tcW w:w="120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(0.6126)</w:t>
            </w:r>
          </w:p>
        </w:tc>
        <w:tc>
          <w:tcPr>
            <w:tcW w:w="0" w:type="dxa"/>
            <w:vAlign w:val="bottom"/>
          </w:tcPr>
          <w:p>
            <w:pPr>
              <w:spacing w:after="0"/>
              <w:rPr>
                <w:sz w:val="1"/>
                <w:szCs w:val="1"/>
                <w:color w:val="auto"/>
              </w:rPr>
            </w:pPr>
          </w:p>
        </w:tc>
      </w:tr>
      <w:tr>
        <w:trPr>
          <w:trHeight w:val="206"/>
        </w:trPr>
        <w:tc>
          <w:tcPr>
            <w:tcW w:w="6260" w:type="dxa"/>
            <w:vAlign w:val="bottom"/>
          </w:tcPr>
          <w:p>
            <w:pPr>
              <w:spacing w:after="0"/>
              <w:rPr>
                <w:sz w:val="20"/>
                <w:szCs w:val="20"/>
                <w:color w:val="auto"/>
              </w:rPr>
            </w:pPr>
            <w:r>
              <w:rPr>
                <w:rFonts w:ascii="Arial" w:cs="Arial" w:eastAsia="Arial" w:hAnsi="Arial"/>
                <w:sz w:val="16"/>
                <w:szCs w:val="16"/>
                <w:color w:val="auto"/>
              </w:rPr>
              <w:t>— Diluted</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(0.1003)</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(0.1455)</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(0.1686)</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(0.6126)</w:t>
            </w:r>
          </w:p>
        </w:tc>
        <w:tc>
          <w:tcPr>
            <w:tcW w:w="0" w:type="dxa"/>
            <w:vAlign w:val="bottom"/>
          </w:tcPr>
          <w:p>
            <w:pPr>
              <w:spacing w:after="0"/>
              <w:rPr>
                <w:sz w:val="1"/>
                <w:szCs w:val="1"/>
                <w:color w:val="auto"/>
              </w:rPr>
            </w:pPr>
          </w:p>
        </w:tc>
      </w:tr>
      <w:tr>
        <w:trPr>
          <w:trHeight w:val="320"/>
        </w:trPr>
        <w:tc>
          <w:tcPr>
            <w:tcW w:w="6260" w:type="dxa"/>
            <w:vAlign w:val="bottom"/>
          </w:tcPr>
          <w:p>
            <w:pPr>
              <w:spacing w:after="0"/>
              <w:rPr>
                <w:sz w:val="20"/>
                <w:szCs w:val="20"/>
                <w:color w:val="auto"/>
              </w:rPr>
            </w:pPr>
            <w:r>
              <w:rPr>
                <w:rFonts w:ascii="Arial" w:cs="Arial" w:eastAsia="Arial" w:hAnsi="Arial"/>
                <w:sz w:val="16"/>
                <w:szCs w:val="16"/>
                <w:b w:val="1"/>
                <w:bCs w:val="1"/>
                <w:color w:val="auto"/>
              </w:rPr>
              <w:t>Weighted average number of ADS used in per share calculation:</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260" w:type="dxa"/>
            <w:vAlign w:val="bottom"/>
          </w:tcPr>
          <w:p>
            <w:pPr>
              <w:spacing w:after="0" w:line="175" w:lineRule="exact"/>
              <w:rPr>
                <w:sz w:val="20"/>
                <w:szCs w:val="20"/>
                <w:color w:val="auto"/>
              </w:rPr>
            </w:pPr>
            <w:r>
              <w:rPr>
                <w:rFonts w:ascii="Arial" w:cs="Arial" w:eastAsia="Arial" w:hAnsi="Arial"/>
                <w:sz w:val="16"/>
                <w:szCs w:val="16"/>
                <w:color w:val="auto"/>
              </w:rPr>
              <w:t>— Basic</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57,240,609</w:t>
            </w:r>
          </w:p>
        </w:tc>
        <w:tc>
          <w:tcPr>
            <w:tcW w:w="280" w:type="dxa"/>
            <w:vAlign w:val="bottom"/>
          </w:tcPr>
          <w:p>
            <w:pPr>
              <w:spacing w:after="0"/>
              <w:rPr>
                <w:sz w:val="15"/>
                <w:szCs w:val="15"/>
                <w:color w:val="auto"/>
              </w:rPr>
            </w:pPr>
          </w:p>
        </w:tc>
        <w:tc>
          <w:tcPr>
            <w:tcW w:w="1300" w:type="dxa"/>
            <w:vAlign w:val="bottom"/>
            <w:gridSpan w:val="2"/>
          </w:tcPr>
          <w:p>
            <w:pPr>
              <w:jc w:val="right"/>
              <w:ind w:right="260"/>
              <w:spacing w:after="0" w:line="175" w:lineRule="exact"/>
              <w:rPr>
                <w:sz w:val="20"/>
                <w:szCs w:val="20"/>
                <w:color w:val="auto"/>
              </w:rPr>
            </w:pPr>
            <w:r>
              <w:rPr>
                <w:rFonts w:ascii="Arial" w:cs="Arial" w:eastAsia="Arial" w:hAnsi="Arial"/>
                <w:sz w:val="16"/>
                <w:szCs w:val="16"/>
                <w:color w:val="auto"/>
              </w:rPr>
              <w:t>54,556,147</w:t>
            </w:r>
          </w:p>
        </w:tc>
        <w:tc>
          <w:tcPr>
            <w:tcW w:w="1200" w:type="dxa"/>
            <w:vAlign w:val="bottom"/>
            <w:gridSpan w:val="2"/>
          </w:tcPr>
          <w:p>
            <w:pPr>
              <w:jc w:val="right"/>
              <w:ind w:right="260"/>
              <w:spacing w:after="0" w:line="175" w:lineRule="exact"/>
              <w:rPr>
                <w:sz w:val="20"/>
                <w:szCs w:val="20"/>
                <w:color w:val="auto"/>
              </w:rPr>
            </w:pPr>
            <w:r>
              <w:rPr>
                <w:rFonts w:ascii="Arial" w:cs="Arial" w:eastAsia="Arial" w:hAnsi="Arial"/>
                <w:sz w:val="16"/>
                <w:szCs w:val="16"/>
                <w:color w:val="auto"/>
              </w:rPr>
              <w:t>56,950,785</w:t>
            </w:r>
          </w:p>
        </w:tc>
        <w:tc>
          <w:tcPr>
            <w:tcW w:w="10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52,904,817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260" w:type="dxa"/>
            <w:vAlign w:val="bottom"/>
          </w:tcPr>
          <w:p>
            <w:pPr>
              <w:spacing w:after="0"/>
              <w:rPr>
                <w:sz w:val="20"/>
                <w:szCs w:val="20"/>
                <w:color w:val="auto"/>
              </w:rPr>
            </w:pPr>
            <w:r>
              <w:rPr>
                <w:rFonts w:ascii="Arial" w:cs="Arial" w:eastAsia="Arial" w:hAnsi="Arial"/>
                <w:sz w:val="16"/>
                <w:szCs w:val="16"/>
                <w:color w:val="auto"/>
              </w:rPr>
              <w:t>— Diluted</w:t>
            </w:r>
          </w:p>
        </w:tc>
        <w:tc>
          <w:tcPr>
            <w:tcW w:w="1020" w:type="dxa"/>
            <w:vAlign w:val="bottom"/>
          </w:tcPr>
          <w:p>
            <w:pPr>
              <w:jc w:val="right"/>
              <w:spacing w:after="0"/>
              <w:rPr>
                <w:sz w:val="20"/>
                <w:szCs w:val="20"/>
                <w:color w:val="auto"/>
              </w:rPr>
            </w:pPr>
            <w:r>
              <w:rPr>
                <w:rFonts w:ascii="Arial" w:cs="Arial" w:eastAsia="Arial" w:hAnsi="Arial"/>
                <w:sz w:val="16"/>
                <w:szCs w:val="16"/>
                <w:color w:val="auto"/>
              </w:rPr>
              <w:t>57,240,609</w:t>
            </w:r>
          </w:p>
        </w:tc>
        <w:tc>
          <w:tcPr>
            <w:tcW w:w="2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54,556,147</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56,950,785</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52,904,817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6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2" w:name="page13"/>
    <w:bookmarkEnd w:id="12"/>
    <w:p>
      <w:pPr>
        <w:ind w:left="3440"/>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2"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Unaudited 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As of</w:t>
            </w:r>
          </w:p>
        </w:tc>
        <w:tc>
          <w:tcPr>
            <w:tcW w:w="156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74"/>
        </w:trPr>
        <w:tc>
          <w:tcPr>
            <w:tcW w:w="32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 2019</w:t>
            </w:r>
          </w:p>
        </w:tc>
        <w:tc>
          <w:tcPr>
            <w:tcW w:w="15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December 31, 2018</w:t>
            </w:r>
          </w:p>
        </w:tc>
        <w:tc>
          <w:tcPr>
            <w:tcW w:w="0" w:type="dxa"/>
            <w:vAlign w:val="bottom"/>
          </w:tcPr>
          <w:p>
            <w:pPr>
              <w:spacing w:after="0"/>
              <w:rPr>
                <w:sz w:val="1"/>
                <w:szCs w:val="1"/>
                <w:color w:val="auto"/>
              </w:rPr>
            </w:pPr>
          </w:p>
        </w:tc>
      </w:tr>
      <w:tr>
        <w:trPr>
          <w:trHeight w:val="244"/>
        </w:trPr>
        <w:tc>
          <w:tcPr>
            <w:tcW w:w="8200" w:type="dxa"/>
            <w:vAlign w:val="bottom"/>
            <w:gridSpan w:val="2"/>
          </w:tcPr>
          <w:p>
            <w:pPr>
              <w:spacing w:after="0"/>
              <w:rPr>
                <w:sz w:val="20"/>
                <w:szCs w:val="20"/>
                <w:color w:val="auto"/>
              </w:rPr>
            </w:pPr>
            <w:r>
              <w:rPr>
                <w:rFonts w:ascii="Arial" w:cs="Arial" w:eastAsia="Arial" w:hAnsi="Arial"/>
                <w:sz w:val="13"/>
                <w:szCs w:val="13"/>
                <w:b w:val="1"/>
                <w:bCs w:val="1"/>
                <w:color w:val="auto"/>
              </w:rPr>
              <w:t>Assets</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820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1400" w:type="dxa"/>
            <w:vAlign w:val="bottom"/>
          </w:tcPr>
          <w:p>
            <w:pPr>
              <w:jc w:val="right"/>
              <w:spacing w:after="0"/>
              <w:rPr>
                <w:sz w:val="20"/>
                <w:szCs w:val="20"/>
                <w:color w:val="auto"/>
              </w:rPr>
            </w:pPr>
            <w:r>
              <w:rPr>
                <w:rFonts w:ascii="Arial" w:cs="Arial" w:eastAsia="Arial" w:hAnsi="Arial"/>
                <w:sz w:val="13"/>
                <w:szCs w:val="13"/>
                <w:color w:val="auto"/>
              </w:rPr>
              <w:t>36,854</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39,828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Time deposit</w:t>
            </w:r>
          </w:p>
        </w:tc>
        <w:tc>
          <w:tcPr>
            <w:tcW w:w="1400" w:type="dxa"/>
            <w:vAlign w:val="bottom"/>
          </w:tcPr>
          <w:p>
            <w:pPr>
              <w:jc w:val="right"/>
              <w:spacing w:after="0"/>
              <w:rPr>
                <w:sz w:val="20"/>
                <w:szCs w:val="20"/>
                <w:color w:val="auto"/>
              </w:rPr>
            </w:pPr>
            <w:r>
              <w:rPr>
                <w:rFonts w:ascii="Arial" w:cs="Arial" w:eastAsia="Arial" w:hAnsi="Arial"/>
                <w:sz w:val="13"/>
                <w:szCs w:val="13"/>
                <w:color w:val="auto"/>
              </w:rPr>
              <w:t>410</w:t>
            </w:r>
          </w:p>
        </w:tc>
        <w:tc>
          <w:tcPr>
            <w:tcW w:w="80" w:type="dxa"/>
            <w:vAlign w:val="bottom"/>
          </w:tcPr>
          <w:p>
            <w:pPr>
              <w:spacing w:after="0"/>
              <w:rPr>
                <w:sz w:val="12"/>
                <w:szCs w:val="12"/>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Restricted cash</w:t>
            </w:r>
          </w:p>
        </w:tc>
        <w:tc>
          <w:tcPr>
            <w:tcW w:w="1400" w:type="dxa"/>
            <w:vAlign w:val="bottom"/>
          </w:tcPr>
          <w:p>
            <w:pPr>
              <w:jc w:val="right"/>
              <w:spacing w:after="0"/>
              <w:rPr>
                <w:sz w:val="20"/>
                <w:szCs w:val="20"/>
                <w:color w:val="auto"/>
              </w:rPr>
            </w:pPr>
            <w:r>
              <w:rPr>
                <w:rFonts w:ascii="Arial" w:cs="Arial" w:eastAsia="Arial" w:hAnsi="Arial"/>
                <w:sz w:val="13"/>
                <w:szCs w:val="13"/>
                <w:color w:val="auto"/>
              </w:rPr>
              <w:t>23,852</w:t>
            </w:r>
          </w:p>
        </w:tc>
        <w:tc>
          <w:tcPr>
            <w:tcW w:w="80" w:type="dxa"/>
            <w:vAlign w:val="bottom"/>
          </w:tcPr>
          <w:p>
            <w:pPr>
              <w:spacing w:after="0"/>
              <w:rPr>
                <w:sz w:val="12"/>
                <w:szCs w:val="12"/>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Amount due from an equity investee</w:t>
            </w:r>
          </w:p>
        </w:tc>
        <w:tc>
          <w:tcPr>
            <w:tcW w:w="1400" w:type="dxa"/>
            <w:vAlign w:val="bottom"/>
          </w:tcPr>
          <w:p>
            <w:pPr>
              <w:jc w:val="right"/>
              <w:spacing w:after="0"/>
              <w:rPr>
                <w:sz w:val="20"/>
                <w:szCs w:val="20"/>
                <w:color w:val="auto"/>
              </w:rPr>
            </w:pPr>
            <w:r>
              <w:rPr>
                <w:rFonts w:ascii="Arial" w:cs="Arial" w:eastAsia="Arial" w:hAnsi="Arial"/>
                <w:sz w:val="13"/>
                <w:szCs w:val="13"/>
                <w:color w:val="auto"/>
              </w:rPr>
              <w:t>155</w:t>
            </w:r>
          </w:p>
        </w:tc>
        <w:tc>
          <w:tcPr>
            <w:tcW w:w="80" w:type="dxa"/>
            <w:vAlign w:val="bottom"/>
          </w:tcPr>
          <w:p>
            <w:pPr>
              <w:spacing w:after="0"/>
              <w:rPr>
                <w:sz w:val="12"/>
                <w:szCs w:val="12"/>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200" w:type="dxa"/>
            <w:vAlign w:val="bottom"/>
            <w:gridSpan w:val="2"/>
          </w:tcPr>
          <w:p>
            <w:pPr>
              <w:spacing w:after="0"/>
              <w:rPr>
                <w:sz w:val="20"/>
                <w:szCs w:val="20"/>
                <w:color w:val="auto"/>
              </w:rPr>
            </w:pPr>
            <w:r>
              <w:rPr>
                <w:rFonts w:ascii="Arial" w:cs="Arial" w:eastAsia="Arial" w:hAnsi="Arial"/>
                <w:sz w:val="13"/>
                <w:szCs w:val="13"/>
                <w:color w:val="auto"/>
              </w:rPr>
              <w:t>Short-term investment</w:t>
            </w: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17,427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Accounts receivable, net of allowance for doubtful receivables of US$3,469 and US$1,507 as of December 31, 2019 and December 31, 2018</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ind w:left="160"/>
              <w:spacing w:after="0"/>
              <w:rPr>
                <w:sz w:val="20"/>
                <w:szCs w:val="20"/>
                <w:color w:val="auto"/>
              </w:rPr>
            </w:pPr>
            <w:r>
              <w:rPr>
                <w:rFonts w:ascii="Arial" w:cs="Arial" w:eastAsia="Arial" w:hAnsi="Arial"/>
                <w:sz w:val="13"/>
                <w:szCs w:val="13"/>
                <w:color w:val="auto"/>
              </w:rPr>
              <w:t>respectively</w:t>
            </w:r>
          </w:p>
        </w:tc>
        <w:tc>
          <w:tcPr>
            <w:tcW w:w="1400" w:type="dxa"/>
            <w:vAlign w:val="bottom"/>
          </w:tcPr>
          <w:p>
            <w:pPr>
              <w:jc w:val="right"/>
              <w:spacing w:after="0"/>
              <w:rPr>
                <w:sz w:val="20"/>
                <w:szCs w:val="20"/>
                <w:color w:val="auto"/>
              </w:rPr>
            </w:pPr>
            <w:r>
              <w:rPr>
                <w:rFonts w:ascii="Arial" w:cs="Arial" w:eastAsia="Arial" w:hAnsi="Arial"/>
                <w:sz w:val="13"/>
                <w:szCs w:val="13"/>
                <w:color w:val="auto"/>
              </w:rPr>
              <w:t>143,971</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65,627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Rebates receivable</w:t>
            </w:r>
          </w:p>
        </w:tc>
        <w:tc>
          <w:tcPr>
            <w:tcW w:w="1400" w:type="dxa"/>
            <w:vAlign w:val="bottom"/>
          </w:tcPr>
          <w:p>
            <w:pPr>
              <w:jc w:val="right"/>
              <w:spacing w:after="0"/>
              <w:rPr>
                <w:sz w:val="20"/>
                <w:szCs w:val="20"/>
                <w:color w:val="auto"/>
              </w:rPr>
            </w:pPr>
            <w:r>
              <w:rPr>
                <w:rFonts w:ascii="Arial" w:cs="Arial" w:eastAsia="Arial" w:hAnsi="Arial"/>
                <w:sz w:val="13"/>
                <w:szCs w:val="13"/>
                <w:color w:val="auto"/>
              </w:rPr>
              <w:t>5,603</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4,067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Prepaid media costs</w:t>
            </w:r>
          </w:p>
        </w:tc>
        <w:tc>
          <w:tcPr>
            <w:tcW w:w="1400" w:type="dxa"/>
            <w:vAlign w:val="bottom"/>
          </w:tcPr>
          <w:p>
            <w:pPr>
              <w:jc w:val="right"/>
              <w:spacing w:after="0"/>
              <w:rPr>
                <w:sz w:val="20"/>
                <w:szCs w:val="20"/>
                <w:color w:val="auto"/>
              </w:rPr>
            </w:pPr>
            <w:r>
              <w:rPr>
                <w:rFonts w:ascii="Arial" w:cs="Arial" w:eastAsia="Arial" w:hAnsi="Arial"/>
                <w:sz w:val="13"/>
                <w:szCs w:val="13"/>
                <w:color w:val="auto"/>
              </w:rPr>
              <w:t>25,565</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19,107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200" w:type="dxa"/>
            <w:vAlign w:val="bottom"/>
            <w:gridSpan w:val="2"/>
          </w:tcPr>
          <w:p>
            <w:pPr>
              <w:spacing w:after="0"/>
              <w:rPr>
                <w:sz w:val="20"/>
                <w:szCs w:val="20"/>
                <w:color w:val="auto"/>
              </w:rPr>
            </w:pPr>
            <w:r>
              <w:rPr>
                <w:rFonts w:ascii="Arial" w:cs="Arial" w:eastAsia="Arial" w:hAnsi="Arial"/>
                <w:sz w:val="13"/>
                <w:szCs w:val="13"/>
                <w:color w:val="auto"/>
              </w:rPr>
              <w:t>Other current assets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8,983</w:t>
            </w:r>
          </w:p>
        </w:tc>
        <w:tc>
          <w:tcPr>
            <w:tcW w:w="8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3,242</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current assets</w:t>
            </w: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245,393</w:t>
            </w:r>
          </w:p>
        </w:tc>
        <w:tc>
          <w:tcPr>
            <w:tcW w:w="80" w:type="dxa"/>
            <w:vAlign w:val="bottom"/>
          </w:tcPr>
          <w:p>
            <w:pPr>
              <w:spacing w:after="0"/>
              <w:rPr>
                <w:sz w:val="12"/>
                <w:szCs w:val="12"/>
                <w:color w:val="auto"/>
              </w:rPr>
            </w:pPr>
          </w:p>
        </w:tc>
        <w:tc>
          <w:tcPr>
            <w:tcW w:w="1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149,298</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8200" w:type="dxa"/>
            <w:vAlign w:val="bottom"/>
            <w:gridSpan w:val="2"/>
          </w:tcPr>
          <w:p>
            <w:pPr>
              <w:spacing w:after="0"/>
              <w:rPr>
                <w:sz w:val="20"/>
                <w:szCs w:val="20"/>
                <w:color w:val="auto"/>
              </w:rPr>
            </w:pPr>
            <w:r>
              <w:rPr>
                <w:rFonts w:ascii="Arial" w:cs="Arial" w:eastAsia="Arial" w:hAnsi="Arial"/>
                <w:sz w:val="13"/>
                <w:szCs w:val="13"/>
                <w:b w:val="1"/>
                <w:bCs w:val="1"/>
                <w:color w:val="auto"/>
              </w:rPr>
              <w:t>Non-current assets</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Deferred tax assets</w:t>
            </w:r>
          </w:p>
        </w:tc>
        <w:tc>
          <w:tcPr>
            <w:tcW w:w="1400" w:type="dxa"/>
            <w:vAlign w:val="bottom"/>
          </w:tcPr>
          <w:p>
            <w:pPr>
              <w:jc w:val="right"/>
              <w:spacing w:after="0"/>
              <w:rPr>
                <w:sz w:val="20"/>
                <w:szCs w:val="20"/>
                <w:color w:val="auto"/>
              </w:rPr>
            </w:pPr>
            <w:r>
              <w:rPr>
                <w:rFonts w:ascii="Arial" w:cs="Arial" w:eastAsia="Arial" w:hAnsi="Arial"/>
                <w:sz w:val="13"/>
                <w:szCs w:val="13"/>
                <w:color w:val="auto"/>
              </w:rPr>
              <w:t>1,033</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1,153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Investment in equity investee</w:t>
            </w:r>
          </w:p>
        </w:tc>
        <w:tc>
          <w:tcPr>
            <w:tcW w:w="1400" w:type="dxa"/>
            <w:vAlign w:val="bottom"/>
          </w:tcPr>
          <w:p>
            <w:pPr>
              <w:jc w:val="right"/>
              <w:spacing w:after="0"/>
              <w:rPr>
                <w:sz w:val="20"/>
                <w:szCs w:val="20"/>
                <w:color w:val="auto"/>
              </w:rPr>
            </w:pPr>
            <w:r>
              <w:rPr>
                <w:rFonts w:ascii="Arial" w:cs="Arial" w:eastAsia="Arial" w:hAnsi="Arial"/>
                <w:sz w:val="13"/>
                <w:szCs w:val="13"/>
                <w:color w:val="auto"/>
              </w:rPr>
              <w:t>158</w:t>
            </w:r>
          </w:p>
        </w:tc>
        <w:tc>
          <w:tcPr>
            <w:tcW w:w="80" w:type="dxa"/>
            <w:vAlign w:val="bottom"/>
          </w:tcPr>
          <w:p>
            <w:pPr>
              <w:spacing w:after="0"/>
              <w:rPr>
                <w:sz w:val="12"/>
                <w:szCs w:val="12"/>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200" w:type="dxa"/>
            <w:vAlign w:val="bottom"/>
            <w:gridSpan w:val="2"/>
          </w:tcPr>
          <w:p>
            <w:pPr>
              <w:spacing w:after="0"/>
              <w:rPr>
                <w:sz w:val="20"/>
                <w:szCs w:val="20"/>
                <w:color w:val="auto"/>
              </w:rPr>
            </w:pPr>
            <w:r>
              <w:rPr>
                <w:rFonts w:ascii="Arial" w:cs="Arial" w:eastAsia="Arial" w:hAnsi="Arial"/>
                <w:sz w:val="13"/>
                <w:szCs w:val="13"/>
                <w:color w:val="auto"/>
              </w:rPr>
              <w:t>Property and equipment, net</w:t>
            </w:r>
          </w:p>
        </w:tc>
        <w:tc>
          <w:tcPr>
            <w:tcW w:w="1400" w:type="dxa"/>
            <w:vAlign w:val="bottom"/>
          </w:tcPr>
          <w:p>
            <w:pPr>
              <w:jc w:val="right"/>
              <w:spacing w:after="0"/>
              <w:rPr>
                <w:sz w:val="20"/>
                <w:szCs w:val="20"/>
                <w:color w:val="auto"/>
              </w:rPr>
            </w:pPr>
            <w:r>
              <w:rPr>
                <w:rFonts w:ascii="Arial" w:cs="Arial" w:eastAsia="Arial" w:hAnsi="Arial"/>
                <w:sz w:val="13"/>
                <w:szCs w:val="13"/>
                <w:color w:val="auto"/>
              </w:rPr>
              <w:t>536</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Intangible assets, net</w:t>
            </w:r>
          </w:p>
        </w:tc>
        <w:tc>
          <w:tcPr>
            <w:tcW w:w="1400" w:type="dxa"/>
            <w:vAlign w:val="bottom"/>
          </w:tcPr>
          <w:p>
            <w:pPr>
              <w:jc w:val="right"/>
              <w:spacing w:after="0"/>
              <w:rPr>
                <w:sz w:val="20"/>
                <w:szCs w:val="20"/>
                <w:color w:val="auto"/>
              </w:rPr>
            </w:pPr>
            <w:r>
              <w:rPr>
                <w:rFonts w:ascii="Arial" w:cs="Arial" w:eastAsia="Arial" w:hAnsi="Arial"/>
                <w:sz w:val="13"/>
                <w:szCs w:val="13"/>
                <w:color w:val="auto"/>
              </w:rPr>
              <w:t>4,418</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7,247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Goodwill</w:t>
            </w:r>
          </w:p>
        </w:tc>
        <w:tc>
          <w:tcPr>
            <w:tcW w:w="1400" w:type="dxa"/>
            <w:vAlign w:val="bottom"/>
          </w:tcPr>
          <w:p>
            <w:pPr>
              <w:jc w:val="right"/>
              <w:spacing w:after="0"/>
              <w:rPr>
                <w:sz w:val="20"/>
                <w:szCs w:val="20"/>
                <w:color w:val="auto"/>
              </w:rPr>
            </w:pPr>
            <w:r>
              <w:rPr>
                <w:rFonts w:ascii="Arial" w:cs="Arial" w:eastAsia="Arial" w:hAnsi="Arial"/>
                <w:sz w:val="13"/>
                <w:szCs w:val="13"/>
                <w:color w:val="auto"/>
              </w:rPr>
              <w:t>55,152</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48,496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Long-term investment</w:t>
            </w:r>
          </w:p>
        </w:tc>
        <w:tc>
          <w:tcPr>
            <w:tcW w:w="1400" w:type="dxa"/>
            <w:vAlign w:val="bottom"/>
          </w:tcPr>
          <w:p>
            <w:pPr>
              <w:jc w:val="right"/>
              <w:spacing w:after="0"/>
              <w:rPr>
                <w:sz w:val="20"/>
                <w:szCs w:val="20"/>
                <w:color w:val="auto"/>
              </w:rPr>
            </w:pPr>
            <w:r>
              <w:rPr>
                <w:rFonts w:ascii="Arial" w:cs="Arial" w:eastAsia="Arial" w:hAnsi="Arial"/>
                <w:sz w:val="13"/>
                <w:szCs w:val="13"/>
                <w:color w:val="auto"/>
              </w:rPr>
              <w:t>2,503</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Right-of-use assets</w:t>
            </w:r>
            <w:r>
              <w:rPr>
                <w:rFonts w:ascii="Arial" w:cs="Arial" w:eastAsia="Arial" w:hAnsi="Arial"/>
                <w:sz w:val="11"/>
                <w:szCs w:val="11"/>
                <w:color w:val="auto"/>
              </w:rPr>
              <w:t>3</w:t>
            </w:r>
          </w:p>
        </w:tc>
        <w:tc>
          <w:tcPr>
            <w:tcW w:w="1400" w:type="dxa"/>
            <w:vAlign w:val="bottom"/>
          </w:tcPr>
          <w:p>
            <w:pPr>
              <w:jc w:val="right"/>
              <w:spacing w:after="0"/>
              <w:rPr>
                <w:sz w:val="20"/>
                <w:szCs w:val="20"/>
                <w:color w:val="auto"/>
              </w:rPr>
            </w:pPr>
            <w:r>
              <w:rPr>
                <w:rFonts w:ascii="Arial" w:cs="Arial" w:eastAsia="Arial" w:hAnsi="Arial"/>
                <w:sz w:val="13"/>
                <w:szCs w:val="13"/>
                <w:color w:val="auto"/>
              </w:rPr>
              <w:t>1,656</w:t>
            </w:r>
          </w:p>
        </w:tc>
        <w:tc>
          <w:tcPr>
            <w:tcW w:w="80" w:type="dxa"/>
            <w:vAlign w:val="bottom"/>
          </w:tcPr>
          <w:p>
            <w:pPr>
              <w:spacing w:after="0"/>
              <w:rPr>
                <w:sz w:val="12"/>
                <w:szCs w:val="12"/>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820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8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non-current assets</w:t>
            </w: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65,565</w:t>
            </w:r>
          </w:p>
        </w:tc>
        <w:tc>
          <w:tcPr>
            <w:tcW w:w="80" w:type="dxa"/>
            <w:vAlign w:val="bottom"/>
          </w:tcPr>
          <w:p>
            <w:pPr>
              <w:spacing w:after="0"/>
              <w:rPr>
                <w:sz w:val="12"/>
                <w:szCs w:val="12"/>
                <w:color w:val="auto"/>
              </w:rPr>
            </w:pPr>
          </w:p>
        </w:tc>
        <w:tc>
          <w:tcPr>
            <w:tcW w:w="1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57,960</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8200" w:type="dxa"/>
            <w:vAlign w:val="bottom"/>
            <w:gridSpan w:val="2"/>
          </w:tcPr>
          <w:p>
            <w:pPr>
              <w:spacing w:after="0"/>
              <w:rPr>
                <w:sz w:val="20"/>
                <w:szCs w:val="20"/>
                <w:color w:val="auto"/>
              </w:rPr>
            </w:pPr>
            <w:r>
              <w:rPr>
                <w:rFonts w:ascii="Arial" w:cs="Arial" w:eastAsia="Arial" w:hAnsi="Arial"/>
                <w:sz w:val="13"/>
                <w:szCs w:val="13"/>
                <w:b w:val="1"/>
                <w:bCs w:val="1"/>
                <w:color w:val="auto"/>
              </w:rPr>
              <w:t>Total assets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310,958</w:t>
            </w:r>
          </w:p>
        </w:tc>
        <w:tc>
          <w:tcPr>
            <w:tcW w:w="8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207,258</w:t>
            </w:r>
          </w:p>
        </w:tc>
        <w:tc>
          <w:tcPr>
            <w:tcW w:w="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and equity</w:t>
            </w: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200" w:type="dxa"/>
            <w:vAlign w:val="bottom"/>
            <w:gridSpan w:val="2"/>
            <w:vMerge w:val="continue"/>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8200" w:type="dxa"/>
            <w:vAlign w:val="bottom"/>
            <w:gridSpan w:val="2"/>
          </w:tcPr>
          <w:p>
            <w:pPr>
              <w:spacing w:after="0"/>
              <w:rPr>
                <w:sz w:val="20"/>
                <w:szCs w:val="20"/>
                <w:color w:val="auto"/>
              </w:rPr>
            </w:pPr>
            <w:r>
              <w:rPr>
                <w:rFonts w:ascii="Arial" w:cs="Arial" w:eastAsia="Arial" w:hAnsi="Arial"/>
                <w:sz w:val="13"/>
                <w:szCs w:val="13"/>
                <w:b w:val="1"/>
                <w:bCs w:val="1"/>
                <w:color w:val="auto"/>
              </w:rPr>
              <w:t>Current liabilities</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w w:val="89"/>
              </w:rPr>
              <w:t>Accounts payable (including accounts payable of the consolidated variable interest entity (“VIE”) and its subsidiaries without recourse to the Company of US$27</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gridSpan w:val="2"/>
          </w:tcPr>
          <w:p>
            <w:pPr>
              <w:ind w:left="160"/>
              <w:spacing w:after="0"/>
              <w:rPr>
                <w:sz w:val="20"/>
                <w:szCs w:val="20"/>
                <w:color w:val="auto"/>
              </w:rPr>
            </w:pPr>
            <w:r>
              <w:rPr>
                <w:rFonts w:ascii="Arial" w:cs="Arial" w:eastAsia="Arial" w:hAnsi="Arial"/>
                <w:sz w:val="13"/>
                <w:szCs w:val="13"/>
                <w:color w:val="auto"/>
              </w:rPr>
              <w:t>and US$45 as of December 31, 2019 and December 31, 2018, respectively)</w:t>
            </w:r>
          </w:p>
        </w:tc>
        <w:tc>
          <w:tcPr>
            <w:tcW w:w="1400" w:type="dxa"/>
            <w:vAlign w:val="bottom"/>
          </w:tcPr>
          <w:p>
            <w:pPr>
              <w:jc w:val="right"/>
              <w:spacing w:after="0"/>
              <w:rPr>
                <w:sz w:val="20"/>
                <w:szCs w:val="20"/>
                <w:color w:val="auto"/>
              </w:rPr>
            </w:pPr>
            <w:r>
              <w:rPr>
                <w:rFonts w:ascii="Arial" w:cs="Arial" w:eastAsia="Arial" w:hAnsi="Arial"/>
                <w:sz w:val="13"/>
                <w:szCs w:val="13"/>
                <w:color w:val="auto"/>
              </w:rPr>
              <w:t>66,161</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6,557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w w:val="91"/>
              </w:rPr>
              <w:t>Deferred revenue (including deferred revenue of the consolidated VIE and its subsidiaries without recourse to the Company of US$866 and US$1,300 as of</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ind w:left="160"/>
              <w:spacing w:after="0"/>
              <w:rPr>
                <w:sz w:val="20"/>
                <w:szCs w:val="20"/>
                <w:color w:val="auto"/>
              </w:rPr>
            </w:pPr>
            <w:r>
              <w:rPr>
                <w:rFonts w:ascii="Arial" w:cs="Arial" w:eastAsia="Arial" w:hAnsi="Arial"/>
                <w:sz w:val="13"/>
                <w:szCs w:val="13"/>
                <w:color w:val="auto"/>
              </w:rPr>
              <w:t>December 31, 2019 and December 31, 2018, respectively)</w:t>
            </w:r>
          </w:p>
        </w:tc>
        <w:tc>
          <w:tcPr>
            <w:tcW w:w="1400" w:type="dxa"/>
            <w:vAlign w:val="bottom"/>
          </w:tcPr>
          <w:p>
            <w:pPr>
              <w:jc w:val="right"/>
              <w:spacing w:after="0"/>
              <w:rPr>
                <w:sz w:val="20"/>
                <w:szCs w:val="20"/>
                <w:color w:val="auto"/>
              </w:rPr>
            </w:pPr>
            <w:r>
              <w:rPr>
                <w:rFonts w:ascii="Arial" w:cs="Arial" w:eastAsia="Arial" w:hAnsi="Arial"/>
                <w:sz w:val="13"/>
                <w:szCs w:val="13"/>
                <w:color w:val="auto"/>
              </w:rPr>
              <w:t>27,089</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27,191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w w:val="94"/>
              </w:rPr>
              <w:t>Accrued liabilities and other current liabilities (including accrued liabilities and other current liabilities of the consolidated VIE and its subsidiaries without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gridSpan w:val="2"/>
          </w:tcPr>
          <w:p>
            <w:pPr>
              <w:ind w:left="160"/>
              <w:spacing w:after="0"/>
              <w:rPr>
                <w:sz w:val="20"/>
                <w:szCs w:val="20"/>
                <w:color w:val="auto"/>
              </w:rPr>
            </w:pPr>
            <w:r>
              <w:rPr>
                <w:rFonts w:ascii="Arial" w:cs="Arial" w:eastAsia="Arial" w:hAnsi="Arial"/>
                <w:sz w:val="13"/>
                <w:szCs w:val="13"/>
                <w:color w:val="auto"/>
              </w:rPr>
              <w:t>recourse to the Company of US$1,802 and US$1,776 as of December 31, 2019 and December 31, 2018, respectively)</w:t>
            </w:r>
          </w:p>
        </w:tc>
        <w:tc>
          <w:tcPr>
            <w:tcW w:w="1400" w:type="dxa"/>
            <w:vAlign w:val="bottom"/>
          </w:tcPr>
          <w:p>
            <w:pPr>
              <w:jc w:val="right"/>
              <w:spacing w:after="0"/>
              <w:rPr>
                <w:sz w:val="20"/>
                <w:szCs w:val="20"/>
                <w:color w:val="auto"/>
              </w:rPr>
            </w:pPr>
            <w:r>
              <w:rPr>
                <w:rFonts w:ascii="Arial" w:cs="Arial" w:eastAsia="Arial" w:hAnsi="Arial"/>
                <w:sz w:val="13"/>
                <w:szCs w:val="13"/>
                <w:color w:val="auto"/>
              </w:rPr>
              <w:t>19,937</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16,348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Lease liabilities</w:t>
            </w:r>
            <w:r>
              <w:rPr>
                <w:rFonts w:ascii="Arial" w:cs="Arial" w:eastAsia="Arial" w:hAnsi="Arial"/>
                <w:sz w:val="11"/>
                <w:szCs w:val="11"/>
                <w:color w:val="auto"/>
              </w:rPr>
              <w:t>3</w:t>
            </w: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1,114</w:t>
            </w:r>
          </w:p>
        </w:tc>
        <w:tc>
          <w:tcPr>
            <w:tcW w:w="1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Bank borrowings</w:t>
            </w:r>
          </w:p>
        </w:tc>
        <w:tc>
          <w:tcPr>
            <w:tcW w:w="1400" w:type="dxa"/>
            <w:vAlign w:val="bottom"/>
          </w:tcPr>
          <w:p>
            <w:pPr>
              <w:jc w:val="right"/>
              <w:spacing w:after="0"/>
              <w:rPr>
                <w:sz w:val="20"/>
                <w:szCs w:val="20"/>
                <w:color w:val="auto"/>
              </w:rPr>
            </w:pPr>
            <w:r>
              <w:rPr>
                <w:rFonts w:ascii="Arial" w:cs="Arial" w:eastAsia="Arial" w:hAnsi="Arial"/>
                <w:sz w:val="13"/>
                <w:szCs w:val="13"/>
                <w:color w:val="auto"/>
              </w:rPr>
              <w:t>36,851</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9,439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gridSpan w:val="2"/>
          </w:tcPr>
          <w:p>
            <w:pPr>
              <w:spacing w:after="0"/>
              <w:rPr>
                <w:sz w:val="20"/>
                <w:szCs w:val="20"/>
                <w:color w:val="auto"/>
              </w:rPr>
            </w:pPr>
            <w:r>
              <w:rPr>
                <w:rFonts w:ascii="Arial" w:cs="Arial" w:eastAsia="Arial" w:hAnsi="Arial"/>
                <w:sz w:val="13"/>
                <w:szCs w:val="13"/>
                <w:color w:val="auto"/>
              </w:rPr>
              <w:t>Convertible notes at fair value</w:t>
            </w:r>
          </w:p>
        </w:tc>
        <w:tc>
          <w:tcPr>
            <w:tcW w:w="1400" w:type="dxa"/>
            <w:vAlign w:val="bottom"/>
          </w:tcPr>
          <w:p>
            <w:pPr>
              <w:jc w:val="right"/>
              <w:spacing w:after="0"/>
              <w:rPr>
                <w:sz w:val="20"/>
                <w:szCs w:val="20"/>
                <w:color w:val="auto"/>
              </w:rPr>
            </w:pPr>
            <w:r>
              <w:rPr>
                <w:rFonts w:ascii="Arial" w:cs="Arial" w:eastAsia="Arial" w:hAnsi="Arial"/>
                <w:sz w:val="13"/>
                <w:szCs w:val="13"/>
                <w:color w:val="auto"/>
              </w:rPr>
              <w:t>49,008</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34,837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200" w:type="dxa"/>
            <w:vAlign w:val="bottom"/>
            <w:gridSpan w:val="2"/>
          </w:tcPr>
          <w:p>
            <w:pPr>
              <w:spacing w:after="0"/>
              <w:rPr>
                <w:sz w:val="20"/>
                <w:szCs w:val="20"/>
                <w:color w:val="auto"/>
              </w:rPr>
            </w:pPr>
            <w:r>
              <w:rPr>
                <w:rFonts w:ascii="Arial" w:cs="Arial" w:eastAsia="Arial" w:hAnsi="Arial"/>
                <w:sz w:val="13"/>
                <w:szCs w:val="13"/>
                <w:color w:val="auto"/>
              </w:rPr>
              <w:t>Income tax payable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3,780</w:t>
            </w:r>
          </w:p>
        </w:tc>
        <w:tc>
          <w:tcPr>
            <w:tcW w:w="8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2,779</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current liabilities</w:t>
            </w: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203,940</w:t>
            </w:r>
          </w:p>
        </w:tc>
        <w:tc>
          <w:tcPr>
            <w:tcW w:w="80" w:type="dxa"/>
            <w:vAlign w:val="bottom"/>
          </w:tcPr>
          <w:p>
            <w:pPr>
              <w:spacing w:after="0"/>
              <w:rPr>
                <w:sz w:val="12"/>
                <w:szCs w:val="12"/>
                <w:color w:val="auto"/>
              </w:rPr>
            </w:pPr>
          </w:p>
        </w:tc>
        <w:tc>
          <w:tcPr>
            <w:tcW w:w="1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97,151</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820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Non-current liabilities</w:t>
            </w: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Other liabilities</w:t>
            </w:r>
          </w:p>
        </w:tc>
        <w:tc>
          <w:tcPr>
            <w:tcW w:w="1400" w:type="dxa"/>
            <w:vAlign w:val="bottom"/>
          </w:tcPr>
          <w:p>
            <w:pPr>
              <w:jc w:val="right"/>
              <w:spacing w:after="0"/>
              <w:rPr>
                <w:sz w:val="20"/>
                <w:szCs w:val="20"/>
                <w:color w:val="auto"/>
              </w:rPr>
            </w:pPr>
            <w:r>
              <w:rPr>
                <w:rFonts w:ascii="Arial" w:cs="Arial" w:eastAsia="Arial" w:hAnsi="Arial"/>
                <w:sz w:val="13"/>
                <w:szCs w:val="13"/>
                <w:color w:val="auto"/>
              </w:rPr>
              <w:t>449</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Lease liabilities</w:t>
            </w:r>
            <w:r>
              <w:rPr>
                <w:rFonts w:ascii="Arial" w:cs="Arial" w:eastAsia="Arial" w:hAnsi="Arial"/>
                <w:sz w:val="11"/>
                <w:szCs w:val="11"/>
                <w:color w:val="auto"/>
              </w:rPr>
              <w:t>3</w:t>
            </w:r>
          </w:p>
        </w:tc>
        <w:tc>
          <w:tcPr>
            <w:tcW w:w="1400" w:type="dxa"/>
            <w:vAlign w:val="bottom"/>
          </w:tcPr>
          <w:p>
            <w:pPr>
              <w:jc w:val="right"/>
              <w:spacing w:after="0"/>
              <w:rPr>
                <w:sz w:val="20"/>
                <w:szCs w:val="20"/>
                <w:color w:val="auto"/>
              </w:rPr>
            </w:pPr>
            <w:r>
              <w:rPr>
                <w:rFonts w:ascii="Arial" w:cs="Arial" w:eastAsia="Arial" w:hAnsi="Arial"/>
                <w:sz w:val="13"/>
                <w:szCs w:val="13"/>
                <w:color w:val="auto"/>
              </w:rPr>
              <w:t>706</w:t>
            </w:r>
          </w:p>
        </w:tc>
        <w:tc>
          <w:tcPr>
            <w:tcW w:w="80" w:type="dxa"/>
            <w:vAlign w:val="bottom"/>
          </w:tcPr>
          <w:p>
            <w:pPr>
              <w:spacing w:after="0"/>
              <w:rPr>
                <w:sz w:val="12"/>
                <w:szCs w:val="12"/>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8200" w:type="dxa"/>
            <w:vAlign w:val="bottom"/>
            <w:gridSpan w:val="2"/>
          </w:tcPr>
          <w:p>
            <w:pPr>
              <w:spacing w:after="0"/>
              <w:rPr>
                <w:sz w:val="20"/>
                <w:szCs w:val="20"/>
                <w:color w:val="auto"/>
              </w:rPr>
            </w:pPr>
            <w:r>
              <w:rPr>
                <w:rFonts w:ascii="Arial" w:cs="Arial" w:eastAsia="Arial" w:hAnsi="Arial"/>
                <w:sz w:val="13"/>
                <w:szCs w:val="13"/>
                <w:color w:val="auto"/>
              </w:rPr>
              <w:t>Deferred tax liabilities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1,865</w:t>
            </w:r>
          </w:p>
        </w:tc>
        <w:tc>
          <w:tcPr>
            <w:tcW w:w="8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2,794</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non-current liabilities</w:t>
            </w: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3,020</w:t>
            </w:r>
          </w:p>
        </w:tc>
        <w:tc>
          <w:tcPr>
            <w:tcW w:w="80" w:type="dxa"/>
            <w:vAlign w:val="bottom"/>
          </w:tcPr>
          <w:p>
            <w:pPr>
              <w:spacing w:after="0"/>
              <w:rPr>
                <w:sz w:val="12"/>
                <w:szCs w:val="12"/>
                <w:color w:val="auto"/>
              </w:rPr>
            </w:pPr>
          </w:p>
        </w:tc>
        <w:tc>
          <w:tcPr>
            <w:tcW w:w="1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3,467</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8200" w:type="dxa"/>
            <w:vAlign w:val="bottom"/>
            <w:gridSpan w:val="2"/>
          </w:tcPr>
          <w:p>
            <w:pPr>
              <w:spacing w:after="0"/>
              <w:rPr>
                <w:sz w:val="20"/>
                <w:szCs w:val="20"/>
                <w:color w:val="auto"/>
              </w:rPr>
            </w:pPr>
            <w:r>
              <w:rPr>
                <w:rFonts w:ascii="Arial" w:cs="Arial" w:eastAsia="Arial" w:hAnsi="Arial"/>
                <w:sz w:val="13"/>
                <w:szCs w:val="13"/>
                <w:b w:val="1"/>
                <w:bCs w:val="1"/>
                <w:color w:val="auto"/>
              </w:rPr>
              <w:t>Total liabilities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206,960</w:t>
            </w:r>
          </w:p>
        </w:tc>
        <w:tc>
          <w:tcPr>
            <w:tcW w:w="8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100,618</w:t>
            </w:r>
          </w:p>
        </w:tc>
        <w:tc>
          <w:tcPr>
            <w:tcW w:w="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820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Equity</w:t>
            </w: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w w:val="88"/>
              </w:rPr>
              <w:t>Ordinary shares – Class A (US$0.001 par value; 80,000,000 shares authorized as of December 31, 2019 and December 31, 2018, respectively; 23,870,027 and</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ind w:left="180"/>
              <w:spacing w:after="0"/>
              <w:rPr>
                <w:sz w:val="20"/>
                <w:szCs w:val="20"/>
                <w:color w:val="auto"/>
              </w:rPr>
            </w:pPr>
            <w:r>
              <w:rPr>
                <w:rFonts w:ascii="Arial" w:cs="Arial" w:eastAsia="Arial" w:hAnsi="Arial"/>
                <w:sz w:val="13"/>
                <w:szCs w:val="13"/>
                <w:color w:val="auto"/>
              </w:rPr>
              <w:t>23,166,092 shares issued and outstanding as of December 31, 2019 and December 31, 2018, respectively)</w:t>
            </w:r>
          </w:p>
        </w:tc>
        <w:tc>
          <w:tcPr>
            <w:tcW w:w="140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gridSpan w:val="2"/>
          </w:tcPr>
          <w:p>
            <w:pPr>
              <w:spacing w:after="0"/>
              <w:rPr>
                <w:sz w:val="20"/>
                <w:szCs w:val="20"/>
                <w:color w:val="auto"/>
              </w:rPr>
            </w:pPr>
            <w:r>
              <w:rPr>
                <w:rFonts w:ascii="Arial" w:cs="Arial" w:eastAsia="Arial" w:hAnsi="Arial"/>
                <w:sz w:val="13"/>
                <w:szCs w:val="13"/>
                <w:color w:val="auto"/>
                <w:w w:val="87"/>
              </w:rPr>
              <w:t>Ordinary shares – Class B (US$0.001 par value; 20,000,000 shares authorized as of December 31, 2019 and December 31, 2018, respectively; 4,820,608 shares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ind w:left="180"/>
              <w:spacing w:after="0"/>
              <w:rPr>
                <w:sz w:val="20"/>
                <w:szCs w:val="20"/>
                <w:color w:val="auto"/>
              </w:rPr>
            </w:pPr>
            <w:r>
              <w:rPr>
                <w:rFonts w:ascii="Arial" w:cs="Arial" w:eastAsia="Arial" w:hAnsi="Arial"/>
                <w:sz w:val="13"/>
                <w:szCs w:val="13"/>
                <w:color w:val="auto"/>
              </w:rPr>
              <w:t>issued and outstanding as of December 31, 2019 and December 31, 2018, respectively)</w:t>
            </w:r>
          </w:p>
        </w:tc>
        <w:tc>
          <w:tcPr>
            <w:tcW w:w="140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gridSpan w:val="2"/>
          </w:tcPr>
          <w:p>
            <w:pPr>
              <w:spacing w:after="0"/>
              <w:rPr>
                <w:sz w:val="20"/>
                <w:szCs w:val="20"/>
                <w:color w:val="auto"/>
              </w:rPr>
            </w:pPr>
            <w:r>
              <w:rPr>
                <w:rFonts w:ascii="Arial" w:cs="Arial" w:eastAsia="Arial" w:hAnsi="Arial"/>
                <w:sz w:val="13"/>
                <w:szCs w:val="13"/>
                <w:color w:val="auto"/>
              </w:rPr>
              <w:t>Treasury shares (1,744,873 shares and 1,363,860 shares as of December 31, 2019 and December 31, 2018, respectively)</w:t>
            </w:r>
          </w:p>
        </w:tc>
        <w:tc>
          <w:tcPr>
            <w:tcW w:w="1480" w:type="dxa"/>
            <w:vAlign w:val="bottom"/>
            <w:gridSpan w:val="2"/>
          </w:tcPr>
          <w:p>
            <w:pPr>
              <w:jc w:val="right"/>
              <w:ind w:right="20"/>
              <w:spacing w:after="0"/>
              <w:rPr>
                <w:sz w:val="20"/>
                <w:szCs w:val="20"/>
                <w:color w:val="auto"/>
              </w:rPr>
            </w:pPr>
            <w:r>
              <w:rPr>
                <w:rFonts w:ascii="Arial" w:cs="Arial" w:eastAsia="Arial" w:hAnsi="Arial"/>
                <w:sz w:val="13"/>
                <w:szCs w:val="13"/>
                <w:color w:val="auto"/>
              </w:rPr>
              <w:t>(4,858)</w:t>
            </w:r>
          </w:p>
        </w:tc>
        <w:tc>
          <w:tcPr>
            <w:tcW w:w="1560" w:type="dxa"/>
            <w:vAlign w:val="bottom"/>
            <w:gridSpan w:val="2"/>
          </w:tcPr>
          <w:p>
            <w:pPr>
              <w:jc w:val="right"/>
              <w:ind w:right="40"/>
              <w:spacing w:after="0"/>
              <w:rPr>
                <w:sz w:val="20"/>
                <w:szCs w:val="20"/>
                <w:color w:val="auto"/>
              </w:rPr>
            </w:pPr>
            <w:r>
              <w:rPr>
                <w:rFonts w:ascii="Arial" w:cs="Arial" w:eastAsia="Arial" w:hAnsi="Arial"/>
                <w:sz w:val="13"/>
                <w:szCs w:val="13"/>
                <w:color w:val="auto"/>
              </w:rPr>
              <w:t>(576)</w:t>
            </w: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Additional paid-in capital</w:t>
            </w:r>
          </w:p>
        </w:tc>
        <w:tc>
          <w:tcPr>
            <w:tcW w:w="1400" w:type="dxa"/>
            <w:vAlign w:val="bottom"/>
          </w:tcPr>
          <w:p>
            <w:pPr>
              <w:jc w:val="right"/>
              <w:spacing w:after="0"/>
              <w:rPr>
                <w:sz w:val="20"/>
                <w:szCs w:val="20"/>
                <w:color w:val="auto"/>
              </w:rPr>
            </w:pPr>
            <w:r>
              <w:rPr>
                <w:rFonts w:ascii="Arial" w:cs="Arial" w:eastAsia="Arial" w:hAnsi="Arial"/>
                <w:sz w:val="13"/>
                <w:szCs w:val="13"/>
                <w:color w:val="auto"/>
              </w:rPr>
              <w:t>305,344</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293,072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tcPr>
          <w:p>
            <w:pPr>
              <w:spacing w:after="0"/>
              <w:rPr>
                <w:sz w:val="20"/>
                <w:szCs w:val="20"/>
                <w:color w:val="auto"/>
              </w:rPr>
            </w:pPr>
            <w:r>
              <w:rPr>
                <w:rFonts w:ascii="Arial" w:cs="Arial" w:eastAsia="Arial" w:hAnsi="Arial"/>
                <w:sz w:val="13"/>
                <w:szCs w:val="13"/>
                <w:color w:val="auto"/>
              </w:rPr>
              <w:t>Statutory reserves</w:t>
            </w:r>
          </w:p>
        </w:tc>
        <w:tc>
          <w:tcPr>
            <w:tcW w:w="1400" w:type="dxa"/>
            <w:vAlign w:val="bottom"/>
          </w:tcPr>
          <w:p>
            <w:pPr>
              <w:jc w:val="right"/>
              <w:spacing w:after="0"/>
              <w:rPr>
                <w:sz w:val="20"/>
                <w:szCs w:val="20"/>
                <w:color w:val="auto"/>
              </w:rPr>
            </w:pPr>
            <w:r>
              <w:rPr>
                <w:rFonts w:ascii="Arial" w:cs="Arial" w:eastAsia="Arial" w:hAnsi="Arial"/>
                <w:sz w:val="13"/>
                <w:szCs w:val="13"/>
                <w:color w:val="auto"/>
              </w:rPr>
              <w:t>81</w:t>
            </w: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gridSpan w:val="2"/>
          </w:tcPr>
          <w:p>
            <w:pPr>
              <w:spacing w:after="0"/>
              <w:rPr>
                <w:sz w:val="20"/>
                <w:szCs w:val="20"/>
                <w:color w:val="auto"/>
              </w:rPr>
            </w:pPr>
            <w:r>
              <w:rPr>
                <w:rFonts w:ascii="Arial" w:cs="Arial" w:eastAsia="Arial" w:hAnsi="Arial"/>
                <w:sz w:val="13"/>
                <w:szCs w:val="13"/>
                <w:color w:val="auto"/>
              </w:rPr>
              <w:t>Accumulated other comprehensive losses</w:t>
            </w:r>
          </w:p>
        </w:tc>
        <w:tc>
          <w:tcPr>
            <w:tcW w:w="1480" w:type="dxa"/>
            <w:vAlign w:val="bottom"/>
            <w:gridSpan w:val="2"/>
          </w:tcPr>
          <w:p>
            <w:pPr>
              <w:jc w:val="right"/>
              <w:ind w:right="20"/>
              <w:spacing w:after="0"/>
              <w:rPr>
                <w:sz w:val="20"/>
                <w:szCs w:val="20"/>
                <w:color w:val="auto"/>
              </w:rPr>
            </w:pPr>
            <w:r>
              <w:rPr>
                <w:rFonts w:ascii="Arial" w:cs="Arial" w:eastAsia="Arial" w:hAnsi="Arial"/>
                <w:sz w:val="13"/>
                <w:szCs w:val="13"/>
                <w:color w:val="auto"/>
              </w:rPr>
              <w:t>(7,479)</w:t>
            </w:r>
          </w:p>
        </w:tc>
        <w:tc>
          <w:tcPr>
            <w:tcW w:w="1560" w:type="dxa"/>
            <w:vAlign w:val="bottom"/>
            <w:gridSpan w:val="2"/>
          </w:tcPr>
          <w:p>
            <w:pPr>
              <w:jc w:val="right"/>
              <w:ind w:right="40"/>
              <w:spacing w:after="0"/>
              <w:rPr>
                <w:sz w:val="20"/>
                <w:szCs w:val="20"/>
                <w:color w:val="auto"/>
              </w:rPr>
            </w:pPr>
            <w:r>
              <w:rPr>
                <w:rFonts w:ascii="Arial" w:cs="Arial" w:eastAsia="Arial" w:hAnsi="Arial"/>
                <w:sz w:val="13"/>
                <w:szCs w:val="13"/>
                <w:color w:val="auto"/>
              </w:rPr>
              <w:t>(5,867)</w:t>
            </w:r>
          </w:p>
        </w:tc>
        <w:tc>
          <w:tcPr>
            <w:tcW w:w="0" w:type="dxa"/>
            <w:vAlign w:val="bottom"/>
          </w:tcPr>
          <w:p>
            <w:pPr>
              <w:spacing w:after="0"/>
              <w:rPr>
                <w:sz w:val="1"/>
                <w:szCs w:val="1"/>
                <w:color w:val="auto"/>
              </w:rPr>
            </w:pPr>
          </w:p>
        </w:tc>
      </w:tr>
      <w:tr>
        <w:trPr>
          <w:trHeight w:val="159"/>
        </w:trPr>
        <w:tc>
          <w:tcPr>
            <w:tcW w:w="8200" w:type="dxa"/>
            <w:vAlign w:val="bottom"/>
            <w:gridSpan w:val="2"/>
          </w:tcPr>
          <w:p>
            <w:pPr>
              <w:spacing w:after="0"/>
              <w:rPr>
                <w:sz w:val="20"/>
                <w:szCs w:val="20"/>
                <w:color w:val="auto"/>
              </w:rPr>
            </w:pPr>
            <w:r>
              <w:rPr>
                <w:rFonts w:ascii="Arial" w:cs="Arial" w:eastAsia="Arial" w:hAnsi="Arial"/>
                <w:sz w:val="13"/>
                <w:szCs w:val="13"/>
                <w:color w:val="auto"/>
              </w:rPr>
              <w:t>Accumulated deficit</w:t>
            </w:r>
          </w:p>
        </w:tc>
        <w:tc>
          <w:tcPr>
            <w:tcW w:w="1480" w:type="dxa"/>
            <w:vAlign w:val="bottom"/>
            <w:gridSpan w:val="2"/>
          </w:tcPr>
          <w:p>
            <w:pPr>
              <w:jc w:val="right"/>
              <w:ind w:right="20"/>
              <w:spacing w:after="0"/>
              <w:rPr>
                <w:sz w:val="20"/>
                <w:szCs w:val="20"/>
                <w:color w:val="auto"/>
              </w:rPr>
            </w:pPr>
            <w:r>
              <w:rPr>
                <w:rFonts w:ascii="Arial" w:cs="Arial" w:eastAsia="Arial" w:hAnsi="Arial"/>
                <w:sz w:val="13"/>
                <w:szCs w:val="13"/>
                <w:color w:val="auto"/>
              </w:rPr>
              <w:t>(191,016)</w:t>
            </w:r>
          </w:p>
        </w:tc>
        <w:tc>
          <w:tcPr>
            <w:tcW w:w="1560" w:type="dxa"/>
            <w:vAlign w:val="bottom"/>
            <w:gridSpan w:val="2"/>
          </w:tcPr>
          <w:p>
            <w:pPr>
              <w:jc w:val="right"/>
              <w:ind w:right="40"/>
              <w:spacing w:after="0"/>
              <w:rPr>
                <w:sz w:val="20"/>
                <w:szCs w:val="20"/>
                <w:color w:val="auto"/>
              </w:rPr>
            </w:pPr>
            <w:r>
              <w:rPr>
                <w:rFonts w:ascii="Arial" w:cs="Arial" w:eastAsia="Arial" w:hAnsi="Arial"/>
                <w:sz w:val="13"/>
                <w:szCs w:val="13"/>
                <w:color w:val="auto"/>
              </w:rPr>
              <w:t>(181,413)</w:t>
            </w:r>
          </w:p>
        </w:tc>
        <w:tc>
          <w:tcPr>
            <w:tcW w:w="0" w:type="dxa"/>
            <w:vAlign w:val="bottom"/>
          </w:tcPr>
          <w:p>
            <w:pPr>
              <w:spacing w:after="0"/>
              <w:rPr>
                <w:sz w:val="1"/>
                <w:szCs w:val="1"/>
                <w:color w:val="auto"/>
              </w:rPr>
            </w:pPr>
          </w:p>
        </w:tc>
      </w:tr>
      <w:tr>
        <w:trPr>
          <w:trHeight w:val="131"/>
        </w:trPr>
        <w:tc>
          <w:tcPr>
            <w:tcW w:w="8200" w:type="dxa"/>
            <w:vAlign w:val="bottom"/>
            <w:gridSpan w:val="2"/>
          </w:tcPr>
          <w:p>
            <w:pPr>
              <w:spacing w:after="0" w:line="131" w:lineRule="exact"/>
              <w:rPr>
                <w:sz w:val="20"/>
                <w:szCs w:val="20"/>
                <w:color w:val="auto"/>
              </w:rPr>
            </w:pPr>
            <w:r>
              <w:rPr>
                <w:rFonts w:ascii="Arial" w:cs="Arial" w:eastAsia="Arial" w:hAnsi="Arial"/>
                <w:sz w:val="13"/>
                <w:szCs w:val="13"/>
                <w:color w:val="auto"/>
              </w:rPr>
              <w:t>Total iClick Interactive Asia Group Limited shareholders’ equity</w:t>
            </w:r>
          </w:p>
        </w:tc>
        <w:tc>
          <w:tcPr>
            <w:tcW w:w="14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102,101</w:t>
            </w:r>
          </w:p>
        </w:tc>
        <w:tc>
          <w:tcPr>
            <w:tcW w:w="80" w:type="dxa"/>
            <w:vAlign w:val="bottom"/>
          </w:tcPr>
          <w:p>
            <w:pPr>
              <w:spacing w:after="0"/>
              <w:rPr>
                <w:sz w:val="11"/>
                <w:szCs w:val="11"/>
                <w:color w:val="auto"/>
              </w:rPr>
            </w:pPr>
          </w:p>
        </w:tc>
        <w:tc>
          <w:tcPr>
            <w:tcW w:w="14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105,325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200" w:type="dxa"/>
            <w:vAlign w:val="bottom"/>
            <w:gridSpan w:val="2"/>
          </w:tcPr>
          <w:p>
            <w:pPr>
              <w:spacing w:after="0"/>
              <w:rPr>
                <w:sz w:val="20"/>
                <w:szCs w:val="20"/>
                <w:color w:val="auto"/>
              </w:rPr>
            </w:pPr>
            <w:r>
              <w:rPr>
                <w:rFonts w:ascii="Arial" w:cs="Arial" w:eastAsia="Arial" w:hAnsi="Arial"/>
                <w:sz w:val="13"/>
                <w:szCs w:val="13"/>
                <w:color w:val="auto"/>
              </w:rPr>
              <w:t>Noncontrolling interests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1,897</w:t>
            </w:r>
          </w:p>
        </w:tc>
        <w:tc>
          <w:tcPr>
            <w:tcW w:w="8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200" w:type="dxa"/>
            <w:vAlign w:val="bottom"/>
            <w:gridSpan w:val="2"/>
          </w:tcPr>
          <w:p>
            <w:pPr>
              <w:spacing w:after="0"/>
              <w:rPr>
                <w:sz w:val="20"/>
                <w:szCs w:val="20"/>
                <w:color w:val="auto"/>
              </w:rPr>
            </w:pPr>
            <w:r>
              <w:rPr>
                <w:rFonts w:ascii="Arial" w:cs="Arial" w:eastAsia="Arial" w:hAnsi="Arial"/>
                <w:sz w:val="13"/>
                <w:szCs w:val="13"/>
                <w:b w:val="1"/>
                <w:bCs w:val="1"/>
                <w:color w:val="auto"/>
              </w:rPr>
              <w:t>Total equity</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103,998</w:t>
            </w:r>
          </w:p>
        </w:tc>
        <w:tc>
          <w:tcPr>
            <w:tcW w:w="8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106,640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liabilities and equity</w:t>
            </w: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gridSpan w:val="2"/>
            <w:vMerge w:val="continue"/>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310,958</w:t>
            </w:r>
          </w:p>
        </w:tc>
        <w:tc>
          <w:tcPr>
            <w:tcW w:w="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207,258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220" w:type="dxa"/>
            <w:vAlign w:val="bottom"/>
            <w:tcBorders>
              <w:bottom w:val="single" w:sz="8" w:color="auto"/>
            </w:tcBorders>
          </w:tcPr>
          <w:p>
            <w:pPr>
              <w:spacing w:after="0"/>
              <w:rPr>
                <w:sz w:val="6"/>
                <w:szCs w:val="6"/>
                <w:color w:val="auto"/>
              </w:rPr>
            </w:pPr>
          </w:p>
        </w:tc>
        <w:tc>
          <w:tcPr>
            <w:tcW w:w="49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120" w:right="20" w:hanging="111"/>
        <w:spacing w:after="0" w:line="255" w:lineRule="auto"/>
        <w:tabs>
          <w:tab w:leader="none" w:pos="114" w:val="left"/>
        </w:tabs>
        <w:numPr>
          <w:ilvl w:val="0"/>
          <w:numId w:val="5"/>
        </w:numPr>
        <w:rPr>
          <w:rFonts w:ascii="Arial" w:cs="Arial" w:eastAsia="Arial" w:hAnsi="Arial"/>
          <w:sz w:val="11"/>
          <w:szCs w:val="11"/>
          <w:color w:val="auto"/>
        </w:rPr>
      </w:pPr>
      <w:r>
        <w:rPr>
          <w:rFonts w:ascii="Arial" w:cs="Arial" w:eastAsia="Arial" w:hAnsi="Arial"/>
          <w:sz w:val="13"/>
          <w:szCs w:val="13"/>
          <w:color w:val="auto"/>
        </w:rPr>
        <w:t>The Company adopted the new leasing guidance (ASU 2016-02) started from January 1, 2019, which requires that a lessee recognize the assets and liabilities that arise from operating leases. The Company recognized a right-of-use asset and a liability relating to lease payments (the Lease Liability) in the consolidated balance sheets for lease contracts having terms beyond 12 months period. The adoption of new leasing guidance resulted in recognition of US$2.6 million of right-of-use assets and US$2.6 million of lease liabilities, respectively, as of January 1, 2019. The consolidated financial information related to periods prior to January 1, 2019 were not restated, and continue to be reported under ASC Topic 840 —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Reconciliations of GAAP and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Adjusted EBITDA represents net loss before (i) depreciation and amortization, (ii) interest expense, (iii) interest income, (iv) income tax expense/(benefit),</w:t>
      </w:r>
    </w:p>
    <w:p>
      <w:pPr>
        <w:spacing w:after="0" w:line="46" w:lineRule="exact"/>
        <w:rPr>
          <w:sz w:val="20"/>
          <w:szCs w:val="20"/>
          <w:color w:val="auto"/>
        </w:rPr>
      </w:pPr>
    </w:p>
    <w:p>
      <w:pPr>
        <w:jc w:val="both"/>
        <w:ind w:firstLine="8"/>
        <w:spacing w:after="0" w:line="255" w:lineRule="auto"/>
        <w:tabs>
          <w:tab w:leader="none" w:pos="267"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share-based compensation, (vi) fair value losses/(gains) on convertible notes, (vii) other gains, net, (viii) convertible notes issuance cost, (ix) net loss attributable to noncontrolling interests, (x) share of losses from an equity investee, (xi) cost related to new business setup or acquisitions, and (xii) cost related to filing of Form F-3.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EBITDA from net loss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31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20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0"/>
              </w:rPr>
              <w:t>Year Ended</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06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0"/>
              </w:rPr>
              <w:t>December 31,</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20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60" w:type="dxa"/>
            <w:vAlign w:val="bottom"/>
          </w:tcPr>
          <w:p>
            <w:pPr>
              <w:spacing w:after="0"/>
              <w:rPr>
                <w:sz w:val="20"/>
                <w:szCs w:val="20"/>
                <w:color w:val="auto"/>
              </w:rPr>
            </w:pPr>
          </w:p>
        </w:tc>
      </w:tr>
      <w:tr>
        <w:trPr>
          <w:trHeight w:val="418"/>
        </w:trPr>
        <w:tc>
          <w:tcPr>
            <w:tcW w:w="51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(5,999)</w:t>
            </w:r>
          </w:p>
        </w:tc>
        <w:tc>
          <w:tcPr>
            <w:tcW w:w="5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(8,139)</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(10,849)</w:t>
            </w:r>
          </w:p>
        </w:tc>
        <w:tc>
          <w:tcPr>
            <w:tcW w:w="5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(32,611)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Add/(less):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1,641</w:t>
            </w:r>
          </w:p>
        </w:tc>
        <w:tc>
          <w:tcPr>
            <w:tcW w:w="5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1,342</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6,656</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5,226</w:t>
            </w:r>
          </w:p>
        </w:tc>
        <w:tc>
          <w:tcPr>
            <w:tcW w:w="6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Interest expense</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902</w:t>
            </w:r>
          </w:p>
        </w:tc>
        <w:tc>
          <w:tcPr>
            <w:tcW w:w="5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1,915</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773</w:t>
            </w:r>
          </w:p>
        </w:tc>
        <w:tc>
          <w:tcPr>
            <w:tcW w:w="60" w:type="dxa"/>
            <w:vAlign w:val="bottom"/>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5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(537)</w:t>
            </w:r>
          </w:p>
        </w:tc>
        <w:tc>
          <w:tcPr>
            <w:tcW w:w="5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(421)</w:t>
            </w: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Income tax expense/(benefit)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(1,015)</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655</w:t>
            </w:r>
          </w:p>
        </w:tc>
        <w:tc>
          <w:tcPr>
            <w:tcW w:w="60" w:type="dxa"/>
            <w:vAlign w:val="bottom"/>
          </w:tcPr>
          <w:p>
            <w:pPr>
              <w:spacing w:after="0"/>
              <w:rPr>
                <w:sz w:val="20"/>
                <w:szCs w:val="20"/>
                <w:color w:val="auto"/>
              </w:rPr>
            </w:pPr>
          </w:p>
        </w:tc>
      </w:tr>
      <w:tr>
        <w:trPr>
          <w:trHeight w:val="195"/>
        </w:trPr>
        <w:tc>
          <w:tcPr>
            <w:tcW w:w="5120" w:type="dxa"/>
            <w:vAlign w:val="bottom"/>
          </w:tcPr>
          <w:p>
            <w:pPr>
              <w:spacing w:after="0" w:line="195" w:lineRule="exact"/>
              <w:rPr>
                <w:sz w:val="20"/>
                <w:szCs w:val="20"/>
                <w:color w:val="auto"/>
              </w:rPr>
            </w:pPr>
            <w:r>
              <w:rPr>
                <w:rFonts w:ascii="Arial" w:cs="Arial" w:eastAsia="Arial" w:hAnsi="Arial"/>
                <w:sz w:val="18"/>
                <w:szCs w:val="18"/>
                <w:b w:val="1"/>
                <w:bCs w:val="1"/>
                <w:color w:val="auto"/>
              </w:rPr>
              <w:t>EBITDA</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(3,609)</w:t>
            </w:r>
          </w:p>
        </w:tc>
        <w:tc>
          <w:tcPr>
            <w:tcW w:w="2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(7,733)</w:t>
            </w:r>
          </w:p>
        </w:tc>
        <w:tc>
          <w:tcPr>
            <w:tcW w:w="200" w:type="dxa"/>
            <w:vAlign w:val="bottom"/>
          </w:tcPr>
          <w:p>
            <w:pPr>
              <w:spacing w:after="0"/>
              <w:rPr>
                <w:sz w:val="16"/>
                <w:szCs w:val="16"/>
                <w:color w:val="auto"/>
              </w:rPr>
            </w:pP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(2,768)</w:t>
            </w:r>
          </w:p>
        </w:tc>
        <w:tc>
          <w:tcPr>
            <w:tcW w:w="2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(26,378)</w:t>
            </w:r>
          </w:p>
        </w:tc>
        <w:tc>
          <w:tcPr>
            <w:tcW w:w="60" w:type="dxa"/>
            <w:vAlign w:val="bottom"/>
          </w:tcPr>
          <w:p>
            <w:pPr>
              <w:spacing w:after="0"/>
              <w:rPr>
                <w:sz w:val="16"/>
                <w:szCs w:val="16"/>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Add/(less):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5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6,396</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2,115</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19,679</w:t>
            </w:r>
          </w:p>
        </w:tc>
        <w:tc>
          <w:tcPr>
            <w:tcW w:w="60" w:type="dxa"/>
            <w:vAlign w:val="bottom"/>
          </w:tcPr>
          <w:p>
            <w:pPr>
              <w:spacing w:after="0"/>
              <w:rPr>
                <w:sz w:val="18"/>
                <w:szCs w:val="18"/>
                <w:color w:val="auto"/>
              </w:rPr>
            </w:pPr>
          </w:p>
        </w:tc>
      </w:tr>
      <w:tr>
        <w:trPr>
          <w:trHeight w:val="212"/>
        </w:trPr>
        <w:tc>
          <w:tcPr>
            <w:tcW w:w="5120" w:type="dxa"/>
            <w:vAlign w:val="bottom"/>
          </w:tcPr>
          <w:p>
            <w:pPr>
              <w:ind w:left="360"/>
              <w:spacing w:after="0"/>
              <w:rPr>
                <w:sz w:val="20"/>
                <w:szCs w:val="20"/>
                <w:color w:val="auto"/>
              </w:rPr>
            </w:pPr>
            <w:r>
              <w:rPr>
                <w:rFonts w:ascii="Arial" w:cs="Arial" w:eastAsia="Arial" w:hAnsi="Arial"/>
                <w:sz w:val="18"/>
                <w:szCs w:val="18"/>
                <w:color w:val="auto"/>
              </w:rPr>
              <w:t>Fair value losses/(gains) on convertible notes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813</w:t>
            </w:r>
          </w:p>
        </w:tc>
        <w:tc>
          <w:tcPr>
            <w:tcW w:w="5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(546)</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4,837</w:t>
            </w:r>
          </w:p>
        </w:tc>
        <w:tc>
          <w:tcPr>
            <w:tcW w:w="60" w:type="dxa"/>
            <w:vAlign w:val="bottom"/>
          </w:tcPr>
          <w:p>
            <w:pPr>
              <w:spacing w:after="0"/>
              <w:rPr>
                <w:sz w:val="18"/>
                <w:szCs w:val="18"/>
                <w:color w:val="auto"/>
              </w:rPr>
            </w:pPr>
          </w:p>
        </w:tc>
      </w:tr>
      <w:tr>
        <w:trPr>
          <w:trHeight w:val="220"/>
        </w:trPr>
        <w:tc>
          <w:tcPr>
            <w:tcW w:w="5120" w:type="dxa"/>
            <w:vAlign w:val="bottom"/>
          </w:tcPr>
          <w:p>
            <w:pPr>
              <w:ind w:left="36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4</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(697</w:t>
            </w: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(1,598</w:t>
            </w: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(687)</w:t>
            </w: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Convertible notes issuance cost</w:t>
            </w:r>
            <w:r>
              <w:rPr>
                <w:rFonts w:ascii="Arial" w:cs="Arial" w:eastAsia="Arial" w:hAnsi="Arial"/>
                <w:sz w:val="15"/>
                <w:szCs w:val="15"/>
                <w:color w:val="auto"/>
              </w:rPr>
              <w:t>5</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4,556</w:t>
            </w:r>
          </w:p>
        </w:tc>
        <w:tc>
          <w:tcPr>
            <w:tcW w:w="5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4,556</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2,190</w:t>
            </w:r>
          </w:p>
        </w:tc>
        <w:tc>
          <w:tcPr>
            <w:tcW w:w="6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259</w:t>
            </w:r>
          </w:p>
        </w:tc>
        <w:tc>
          <w:tcPr>
            <w:tcW w:w="5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1,246</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Share of losses from an equity investee</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5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5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6</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5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1,721</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1,047</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1,721</w:t>
            </w:r>
          </w:p>
        </w:tc>
        <w:tc>
          <w:tcPr>
            <w:tcW w:w="60" w:type="dxa"/>
            <w:vAlign w:val="bottom"/>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Cost related to filing of Form F-3</w:t>
            </w:r>
            <w:r>
              <w:rPr>
                <w:rFonts w:ascii="Arial" w:cs="Arial" w:eastAsia="Arial" w:hAnsi="Arial"/>
                <w:sz w:val="15"/>
                <w:szCs w:val="15"/>
                <w:color w:val="auto"/>
              </w:rPr>
              <w:t>7</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5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1,035</w:t>
            </w:r>
          </w:p>
        </w:tc>
        <w:tc>
          <w:tcPr>
            <w:tcW w:w="5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51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2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6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2751455</wp:posOffset>
            </wp:positionV>
            <wp:extent cx="2040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0" w:hanging="91"/>
        <w:spacing w:after="0"/>
        <w:tabs>
          <w:tab w:leader="none" w:pos="100" w:val="left"/>
        </w:tabs>
        <w:numPr>
          <w:ilvl w:val="0"/>
          <w:numId w:val="7"/>
        </w:numPr>
        <w:rPr>
          <w:rFonts w:ascii="Arial" w:cs="Arial" w:eastAsia="Arial" w:hAnsi="Arial"/>
          <w:sz w:val="11"/>
          <w:szCs w:val="11"/>
          <w:color w:val="auto"/>
        </w:rPr>
      </w:pPr>
      <w:r>
        <w:rPr>
          <w:rFonts w:ascii="Arial" w:cs="Arial" w:eastAsia="Arial" w:hAnsi="Arial"/>
          <w:sz w:val="13"/>
          <w:szCs w:val="13"/>
          <w:color w:val="auto"/>
        </w:rPr>
        <w:t>Other gains, net has been adjusted out, except for amounts of US$324 thousand, US$nil, US$1,394 thousand, and US$nil in relation to government grants for the three months ended December</w:t>
      </w:r>
    </w:p>
    <w:p>
      <w:pPr>
        <w:ind w:left="120"/>
        <w:spacing w:after="0" w:line="237" w:lineRule="auto"/>
        <w:rPr>
          <w:sz w:val="20"/>
          <w:szCs w:val="20"/>
          <w:color w:val="auto"/>
        </w:rPr>
      </w:pPr>
      <w:r>
        <w:rPr>
          <w:rFonts w:ascii="Arial" w:cs="Arial" w:eastAsia="Arial" w:hAnsi="Arial"/>
          <w:sz w:val="14"/>
          <w:szCs w:val="14"/>
          <w:color w:val="auto"/>
        </w:rPr>
        <w:t>2019 and 2018 and the year ended December 31, 2019 and 2018, respectively.</w:t>
      </w:r>
    </w:p>
    <w:p>
      <w:pPr>
        <w:ind w:left="100" w:hanging="91"/>
        <w:spacing w:after="0" w:line="222" w:lineRule="auto"/>
        <w:tabs>
          <w:tab w:leader="none" w:pos="100" w:val="left"/>
        </w:tabs>
        <w:numPr>
          <w:ilvl w:val="0"/>
          <w:numId w:val="8"/>
        </w:numPr>
        <w:rPr>
          <w:rFonts w:ascii="Arial" w:cs="Arial" w:eastAsia="Arial" w:hAnsi="Arial"/>
          <w:sz w:val="12"/>
          <w:szCs w:val="12"/>
          <w:color w:val="auto"/>
        </w:rPr>
      </w:pPr>
      <w:r>
        <w:rPr>
          <w:rFonts w:ascii="Arial" w:cs="Arial" w:eastAsia="Arial" w:hAnsi="Arial"/>
          <w:sz w:val="14"/>
          <w:szCs w:val="14"/>
          <w:color w:val="auto"/>
        </w:rPr>
        <w:t>Convertible notes issuance cost represents transaction cost for the issue of convertible notes, including success fee, legal and professional fee, and consulting fee.</w:t>
      </w:r>
    </w:p>
    <w:p>
      <w:pPr>
        <w:ind w:left="100" w:hanging="91"/>
        <w:spacing w:after="0" w:line="221" w:lineRule="auto"/>
        <w:tabs>
          <w:tab w:leader="none" w:pos="100" w:val="left"/>
        </w:tabs>
        <w:numPr>
          <w:ilvl w:val="0"/>
          <w:numId w:val="9"/>
        </w:numPr>
        <w:rPr>
          <w:rFonts w:ascii="Arial" w:cs="Arial" w:eastAsia="Arial" w:hAnsi="Arial"/>
          <w:sz w:val="12"/>
          <w:szCs w:val="12"/>
          <w:color w:val="auto"/>
        </w:rPr>
      </w:pPr>
      <w:r>
        <w:rPr>
          <w:rFonts w:ascii="Arial" w:cs="Arial" w:eastAsia="Arial" w:hAnsi="Arial"/>
          <w:sz w:val="14"/>
          <w:szCs w:val="14"/>
          <w:color w:val="auto"/>
        </w:rPr>
        <w:t>Cost related to new business setup or acquisition represents transaction cost for setting up Thailand business and other acquisitions, including audit, legal and professional fee.</w:t>
      </w:r>
    </w:p>
    <w:p>
      <w:pPr>
        <w:spacing w:after="0"/>
        <w:rPr>
          <w:rFonts w:ascii="Arial" w:cs="Arial" w:eastAsia="Arial" w:hAnsi="Arial"/>
          <w:sz w:val="12"/>
          <w:szCs w:val="12"/>
          <w:color w:val="auto"/>
        </w:rPr>
      </w:pPr>
      <w:r>
        <w:rPr>
          <w:rFonts w:ascii="Arial" w:cs="Arial" w:eastAsia="Arial" w:hAnsi="Arial"/>
          <w:sz w:val="12"/>
          <w:szCs w:val="12"/>
          <w:color w:val="auto"/>
        </w:rPr>
        <w:t xml:space="preserve">7 </w:t>
      </w:r>
      <w:r>
        <w:rPr>
          <w:rFonts w:ascii="Arial" w:cs="Arial" w:eastAsia="Arial" w:hAnsi="Arial"/>
          <w:sz w:val="14"/>
          <w:szCs w:val="14"/>
          <w:color w:val="auto"/>
        </w:rPr>
        <w:t>It represents cost related to F-3 filing such as audit, legal and professional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Adjusted net income/(loss) represents net loss before (i) share-based compensation, (ii) fair value losses /(gains) on convertible notes, (iii) other gains, net,</w:t>
      </w:r>
    </w:p>
    <w:p>
      <w:pPr>
        <w:spacing w:after="0" w:line="46" w:lineRule="exact"/>
        <w:rPr>
          <w:sz w:val="20"/>
          <w:szCs w:val="20"/>
          <w:color w:val="auto"/>
        </w:rPr>
      </w:pPr>
    </w:p>
    <w:p>
      <w:pPr>
        <w:ind w:firstLine="8"/>
        <w:spacing w:after="0" w:line="290" w:lineRule="auto"/>
        <w:tabs>
          <w:tab w:leader="none" w:pos="304"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convertible notes issuance cost, (v) net loss attributable to noncontrolling interests, (vi) share of losses from an equity investee, (vii) cost related to new business setup or acquisitions, and (viii) cost related to filing of Form F-3. There is no material tax effects on these non-GAAP adjustments.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net income/(loss) from net loss for the periods indicated: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3100" w:type="dxa"/>
            <w:vAlign w:val="bottom"/>
            <w:gridSpan w:val="5"/>
          </w:tcPr>
          <w:p>
            <w:pPr>
              <w:jc w:val="center"/>
              <w:ind w:right="21"/>
              <w:spacing w:after="0"/>
              <w:rPr>
                <w:sz w:val="20"/>
                <w:szCs w:val="20"/>
                <w:color w:val="auto"/>
              </w:rPr>
            </w:pPr>
            <w:r>
              <w:rPr>
                <w:rFonts w:ascii="Arial" w:cs="Arial" w:eastAsia="Arial" w:hAnsi="Arial"/>
                <w:sz w:val="18"/>
                <w:szCs w:val="18"/>
                <w:b w:val="1"/>
                <w:bCs w:val="1"/>
                <w:color w:val="auto"/>
                <w:w w:val="92"/>
              </w:rPr>
              <w:t>Three Months Ended</w:t>
            </w:r>
          </w:p>
        </w:tc>
        <w:tc>
          <w:tcPr>
            <w:tcW w:w="20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0"/>
              </w:rPr>
              <w:t>Year Ended</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06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0"/>
              </w:rPr>
              <w:t>December 31,</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20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60" w:type="dxa"/>
            <w:vAlign w:val="bottom"/>
          </w:tcPr>
          <w:p>
            <w:pPr>
              <w:spacing w:after="0"/>
              <w:rPr>
                <w:sz w:val="20"/>
                <w:szCs w:val="20"/>
                <w:color w:val="auto"/>
              </w:rPr>
            </w:pPr>
          </w:p>
        </w:tc>
      </w:tr>
      <w:tr>
        <w:trPr>
          <w:trHeight w:val="418"/>
        </w:trPr>
        <w:tc>
          <w:tcPr>
            <w:tcW w:w="51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(5,999)</w:t>
            </w:r>
          </w:p>
        </w:tc>
        <w:tc>
          <w:tcPr>
            <w:tcW w:w="520" w:type="dxa"/>
            <w:vAlign w:val="bottom"/>
          </w:tcPr>
          <w:p>
            <w:pPr>
              <w:spacing w:after="0"/>
              <w:rPr>
                <w:sz w:val="24"/>
                <w:szCs w:val="24"/>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(8,139)</w:t>
            </w:r>
          </w:p>
        </w:tc>
        <w:tc>
          <w:tcPr>
            <w:tcW w:w="1560" w:type="dxa"/>
            <w:vAlign w:val="bottom"/>
            <w:gridSpan w:val="2"/>
          </w:tcPr>
          <w:p>
            <w:pPr>
              <w:jc w:val="right"/>
              <w:ind w:right="81"/>
              <w:spacing w:after="0"/>
              <w:rPr>
                <w:sz w:val="20"/>
                <w:szCs w:val="20"/>
                <w:color w:val="auto"/>
              </w:rPr>
            </w:pPr>
            <w:r>
              <w:rPr>
                <w:rFonts w:ascii="Arial" w:cs="Arial" w:eastAsia="Arial" w:hAnsi="Arial"/>
                <w:sz w:val="18"/>
                <w:szCs w:val="18"/>
                <w:color w:val="auto"/>
              </w:rPr>
              <w:t>(10,849)</w:t>
            </w:r>
          </w:p>
        </w:tc>
        <w:tc>
          <w:tcPr>
            <w:tcW w:w="5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(32,611)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Add/(less):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52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6,396</w:t>
            </w:r>
          </w:p>
        </w:tc>
        <w:tc>
          <w:tcPr>
            <w:tcW w:w="1560" w:type="dxa"/>
            <w:vAlign w:val="bottom"/>
            <w:gridSpan w:val="2"/>
          </w:tcPr>
          <w:p>
            <w:pPr>
              <w:jc w:val="right"/>
              <w:ind w:right="141"/>
              <w:spacing w:after="0"/>
              <w:rPr>
                <w:sz w:val="20"/>
                <w:szCs w:val="20"/>
                <w:color w:val="auto"/>
              </w:rPr>
            </w:pPr>
            <w:r>
              <w:rPr>
                <w:rFonts w:ascii="Arial" w:cs="Arial" w:eastAsia="Arial" w:hAnsi="Arial"/>
                <w:sz w:val="18"/>
                <w:szCs w:val="18"/>
                <w:color w:val="auto"/>
              </w:rPr>
              <w:t>2,115</w:t>
            </w:r>
          </w:p>
        </w:tc>
        <w:tc>
          <w:tcPr>
            <w:tcW w:w="5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19,679</w:t>
            </w:r>
          </w:p>
        </w:tc>
      </w:tr>
      <w:tr>
        <w:trPr>
          <w:trHeight w:val="212"/>
        </w:trPr>
        <w:tc>
          <w:tcPr>
            <w:tcW w:w="5120" w:type="dxa"/>
            <w:vAlign w:val="bottom"/>
          </w:tcPr>
          <w:p>
            <w:pPr>
              <w:ind w:left="360"/>
              <w:spacing w:after="0"/>
              <w:rPr>
                <w:sz w:val="20"/>
                <w:szCs w:val="20"/>
                <w:color w:val="auto"/>
              </w:rPr>
            </w:pPr>
            <w:r>
              <w:rPr>
                <w:rFonts w:ascii="Arial" w:cs="Arial" w:eastAsia="Arial" w:hAnsi="Arial"/>
                <w:sz w:val="18"/>
                <w:szCs w:val="18"/>
                <w:color w:val="auto"/>
              </w:rPr>
              <w:t>Fair value losses/(gains) on convertible notes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813</w:t>
            </w:r>
          </w:p>
        </w:tc>
        <w:tc>
          <w:tcPr>
            <w:tcW w:w="5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(546)</w:t>
            </w:r>
          </w:p>
        </w:tc>
        <w:tc>
          <w:tcPr>
            <w:tcW w:w="1560" w:type="dxa"/>
            <w:vAlign w:val="bottom"/>
            <w:gridSpan w:val="2"/>
          </w:tcPr>
          <w:p>
            <w:pPr>
              <w:jc w:val="right"/>
              <w:ind w:right="81"/>
              <w:spacing w:after="0"/>
              <w:rPr>
                <w:sz w:val="20"/>
                <w:szCs w:val="20"/>
                <w:color w:val="auto"/>
              </w:rPr>
            </w:pPr>
            <w:r>
              <w:rPr>
                <w:rFonts w:ascii="Arial" w:cs="Arial" w:eastAsia="Arial" w:hAnsi="Arial"/>
                <w:sz w:val="18"/>
                <w:szCs w:val="18"/>
                <w:color w:val="auto"/>
              </w:rPr>
              <w:t>(133)</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4,837</w:t>
            </w:r>
          </w:p>
        </w:tc>
        <w:tc>
          <w:tcPr>
            <w:tcW w:w="60" w:type="dxa"/>
            <w:vAlign w:val="bottom"/>
          </w:tcPr>
          <w:p>
            <w:pPr>
              <w:spacing w:after="0"/>
              <w:rPr>
                <w:sz w:val="18"/>
                <w:szCs w:val="18"/>
                <w:color w:val="auto"/>
              </w:rPr>
            </w:pPr>
          </w:p>
        </w:tc>
      </w:tr>
      <w:tr>
        <w:trPr>
          <w:trHeight w:val="220"/>
        </w:trPr>
        <w:tc>
          <w:tcPr>
            <w:tcW w:w="5120" w:type="dxa"/>
            <w:vAlign w:val="bottom"/>
          </w:tcPr>
          <w:p>
            <w:pPr>
              <w:ind w:left="36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4</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(697</w:t>
            </w: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(925)</w:t>
            </w:r>
          </w:p>
        </w:tc>
        <w:tc>
          <w:tcPr>
            <w:tcW w:w="1560" w:type="dxa"/>
            <w:vAlign w:val="bottom"/>
            <w:gridSpan w:val="2"/>
          </w:tcPr>
          <w:p>
            <w:pPr>
              <w:jc w:val="right"/>
              <w:ind w:right="81"/>
              <w:spacing w:after="0"/>
              <w:rPr>
                <w:sz w:val="20"/>
                <w:szCs w:val="20"/>
                <w:color w:val="auto"/>
              </w:rPr>
            </w:pPr>
            <w:r>
              <w:rPr>
                <w:rFonts w:ascii="Arial" w:cs="Arial" w:eastAsia="Arial" w:hAnsi="Arial"/>
                <w:sz w:val="18"/>
                <w:szCs w:val="18"/>
                <w:color w:val="auto"/>
              </w:rPr>
              <w:t>(1,598)</w:t>
            </w:r>
          </w:p>
        </w:tc>
        <w:tc>
          <w:tcPr>
            <w:tcW w:w="5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(687)</w:t>
            </w: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Convertible notes issuance cost</w:t>
            </w:r>
            <w:r>
              <w:rPr>
                <w:rFonts w:ascii="Arial" w:cs="Arial" w:eastAsia="Arial" w:hAnsi="Arial"/>
                <w:sz w:val="15"/>
                <w:szCs w:val="15"/>
                <w:color w:val="auto"/>
              </w:rPr>
              <w:t>5</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4,556</w:t>
            </w:r>
          </w:p>
        </w:tc>
        <w:tc>
          <w:tcPr>
            <w:tcW w:w="52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1"/>
              <w:spacing w:after="0"/>
              <w:rPr>
                <w:sz w:val="20"/>
                <w:szCs w:val="20"/>
                <w:color w:val="auto"/>
              </w:rPr>
            </w:pPr>
            <w:r>
              <w:rPr>
                <w:rFonts w:ascii="Arial" w:cs="Arial" w:eastAsia="Arial" w:hAnsi="Arial"/>
                <w:sz w:val="18"/>
                <w:szCs w:val="18"/>
                <w:color w:val="auto"/>
              </w:rPr>
              <w:t>4,556</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2,190</w:t>
            </w:r>
          </w:p>
        </w:tc>
        <w:tc>
          <w:tcPr>
            <w:tcW w:w="60" w:type="dxa"/>
            <w:vAlign w:val="bottom"/>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Net loss attributable to noncontrolling interests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259</w:t>
            </w:r>
          </w:p>
        </w:tc>
        <w:tc>
          <w:tcPr>
            <w:tcW w:w="52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202</w:t>
            </w:r>
          </w:p>
        </w:tc>
        <w:tc>
          <w:tcPr>
            <w:tcW w:w="1560" w:type="dxa"/>
            <w:vAlign w:val="bottom"/>
            <w:gridSpan w:val="2"/>
          </w:tcPr>
          <w:p>
            <w:pPr>
              <w:jc w:val="right"/>
              <w:ind w:right="141"/>
              <w:spacing w:after="0"/>
              <w:rPr>
                <w:sz w:val="20"/>
                <w:szCs w:val="20"/>
                <w:color w:val="auto"/>
              </w:rPr>
            </w:pPr>
            <w:r>
              <w:rPr>
                <w:rFonts w:ascii="Arial" w:cs="Arial" w:eastAsia="Arial" w:hAnsi="Arial"/>
                <w:sz w:val="18"/>
                <w:szCs w:val="18"/>
                <w:color w:val="auto"/>
              </w:rPr>
              <w:t>1,246</w:t>
            </w:r>
          </w:p>
        </w:tc>
        <w:tc>
          <w:tcPr>
            <w:tcW w:w="5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Share of losses from an equity investee</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52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1"/>
              <w:spacing w:after="0"/>
              <w:rPr>
                <w:sz w:val="20"/>
                <w:szCs w:val="20"/>
                <w:color w:val="auto"/>
              </w:rPr>
            </w:pPr>
            <w:r>
              <w:rPr>
                <w:rFonts w:ascii="Arial" w:cs="Arial" w:eastAsia="Arial" w:hAnsi="Arial"/>
                <w:sz w:val="18"/>
                <w:szCs w:val="18"/>
                <w:color w:val="auto"/>
              </w:rPr>
              <w:t>408</w:t>
            </w:r>
          </w:p>
        </w:tc>
        <w:tc>
          <w:tcPr>
            <w:tcW w:w="5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6</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52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1,721</w:t>
            </w:r>
          </w:p>
        </w:tc>
        <w:tc>
          <w:tcPr>
            <w:tcW w:w="1560" w:type="dxa"/>
            <w:vAlign w:val="bottom"/>
            <w:gridSpan w:val="2"/>
          </w:tcPr>
          <w:p>
            <w:pPr>
              <w:jc w:val="right"/>
              <w:ind w:right="141"/>
              <w:spacing w:after="0"/>
              <w:rPr>
                <w:sz w:val="20"/>
                <w:szCs w:val="20"/>
                <w:color w:val="auto"/>
              </w:rPr>
            </w:pPr>
            <w:r>
              <w:rPr>
                <w:rFonts w:ascii="Arial" w:cs="Arial" w:eastAsia="Arial" w:hAnsi="Arial"/>
                <w:sz w:val="18"/>
                <w:szCs w:val="18"/>
                <w:color w:val="auto"/>
              </w:rPr>
              <w:t>1,047</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1,721</w:t>
            </w:r>
          </w:p>
        </w:tc>
        <w:tc>
          <w:tcPr>
            <w:tcW w:w="60" w:type="dxa"/>
            <w:vAlign w:val="bottom"/>
          </w:tcPr>
          <w:p>
            <w:pPr>
              <w:spacing w:after="0"/>
              <w:rPr>
                <w:sz w:val="18"/>
                <w:szCs w:val="18"/>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Cost related to filing of Form F-3</w:t>
            </w:r>
            <w:r>
              <w:rPr>
                <w:rFonts w:ascii="Arial" w:cs="Arial" w:eastAsia="Arial" w:hAnsi="Arial"/>
                <w:sz w:val="15"/>
                <w:szCs w:val="15"/>
                <w:color w:val="auto"/>
              </w:rPr>
              <w:t>7</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520" w:type="dxa"/>
            <w:vAlign w:val="bottom"/>
          </w:tcPr>
          <w:p>
            <w:pPr>
              <w:spacing w:after="0"/>
              <w:rPr>
                <w:sz w:val="20"/>
                <w:szCs w:val="20"/>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1"/>
              <w:spacing w:after="0"/>
              <w:rPr>
                <w:sz w:val="20"/>
                <w:szCs w:val="20"/>
                <w:color w:val="auto"/>
              </w:rPr>
            </w:pPr>
            <w:r>
              <w:rPr>
                <w:rFonts w:ascii="Arial" w:cs="Arial" w:eastAsia="Arial" w:hAnsi="Arial"/>
                <w:sz w:val="18"/>
                <w:szCs w:val="18"/>
                <w:color w:val="auto"/>
              </w:rPr>
              <w:t>1,035</w:t>
            </w:r>
          </w:p>
        </w:tc>
        <w:tc>
          <w:tcPr>
            <w:tcW w:w="5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120" w:type="dxa"/>
            <w:vAlign w:val="bottom"/>
          </w:tcPr>
          <w:p>
            <w:pPr>
              <w:spacing w:after="0"/>
              <w:rPr>
                <w:sz w:val="20"/>
                <w:szCs w:val="20"/>
                <w:color w:val="auto"/>
              </w:rPr>
            </w:pPr>
            <w:r>
              <w:rPr>
                <w:rFonts w:ascii="Arial" w:cs="Arial" w:eastAsia="Arial" w:hAnsi="Arial"/>
                <w:sz w:val="18"/>
                <w:szCs w:val="18"/>
                <w:b w:val="1"/>
                <w:bCs w:val="1"/>
                <w:color w:val="auto"/>
              </w:rPr>
              <w:t>Adjusted net income/(loss)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diluted adjusted net income/(loss) per ADS for the periods indicated are calculated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31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c>
          <w:tcPr>
            <w:tcW w:w="204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0"/>
              </w:rPr>
              <w:t>Year Ended</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210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0"/>
              </w:rPr>
              <w:t>December 31,</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0"/>
              </w:rPr>
              <w:t>December 31,</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22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10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(5,999)</w:t>
            </w:r>
          </w:p>
        </w:tc>
        <w:tc>
          <w:tcPr>
            <w:tcW w:w="5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(8,139)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(10,849)</w:t>
            </w:r>
          </w:p>
        </w:tc>
        <w:tc>
          <w:tcPr>
            <w:tcW w:w="5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(32,611)</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Add: Non-GAAP adjustments to net income/ (loss)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6,117</w:t>
            </w:r>
          </w:p>
        </w:tc>
        <w:tc>
          <w:tcPr>
            <w:tcW w:w="5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6,848</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8,676</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8"/>
                <w:szCs w:val="18"/>
                <w:color w:val="auto"/>
              </w:rPr>
              <w:t>Adjusted net income/(loss)</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2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20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Denominator for net loss per ADS</w:t>
            </w: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1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 Weighted average ADS outstanding</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57,240,609</w:t>
            </w:r>
          </w:p>
        </w:tc>
        <w:tc>
          <w:tcPr>
            <w:tcW w:w="5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54,556,147</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56,950,785</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52,904,817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100" w:type="dxa"/>
            <w:vAlign w:val="bottom"/>
          </w:tcPr>
          <w:p>
            <w:pPr>
              <w:spacing w:after="0"/>
              <w:rPr>
                <w:sz w:val="20"/>
                <w:szCs w:val="20"/>
                <w:color w:val="auto"/>
              </w:rPr>
            </w:pPr>
            <w:r>
              <w:rPr>
                <w:rFonts w:ascii="Arial" w:cs="Arial" w:eastAsia="Arial" w:hAnsi="Arial"/>
                <w:sz w:val="18"/>
                <w:szCs w:val="18"/>
                <w:color w:val="auto"/>
              </w:rPr>
              <w:t>Denominator for diluted adjusted net income/(loss) per ADS</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 Weighted average ADS outstanding</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58,023,602</w:t>
            </w:r>
          </w:p>
        </w:tc>
        <w:tc>
          <w:tcPr>
            <w:tcW w:w="5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54,556,147</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56,950,785</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52,904,817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100" w:type="dxa"/>
            <w:vAlign w:val="bottom"/>
          </w:tcPr>
          <w:p>
            <w:pPr>
              <w:spacing w:after="0"/>
              <w:rPr>
                <w:sz w:val="20"/>
                <w:szCs w:val="20"/>
                <w:color w:val="auto"/>
              </w:rPr>
            </w:pPr>
            <w:r>
              <w:rPr>
                <w:rFonts w:ascii="Arial" w:cs="Arial" w:eastAsia="Arial" w:hAnsi="Arial"/>
                <w:sz w:val="18"/>
                <w:szCs w:val="18"/>
                <w:color w:val="auto"/>
              </w:rPr>
              <w:t>Diluted net loss per ADS</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(0.1048)</w:t>
            </w:r>
          </w:p>
        </w:tc>
        <w:tc>
          <w:tcPr>
            <w:tcW w:w="5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(0.1492)</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(0.1905)</w:t>
            </w:r>
          </w:p>
        </w:tc>
        <w:tc>
          <w:tcPr>
            <w:tcW w:w="5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(0.6164)</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Add: Non-GAAP adjustments to net loss per ADS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0.1068</w:t>
            </w:r>
          </w:p>
        </w:tc>
        <w:tc>
          <w:tcPr>
            <w:tcW w:w="5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0.1255</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0.1523</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0.5281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8"/>
                <w:szCs w:val="18"/>
                <w:color w:val="auto"/>
              </w:rPr>
              <w:t>Diluted adjusted net income/(loss) per ADS</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0.0020</w:t>
            </w:r>
          </w:p>
        </w:tc>
        <w:tc>
          <w:tcPr>
            <w:tcW w:w="26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(0.0237)</w:t>
            </w:r>
          </w:p>
        </w:tc>
        <w:tc>
          <w:tcPr>
            <w:tcW w:w="2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(0.0382)</w:t>
            </w:r>
          </w:p>
        </w:tc>
        <w:tc>
          <w:tcPr>
            <w:tcW w:w="20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lowerRoman"/>
      <w:start w:val="5"/>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5"/>
      <w:numFmt w:val="bullet"/>
      <w:start w:val="1"/>
    </w:lvl>
  </w:abstractNum>
  <w:abstractNum w:abstractNumId="8">
    <w:nsid w:val="12200854"/>
    <w:multiLevelType w:val="hybridMultilevel"/>
    <w:lvl w:ilvl="0">
      <w:lvlJc w:val="left"/>
      <w:lvlText w:val="6"/>
      <w:numFmt w:val="bullet"/>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2020-04-01T12:55:34Z</dcterms:created>
  <dcterms:modified xsi:type="dcterms:W3CDTF">2020-04-01T12:55:34Z</dcterms:modified>
</cp:coreProperties>
</file>