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086475" cy="1585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086475" cy="1585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INFORMATION REDACTED AND FILED SEPARATELY WITH THE SECURITIES AND EXCHANGE COMMISSION OMMITED PORTIONS INDICATED BY [****]</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31, 2017</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20549-7561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Mengyao Lu, Staff Accountant</w:t>
      </w:r>
    </w:p>
    <w:p>
      <w:pPr>
        <w:spacing w:after="0" w:line="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Edwin Kim, Staff Attorney</w:t>
      </w:r>
    </w:p>
    <w:p>
      <w:pPr>
        <w:spacing w:after="0" w:line="230"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iClick Interactive Asia Group Limited</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Statement on Form F-1 Filed October 20, 2017 (Registration Statement No. 333-221034 )</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240" w:firstLine="898"/>
        <w:spacing w:after="0" w:line="266" w:lineRule="auto"/>
        <w:rPr>
          <w:sz w:val="20"/>
          <w:szCs w:val="20"/>
          <w:color w:val="auto"/>
        </w:rPr>
      </w:pPr>
      <w:r>
        <w:rPr>
          <w:rFonts w:ascii="Times New Roman" w:cs="Times New Roman" w:eastAsia="Times New Roman" w:hAnsi="Times New Roman"/>
          <w:sz w:val="18"/>
          <w:szCs w:val="18"/>
          <w:color w:val="auto"/>
        </w:rPr>
        <w:t>We are submitting this letter on behalf of iClick Interactive Asia Group Limited (the “Company”) in connection with the review by the staff (the “Staff”) of the Securities and Exchange Commission (the “Commission”) of the Company’s Registration Statement on Form F-1 (File No. 333-221034) (the “Registration Statement”).</w:t>
      </w:r>
    </w:p>
    <w:p>
      <w:pPr>
        <w:spacing w:after="0" w:line="176" w:lineRule="exact"/>
        <w:rPr>
          <w:sz w:val="24"/>
          <w:szCs w:val="24"/>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Because of the commercially sensitive nature of the information contained herein, this submission is accompanied by the Company’s request for confidential treatment for selected portions of this letter pursuant to Rule 83 of the Commission’s Rules on Information and Requests, 17 C.F.R. 200.83, and the Freedom of Information Act.</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Cleary Gottlieb Steen &amp; Hamilton LLP or an affiliated entity has an office in each of the cities listed above.</w:t>
      </w:r>
    </w:p>
    <w:p>
      <w:pPr>
        <w:sectPr>
          <w:pgSz w:w="11900" w:h="16838" w:orient="portrait"/>
          <w:cols w:equalWidth="0" w:num="1">
            <w:col w:w="11220"/>
          </w:cols>
          <w:pgMar w:left="320" w:top="1440" w:right="359" w:bottom="1440" w:gutter="0" w:footer="0" w:header="0"/>
        </w:sectPr>
      </w:pPr>
    </w:p>
    <w:bookmarkStart w:id="1" w:name="page2"/>
    <w:bookmarkEnd w:id="1"/>
    <w:p>
      <w:pPr>
        <w:ind w:left="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purpose of this letter is to notify the Staff that, based on discussions with the Company’s Board of Directors and input provided by the lead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for the offering, the Company anticipates that the price range for this offering will be between US$[****] and US$[****] per ADS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US$ [****] per Class A Ordinary Share, assuming a Class A Ordinary Share to ADS ratio of [****]: [****]) (the “Preliminary IPO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Range”)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The Preliminary IPO Price Range assumes a successful offering of [****]% of the total number of ordinary shares outstanding on fully diluted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post IPO as the offer size and represents an estimate of the fair value of the unrestricted, freely tradable shares that would be sold in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market without liquidity and marketability discounts. The Company will include the actual price range in an amendment to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shortly before the commencement of the Company’s roadshow process (the “Actual Price Range”), and confirms that this Actual Price Range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narrowed to comply with the Staff’s interpretation regarding the parameters of a bona fide price range. That price range will be subject to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market conditions, continuing discussions with the underwriters and any other factors affecting the Company or the proposed offering. However,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foregoing indicative price range will not be subject to significant change.</w:t>
      </w:r>
    </w:p>
    <w:p>
      <w:pPr>
        <w:spacing w:after="0" w:line="207" w:lineRule="exact"/>
        <w:rPr>
          <w:sz w:val="20"/>
          <w:szCs w:val="20"/>
          <w:color w:val="auto"/>
        </w:rPr>
      </w:pPr>
    </w:p>
    <w:p>
      <w:pPr>
        <w:ind w:right="160" w:firstLine="898"/>
        <w:spacing w:after="0" w:line="261" w:lineRule="auto"/>
        <w:rPr>
          <w:sz w:val="20"/>
          <w:szCs w:val="20"/>
          <w:color w:val="auto"/>
        </w:rPr>
      </w:pPr>
      <w:r>
        <w:rPr>
          <w:rFonts w:ascii="Times New Roman" w:cs="Times New Roman" w:eastAsia="Times New Roman" w:hAnsi="Times New Roman"/>
          <w:sz w:val="18"/>
          <w:szCs w:val="18"/>
          <w:color w:val="auto"/>
        </w:rPr>
        <w:t>The respective valuations of the Company’s shares used for purposes of option grants made by the Company since October 2016 are set forth in the table below. In each case, the valuation as of the respective grant date was determined by the Company’s Board of Directors based on numerous objective and subjective factors, including input from Company management and independent third-party valuations. These valuations also reflected the illiquidity of the Company’s shares and the uncertainty of the Company’s initial public offering as of each grant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20" w:type="dxa"/>
            <w:vAlign w:val="bottom"/>
            <w:vMerge w:val="restart"/>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Equity value for</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2"/>
            <w:vMerge w:val="restart"/>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Price per share of</w:t>
            </w: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shares and</w:t>
            </w: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grant period</w:t>
            </w:r>
          </w:p>
        </w:tc>
        <w:tc>
          <w:tcPr>
            <w:tcW w:w="1600" w:type="dxa"/>
            <w:vAlign w:val="bottom"/>
          </w:tcPr>
          <w:p>
            <w:pPr>
              <w:spacing w:after="0"/>
              <w:rPr>
                <w:sz w:val="12"/>
                <w:szCs w:val="12"/>
                <w:color w:val="auto"/>
              </w:rPr>
            </w:pPr>
          </w:p>
        </w:tc>
        <w:tc>
          <w:tcPr>
            <w:tcW w:w="2020" w:type="dxa"/>
            <w:vAlign w:val="bottom"/>
          </w:tcPr>
          <w:p>
            <w:pPr>
              <w:jc w:val="center"/>
              <w:ind w:left="588"/>
              <w:spacing w:after="0" w:line="149" w:lineRule="exact"/>
              <w:rPr>
                <w:sz w:val="20"/>
                <w:szCs w:val="20"/>
                <w:color w:val="auto"/>
              </w:rPr>
            </w:pPr>
            <w:r>
              <w:rPr>
                <w:rFonts w:ascii="Times New Roman" w:cs="Times New Roman" w:eastAsia="Times New Roman" w:hAnsi="Times New Roman"/>
                <w:sz w:val="14"/>
                <w:szCs w:val="14"/>
                <w:b w:val="1"/>
                <w:bCs w:val="1"/>
                <w:color w:val="auto"/>
              </w:rPr>
              <w:t>underlying of share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 in</w:t>
            </w:r>
          </w:p>
        </w:tc>
        <w:tc>
          <w:tcPr>
            <w:tcW w:w="0" w:type="dxa"/>
            <w:vAlign w:val="bottom"/>
          </w:tcPr>
          <w:p>
            <w:pPr>
              <w:spacing w:after="0"/>
              <w:rPr>
                <w:sz w:val="1"/>
                <w:szCs w:val="1"/>
                <w:color w:val="auto"/>
              </w:rPr>
            </w:pPr>
          </w:p>
        </w:tc>
      </w:tr>
      <w:tr>
        <w:trPr>
          <w:trHeight w:val="193"/>
        </w:trPr>
        <w:tc>
          <w:tcPr>
            <w:tcW w:w="1240" w:type="dxa"/>
            <w:vAlign w:val="bottom"/>
            <w:tcBorders>
              <w:bottom w:val="single" w:sz="8" w:color="auto"/>
            </w:tcBorders>
            <w:gridSpan w:val="2"/>
            <w:vMerge w:val="continue"/>
          </w:tcPr>
          <w:p>
            <w:pPr>
              <w:spacing w:after="0"/>
              <w:rPr>
                <w:sz w:val="16"/>
                <w:szCs w:val="16"/>
                <w:color w:val="auto"/>
              </w:rPr>
            </w:pPr>
          </w:p>
        </w:tc>
        <w:tc>
          <w:tcPr>
            <w:tcW w:w="1600" w:type="dxa"/>
            <w:vAlign w:val="bottom"/>
          </w:tcPr>
          <w:p>
            <w:pPr>
              <w:spacing w:after="0"/>
              <w:rPr>
                <w:sz w:val="16"/>
                <w:szCs w:val="16"/>
                <w:color w:val="auto"/>
              </w:rPr>
            </w:pPr>
          </w:p>
        </w:tc>
        <w:tc>
          <w:tcPr>
            <w:tcW w:w="20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ordinary share in USD</w:t>
            </w:r>
            <w:r>
              <w:rPr>
                <w:rFonts w:ascii="Times New Roman" w:cs="Times New Roman" w:eastAsia="Times New Roman" w:hAnsi="Times New Roman"/>
                <w:sz w:val="12"/>
                <w:szCs w:val="12"/>
                <w:b w:val="1"/>
                <w:bCs w:val="1"/>
                <w:color w:val="auto"/>
              </w:rPr>
              <w:t>2</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USD’000</w:t>
            </w:r>
          </w:p>
        </w:tc>
        <w:tc>
          <w:tcPr>
            <w:tcW w:w="0" w:type="dxa"/>
            <w:vAlign w:val="bottom"/>
          </w:tcPr>
          <w:p>
            <w:pPr>
              <w:spacing w:after="0"/>
              <w:rPr>
                <w:sz w:val="1"/>
                <w:szCs w:val="1"/>
                <w:color w:val="auto"/>
              </w:rPr>
            </w:pPr>
          </w:p>
        </w:tc>
      </w:tr>
      <w:tr>
        <w:trPr>
          <w:trHeight w:val="203"/>
        </w:trPr>
        <w:tc>
          <w:tcPr>
            <w:tcW w:w="1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Jan 2017</w:t>
            </w:r>
          </w:p>
        </w:tc>
        <w:tc>
          <w:tcPr>
            <w:tcW w:w="16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285,200</w:t>
            </w:r>
          </w:p>
        </w:tc>
        <w:tc>
          <w:tcPr>
            <w:tcW w:w="1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18.140</w:t>
            </w:r>
          </w:p>
        </w:tc>
        <w:tc>
          <w:tcPr>
            <w:tcW w:w="12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465,388</w:t>
            </w: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April 2017</w:t>
            </w:r>
          </w:p>
        </w:tc>
        <w:tc>
          <w:tcPr>
            <w:tcW w:w="1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2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20.357</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521,153</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 2017</w:t>
            </w:r>
          </w:p>
        </w:tc>
        <w:tc>
          <w:tcPr>
            <w:tcW w:w="16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2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22.527</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575,582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898"/>
        <w:spacing w:after="0" w:line="256" w:lineRule="auto"/>
        <w:rPr>
          <w:sz w:val="20"/>
          <w:szCs w:val="20"/>
          <w:color w:val="auto"/>
        </w:rPr>
      </w:pPr>
      <w:r>
        <w:rPr>
          <w:rFonts w:ascii="Times New Roman" w:cs="Times New Roman" w:eastAsia="Times New Roman" w:hAnsi="Times New Roman"/>
          <w:sz w:val="18"/>
          <w:szCs w:val="18"/>
          <w:color w:val="auto"/>
        </w:rPr>
        <w:t>As disclosed on pages 69 and 167 and in Note 18 (Share-based Compensation) on pages F-110 to F-111 of the Registration Statement, 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and June 30, 2017, no share-based compensation expense has been recorded. Total fair value of these shares was US$32.9 million which underlying per share price was US$17.585</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and total equity value for preferred shares and ordinary shares was US$468.7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40" w:lineRule="exact"/>
        <w:rPr>
          <w:sz w:val="20"/>
          <w:szCs w:val="20"/>
          <w:color w:val="auto"/>
        </w:rPr>
      </w:pPr>
    </w:p>
    <w:p>
      <w:pPr>
        <w:ind w:left="460" w:right="820" w:hanging="452"/>
        <w:spacing w:after="0" w:line="260" w:lineRule="auto"/>
        <w:tabs>
          <w:tab w:leader="none" w:pos="4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price per share is calculated on an as-converted (assuming conversion ratio of 1:1) and fully diluted basis (i.e., including all the shares underlying all outstanding equity-based awards, whether or not they are vested).</w:t>
      </w:r>
    </w:p>
    <w:p>
      <w:pPr>
        <w:spacing w:after="0" w:line="1" w:lineRule="exact"/>
        <w:rPr>
          <w:sz w:val="20"/>
          <w:szCs w:val="20"/>
          <w:color w:val="auto"/>
        </w:rPr>
      </w:pPr>
    </w:p>
    <w:p>
      <w:pPr>
        <w:ind w:left="460" w:right="820" w:hanging="452"/>
        <w:spacing w:after="0" w:line="250" w:lineRule="auto"/>
        <w:tabs>
          <w:tab w:leader="none" w:pos="4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price per share is calculated on an as-converted (assuming conversion ratio of 1:1) and fully diluted basis (i.e., including all the shares underlying all outstanding equity-based awards, whether or not they are vested).</w:t>
      </w:r>
    </w:p>
    <w:p>
      <w:pPr>
        <w:spacing w:after="0" w:line="1" w:lineRule="exact"/>
        <w:rPr>
          <w:sz w:val="20"/>
          <w:szCs w:val="20"/>
          <w:color w:val="auto"/>
        </w:rPr>
      </w:pPr>
    </w:p>
    <w:p>
      <w:pPr>
        <w:ind w:left="460" w:right="820" w:hanging="452"/>
        <w:spacing w:after="0" w:line="26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price per share is calculated on an as-converted (assuming conversion ratio of 1:1) and fully diluted basis (i.e., including all the shares underlying all outstanding equity-based awards, whether or not they are vested).</w:t>
      </w:r>
    </w:p>
    <w:p>
      <w:pPr>
        <w:sectPr>
          <w:pgSz w:w="11900" w:h="16838" w:orient="portrait"/>
          <w:cols w:equalWidth="0" w:num="1">
            <w:col w:w="11240"/>
          </w:cols>
          <w:pgMar w:left="320" w:top="270" w:right="339" w:bottom="1440" w:gutter="0" w:footer="0" w:header="0"/>
        </w:sectPr>
      </w:pPr>
    </w:p>
    <w:bookmarkStart w:id="2" w:name="page3"/>
    <w:bookmarkEnd w:id="2"/>
    <w:p>
      <w:pPr>
        <w:ind w:right="220" w:firstLine="898"/>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as disclosed on page 166 and in Note 18 (Share-based Compensation) on pages F-109 to F-110 of the Registration Statement, 120,067 options that were granted to Wing Hong Sammy Hsieh and 29,933 options that were granted to Yau Ping Ricky Ng shall vest immediately upon the earlier of the following: (i) approval of the Company’s listing on a stock exchange with an expected market capitalization of no less than</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US$500 million, or (ii) any merger or acquisition of the Company at a valuation of US$500 million or above as a result of which the shareholders immediately prior to such merger or acquisition no longer hold a majority of the outstanding shares of the surviving corporation, and shall expire immediately prior to the listing on a stock exchange. Therefore, share-based compensation under staff cost, which is a component of our general and administrative expenses, of US$[****] million shall be recognized upon approval of the Company listing with an expected market capitalization of no less than US$500 million, which implies a price per share at US$[****]</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assuming [****]% of the total number of ordinary shares outstanding on fully diluted basis post IPO as the offer size. The Company will include the following language in the Management’s Discussion and Analysis of Financial Conditions and Results of Operations to explain the expected share-based compensation associated with the 120,067 options that were granted to Wing Hong Sammy Hsieh and 29,933 options that were granted to Yau Ping Ricky Ng, should the Actual Price Range straddles US$[****].</w:t>
      </w:r>
    </w:p>
    <w:p>
      <w:pPr>
        <w:spacing w:after="0" w:line="3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“As of June 30, 2016 and June 30, 2017, there were 150,000 share options granted to certain employees the vesting of which was subject to the earlier occurrence of any of the following events, either (i) the Company being approved to be listed on a stock exchange with an expected market capitalization of no less than US$500,000,000; or (ii) a merger or acquisition of the Company or any of its subsidiaries at a valuation of US$500,000,000 or above in which the shareholders of the Company shall no longer hold a majority of the outstanding shares of the surviving corporation. Therefore, the Company expects to record share-based compensation of US$[****] million in the fourth quarter of 2017 with respect to such grants if the offering price is US$[****] or above.”</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If you have any questions or require additional information, please contact me at +852-2532-3783 or via e-mail at szhao@cgsh.com.</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Shuang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Shuang Zhao</w:t>
      </w:r>
    </w:p>
    <w:p>
      <w:pPr>
        <w:spacing w:after="0" w:line="234" w:lineRule="exact"/>
        <w:rPr>
          <w:sz w:val="20"/>
          <w:szCs w:val="20"/>
          <w:color w:val="auto"/>
        </w:rPr>
      </w:pPr>
    </w:p>
    <w:p>
      <w:pPr>
        <w:ind w:left="460" w:right="4040" w:hanging="452"/>
        <w:spacing w:after="0" w:line="261" w:lineRule="auto"/>
        <w:tabs>
          <w:tab w:leader="none" w:pos="4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Sammy Hsieh, Chairman and Chief Executive Officer, iClick Interactive Asia Group Limited Jill Jiao, Chief Financial Officer, iClick Interactive Asia Group Limited</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Wilson Chow, Partner, PricewaterhouseCoopers</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C. Lin, Esq., Partner,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0" w:lineRule="exact"/>
        <w:rPr>
          <w:sz w:val="20"/>
          <w:szCs w:val="20"/>
          <w:color w:val="auto"/>
        </w:rPr>
      </w:pPr>
    </w:p>
    <w:p>
      <w:pPr>
        <w:ind w:left="460" w:right="800" w:hanging="452"/>
        <w:spacing w:after="0" w:line="282" w:lineRule="auto"/>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price per share is calculated on an as-converted (assuming conversion ratio of 1:1) and fully diluted basis (i.e., including all the shares underlying all outstanding equity-based awards, whether or not they are vested).</w:t>
      </w:r>
    </w:p>
    <w:sectPr>
      <w:pgSz w:w="11900" w:h="16838" w:orient="portrait"/>
      <w:cols w:equalWidth="0" w:num="1">
        <w:col w:w="11220"/>
      </w:cols>
      <w:pgMar w:left="32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lowerLetter"/>
      <w:start w:val="29"/>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2020-10-07T23:05:05Z</dcterms:created>
  <dcterms:modified xsi:type="dcterms:W3CDTF">2020-10-07T23:05:05Z</dcterms:modified>
</cp:coreProperties>
</file>