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 of Annual General Meeting</w:t>
            </w:r>
          </w:p>
        </w:tc>
        <w:tc>
          <w:tcPr>
            <w:tcW w:w="646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Proxy for the Annual General Meeting</w:t>
            </w:r>
          </w:p>
        </w:tc>
        <w:tc>
          <w:tcPr>
            <w:tcW w:w="5560" w:type="dxa"/>
            <w:vAlign w:val="bottom"/>
          </w:tcPr>
          <w:p>
            <w:pPr>
              <w:spacing w:after="0"/>
              <w:rPr>
                <w:sz w:val="17"/>
                <w:szCs w:val="17"/>
                <w:color w:val="auto"/>
              </w:rPr>
            </w:pPr>
          </w:p>
        </w:tc>
      </w:tr>
      <w:tr>
        <w:trPr>
          <w:trHeight w:val="695"/>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11, 2024</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156845</wp:posOffset>
            </wp:positionV>
            <wp:extent cx="132905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Schedules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Annual General Meeting for September 30, 2024</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11, 2024 </w:t>
      </w:r>
      <w:r>
        <w:rPr>
          <w:rFonts w:ascii="Times New Roman" w:cs="Times New Roman" w:eastAsia="Times New Roman" w:hAnsi="Times New Roman"/>
          <w:sz w:val="18"/>
          <w:szCs w:val="18"/>
          <w:color w:val="auto"/>
        </w:rPr>
        <w:t>— iClick Interactive Asia Group Limited (“iClick” or the “Company”) (NASDAQ: ICLK), a leading enterprise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marketing cloud platform in China that empowers worldwide brands with full-stack consumer lifecycle solutions, today announced that it will hold its 2024 annual general meeting (the “AGM”) on September 30, 2024 at 9:00 a.m. (Hong Kong time) or on September 29, 2024 at 9:00 p.m. (New York time) in Hong Kong, People’s Republic of China.</w:t>
      </w:r>
    </w:p>
    <w:p>
      <w:pPr>
        <w:sectPr>
          <w:pgSz w:w="11900" w:h="16838" w:orient="portrait"/>
          <w:cols w:equalWidth="0" w:num="1">
            <w:col w:w="11240"/>
          </w:cols>
          <w:pgMar w:left="320" w:top="333"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2024 (Hong Kong Time) or September 29, 2024 (New York Time)</w:t>
      </w:r>
    </w:p>
    <w:p>
      <w:pPr>
        <w:spacing w:after="0" w:line="211" w:lineRule="exact"/>
        <w:rPr>
          <w:sz w:val="20"/>
          <w:szCs w:val="20"/>
          <w:color w:val="auto"/>
        </w:rPr>
      </w:pPr>
    </w:p>
    <w:p>
      <w:pPr>
        <w:sectPr>
          <w:pgSz w:w="11900" w:h="16838" w:orient="portrait"/>
          <w:cols w:equalWidth="0" w:num="2">
            <w:col w:w="400" w:space="520"/>
            <w:col w:w="1032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09:00 a.m. (Hong Kong time) or 09:00 p.m. (New York Time)</w:t>
      </w:r>
    </w:p>
    <w:p>
      <w:pPr>
        <w:spacing w:after="0" w:line="211" w:lineRule="exact"/>
        <w:rPr>
          <w:sz w:val="20"/>
          <w:szCs w:val="20"/>
          <w:color w:val="auto"/>
        </w:rPr>
      </w:pPr>
    </w:p>
    <w:p>
      <w:pPr>
        <w:sectPr>
          <w:pgSz w:w="11900" w:h="16838" w:orient="portrait"/>
          <w:cols w:equalWidth="0" w:num="2">
            <w:col w:w="440" w:space="480"/>
            <w:col w:w="10320"/>
          </w:cols>
          <w:pgMar w:left="320" w:top="333"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663 King’s Road, Quarry Bay, Hong Kong, China</w:t>
      </w:r>
    </w:p>
    <w:p>
      <w:pPr>
        <w:spacing w:after="0" w:line="200" w:lineRule="exact"/>
        <w:rPr>
          <w:sz w:val="20"/>
          <w:szCs w:val="20"/>
          <w:color w:val="auto"/>
        </w:rPr>
      </w:pPr>
    </w:p>
    <w:p>
      <w:pPr>
        <w:sectPr>
          <w:pgSz w:w="11900" w:h="16838" w:orient="portrait"/>
          <w:cols w:equalWidth="0" w:num="2">
            <w:col w:w="700" w:space="220"/>
            <w:col w:w="10320"/>
          </w:cols>
          <w:pgMar w:left="320" w:top="333"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AGM will be devoted to the following proposals: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to approve the disposal of the Company’s demand side marketing solutions business in mainland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to approve and ratify the disposal of the Company’s enterprise solutions business in mainland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to approve and ratify the appointment of Mr. Winson Ip Wing Wai as an independent director of the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such other matters as may properly come before the AGM or any adjournment or postponement thereof.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shareholders of record at the close of business on September 11, 2024 (New York Time) are entitled to receive notice of and to vote at the AGM or any adjournment or postponement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notice of the AGM and the Company’s 2023 Annual Report containing the complete audited financial statements and the report of auditors for the year ended December 31, 2023 are available on the Investor Relations Section of the Company’s website at http://ir.i-click.com.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0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156845</wp:posOffset>
            </wp:positionV>
            <wp:extent cx="1105535" cy="52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55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TO BE HELD ON SEPTEMBER 30,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general meeting (the “AGM”) of iClick Interactive Asia Group Limited (“iClick”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ICLK) will be held on September 30, 2024 at 9:00 a.m. (Hong Kong time), or on September 29, 2024 at 9:00 p.m. (New York time) at 15/F Prosperity Millennia Plaza, 663 King’s Road, Quarry Bay, Hong Kong, People’s Republic of China, for the following purposes:</w:t>
      </w:r>
    </w:p>
    <w:p>
      <w:pPr>
        <w:spacing w:after="0" w:line="17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special resolution, to approve the disposal of the Company’s demand side marketing solutions business in mainland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to approve and ratify the disposal of the Company’s enterprise solutions business in mainland China;</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ordinary resolution, to approve and ratify the appointment of Mr. Winson Ip Wing Wai as an independent director of the Company;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such other matters as may properly come before the AGM or any adjournment or postponement thereof.</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has fixed the close of business on September 11, 2024 (New York time) as the record date (the “Record Date”). Only holders of the Company’s ordinary shares, whether or not represented by the Company’s American Depositary Shares (the “ADS”), on the Record Date are entitled to receive notice of and to vote at the AGM or any adjournment or postponement thereof. Beneficial owners of the ADSs are welcome to attend the AGM.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holder of our ordinary shares on the Record Date, you are cordially invited to attend the AGM in person. Your vote is important. If you cannot attend the AGM in person, you are urged to complete, sign, date and return the accompanying form of proxy by mail to the Company’s Hong Kong office at 15/F Prosperity Millennia Plaza, 663 King’s Road, Quarry Bay, Hong Kong, People’s Republic of China, by email to ir@i-click.com as soon as possible and in any event no later than 9:00 a.m. September 28, 2024 (Hong Kong time), or 9:00 p.m., September 27, 2024 (New York time).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you are a registered holder of our ADSs as at the Record Date, the depositary, JPMORGAN CHASE BANK, N.A., (the “Depositary”) will forward to you the information of our AGM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any meeting of shareholders is by show of hands unless a poll is demanded. In the event voting takes place at a shareholders’ meeting by show of hands, the Depositary will instruct JPMorgan Chase Bank, N.A., Hong Kong Branch, (the “Custodian”)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appreciates your continuing support and urges you to support the above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The Company’s 2023 Annual Report containing the complete audited financial statements and the report of auditors for the year ended December 31, 2023 are available on the Investor Relations Section of the Company’s website at http://ir.i-click.com.</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Jian Tang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156845</wp:posOffset>
            </wp:positionV>
            <wp:extent cx="1251585"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15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Incorporated in the Cayman Islands with limited liability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FORM OF PROXY FOR USE BY SHAREHOLDERS OF ICLICK INTERACTIVE ASIA GROUP LIMITED (THE “COMPANY”) AT THE ANNUAL GENERAL MEETING OF THE COMPANY (THE “MEETING”) TO BE HELD AT 15/F PROSPERITY MILLENNIA PLAZA, 663 KING’S ROAD, QUARRY BAY, HONG KONG, PEOPLE’S REPUBLIC OF CHINA, ON SEPTEMBER 30, 2024 AT 9:00 A.M. (HONG KONG TIME), OR ON SEPTEMBER 29, 2024 AT 9:00 P.M. (NEW YORK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I/We (</w:t>
      </w:r>
      <w:r>
        <w:rPr>
          <w:rFonts w:ascii="Times New Roman" w:cs="Times New Roman" w:eastAsia="Times New Roman" w:hAnsi="Times New Roman"/>
          <w:sz w:val="18"/>
          <w:szCs w:val="18"/>
          <w:b w:val="1"/>
          <w:bCs w:val="1"/>
          <w:i w:val="1"/>
          <w:iCs w:val="1"/>
          <w:color w:val="auto"/>
        </w:rPr>
        <w:t>note (1)</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6412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19685</wp:posOffset>
            </wp:positionV>
            <wp:extent cx="6986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being the registered holder(s) of </w:t>
      </w:r>
      <w:r>
        <w:rPr>
          <w:rFonts w:ascii="Times New Roman" w:cs="Times New Roman" w:eastAsia="Times New Roman" w:hAnsi="Times New Roman"/>
          <w:sz w:val="18"/>
          <w:szCs w:val="18"/>
          <w:b w:val="1"/>
          <w:bCs w:val="1"/>
          <w:i w:val="1"/>
          <w:iCs w:val="1"/>
          <w:color w:val="auto"/>
        </w:rPr>
        <w:t>(note (2)</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19685</wp:posOffset>
            </wp:positionV>
            <wp:extent cx="5074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of US$0.001 each in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19685</wp:posOffset>
            </wp:positionV>
            <wp:extent cx="5263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 the Company (“Share(s)”), hereby appoint </w:t>
      </w:r>
      <w:r>
        <w:rPr>
          <w:rFonts w:ascii="Times New Roman" w:cs="Times New Roman" w:eastAsia="Times New Roman" w:hAnsi="Times New Roman"/>
          <w:sz w:val="18"/>
          <w:szCs w:val="18"/>
          <w:b w:val="1"/>
          <w:bCs w:val="1"/>
          <w:i w:val="1"/>
          <w:iCs w:val="1"/>
          <w:color w:val="auto"/>
        </w:rPr>
        <w:t>(note (3)</w:t>
      </w:r>
      <w:r>
        <w:rPr>
          <w:rFonts w:ascii="Times New Roman" w:cs="Times New Roman" w:eastAsia="Times New Roman" w:hAnsi="Times New Roman"/>
          <w:sz w:val="18"/>
          <w:szCs w:val="18"/>
          <w:b w:val="1"/>
          <w:bCs w:val="1"/>
          <w:color w:val="auto"/>
        </w:rPr>
        <w:t>) the chairman of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19685</wp:posOffset>
            </wp:positionV>
            <wp:extent cx="2888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19685</wp:posOffset>
            </wp:positionV>
            <wp:extent cx="6986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to act as my/our proxy for the Meeting to be held at 15/F Prosperity Millennia Plaza, 663 King’s Road, Quarry Bay, Hong Kong, People’s Republic of China, on September 30, 2024 at 9:00 a.m. (Hong Kong time), or on September 29, 2024 at 9:00 p.m. (New York time) and at any adjournment thereof and to vote on my/our behalf as directed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indicate with a “X” in the spaces provided how you wish the proxy to vote on your behalf.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48"/>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 A SPECIAL RESOLUTION THAT, the disposal of the Company’s demand side marketing</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8"/>
        </w:trPr>
        <w:tc>
          <w:tcPr>
            <w:tcW w:w="240" w:type="dxa"/>
            <w:vAlign w:val="bottom"/>
          </w:tcPr>
          <w:p>
            <w:pPr>
              <w:spacing w:after="0"/>
              <w:rPr>
                <w:sz w:val="20"/>
                <w:szCs w:val="20"/>
                <w:color w:val="auto"/>
              </w:rPr>
            </w:pP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solutions business in mainland China, be and is hereby approved;</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 AN ORDINARY RESOLUTION THAT, the disposal of the Company’s enterprise solutions</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8"/>
        </w:trPr>
        <w:tc>
          <w:tcPr>
            <w:tcW w:w="240" w:type="dxa"/>
            <w:vAlign w:val="bottom"/>
          </w:tcPr>
          <w:p>
            <w:pPr>
              <w:spacing w:after="0"/>
              <w:rPr>
                <w:sz w:val="20"/>
                <w:szCs w:val="20"/>
                <w:color w:val="auto"/>
              </w:rPr>
            </w:pP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in mainland China, be and is hereby approved and ratified; and</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10"/>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 AN ORDINARY RESOLUTION THAT, the appointment of Mr. Winson Ip Wing Wai as an</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8"/>
        </w:trPr>
        <w:tc>
          <w:tcPr>
            <w:tcW w:w="240" w:type="dxa"/>
            <w:vAlign w:val="bottom"/>
          </w:tcPr>
          <w:p>
            <w:pPr>
              <w:spacing w:after="0"/>
              <w:rPr>
                <w:sz w:val="20"/>
                <w:szCs w:val="20"/>
                <w:color w:val="auto"/>
              </w:rPr>
            </w:pPr>
          </w:p>
        </w:tc>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independent director of the Company be and is hereby approved and ratified.</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Dated this __________ day of __________________2024.</w:t>
            </w:r>
          </w:p>
        </w:tc>
        <w:tc>
          <w:tcPr>
            <w:tcW w:w="5280" w:type="dxa"/>
            <w:vAlign w:val="bottom"/>
          </w:tcPr>
          <w:p>
            <w:pPr>
              <w:spacing w:after="0"/>
              <w:rPr>
                <w:sz w:val="20"/>
                <w:szCs w:val="20"/>
                <w:color w:val="auto"/>
              </w:rPr>
            </w:pPr>
          </w:p>
        </w:tc>
      </w:tr>
      <w:tr>
        <w:trPr>
          <w:trHeight w:val="432"/>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Signature: ____________________________ (</w:t>
            </w:r>
            <w:r>
              <w:rPr>
                <w:rFonts w:ascii="Times New Roman" w:cs="Times New Roman" w:eastAsia="Times New Roman" w:hAnsi="Times New Roman"/>
                <w:sz w:val="18"/>
                <w:szCs w:val="18"/>
                <w:b w:val="1"/>
                <w:bCs w:val="1"/>
                <w:i w:val="1"/>
                <w:iCs w:val="1"/>
                <w:color w:val="auto"/>
              </w:rPr>
              <w:t>notes (4) and (5)</w:t>
            </w:r>
            <w:r>
              <w:rPr>
                <w:rFonts w:ascii="Times New Roman" w:cs="Times New Roman" w:eastAsia="Times New Roman" w:hAnsi="Times New Roman"/>
                <w:sz w:val="18"/>
                <w:szCs w:val="18"/>
                <w:b w:val="1"/>
                <w:bCs w:val="1"/>
                <w:color w:val="auto"/>
              </w:rPr>
              <w:t>)</w:t>
            </w:r>
          </w:p>
        </w:tc>
        <w:tc>
          <w:tcPr>
            <w:tcW w:w="5280" w:type="dxa"/>
            <w:vAlign w:val="bottom"/>
          </w:tcPr>
          <w:p>
            <w:pPr>
              <w:spacing w:after="0"/>
              <w:rPr>
                <w:sz w:val="24"/>
                <w:szCs w:val="24"/>
                <w:color w:val="auto"/>
              </w:rPr>
            </w:pPr>
          </w:p>
        </w:tc>
      </w:tr>
      <w:tr>
        <w:trPr>
          <w:trHeight w:val="460"/>
        </w:trPr>
        <w:tc>
          <w:tcPr>
            <w:tcW w:w="596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Please tick here if you are appointing more than 1 proxy.</w:t>
            </w: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 proxy appointed over.</w:t>
            </w:r>
          </w:p>
        </w:tc>
      </w:tr>
      <w:tr>
        <w:trPr>
          <w:trHeight w:val="404"/>
        </w:trPr>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NOTES:</w:t>
            </w:r>
          </w:p>
        </w:tc>
        <w:tc>
          <w:tcPr>
            <w:tcW w:w="5280" w:type="dxa"/>
            <w:vAlign w:val="bottom"/>
          </w:tcPr>
          <w:p>
            <w:pPr>
              <w:spacing w:after="0"/>
              <w:rPr>
                <w:sz w:val="24"/>
                <w:szCs w:val="24"/>
                <w:color w:val="auto"/>
              </w:rPr>
            </w:pPr>
          </w:p>
        </w:tc>
      </w:tr>
      <w:tr>
        <w:trPr>
          <w:trHeight w:val="675"/>
        </w:trPr>
        <w:tc>
          <w:tcPr>
            <w:tcW w:w="59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ind w:left="652" w:hanging="652"/>
        <w:spacing w:after="0"/>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Full name(s) and address(es) to be inserted in BLOCK CAPITAL LETTERS.</w:t>
      </w:r>
    </w:p>
    <w:p>
      <w:pPr>
        <w:spacing w:after="0" w:line="29" w:lineRule="exact"/>
        <w:rPr>
          <w:rFonts w:ascii="Times New Roman" w:cs="Times New Roman" w:eastAsia="Times New Roman" w:hAnsi="Times New Roman"/>
          <w:sz w:val="18"/>
          <w:szCs w:val="18"/>
          <w:i w:val="1"/>
          <w:iCs w:val="1"/>
          <w:color w:val="auto"/>
        </w:rPr>
      </w:pPr>
    </w:p>
    <w:p>
      <w:pPr>
        <w:ind w:left="652"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insert the number of shares registered in your name(s) in each class; if no number is inserted, this form of proxy will be deemed to relate to all the Shares registered in your name(s).</w:t>
      </w:r>
    </w:p>
    <w:p>
      <w:pPr>
        <w:ind w:left="652"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jc w:val="both"/>
        <w:ind w:left="652"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spacing w:after="0" w:line="1" w:lineRule="exact"/>
        <w:rPr>
          <w:rFonts w:ascii="Times New Roman" w:cs="Times New Roman" w:eastAsia="Times New Roman" w:hAnsi="Times New Roman"/>
          <w:sz w:val="18"/>
          <w:szCs w:val="18"/>
          <w:i w:val="1"/>
          <w:iCs w:val="1"/>
          <w:color w:val="auto"/>
        </w:rPr>
      </w:pPr>
    </w:p>
    <w:p>
      <w:pPr>
        <w:ind w:left="652"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ind w:left="652"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ind w:left="652" w:right="20"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jc w:val="both"/>
        <w:ind w:left="652" w:hanging="652"/>
        <w:spacing w:after="0" w:line="250"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People’s Republic of China, by email to ir@i-click.com as soon as possible and in any event no later than 9:00 a.m. September 28, 2024 (Hong Kong time), or 9:00 p.m. September 27, 2024 (New York time).</w:t>
      </w:r>
    </w:p>
    <w:p>
      <w:pPr>
        <w:spacing w:after="0" w:line="1" w:lineRule="exact"/>
        <w:rPr>
          <w:rFonts w:ascii="Times New Roman" w:cs="Times New Roman" w:eastAsia="Times New Roman" w:hAnsi="Times New Roman"/>
          <w:sz w:val="18"/>
          <w:szCs w:val="18"/>
          <w:i w:val="1"/>
          <w:iCs w:val="1"/>
          <w:color w:val="auto"/>
        </w:rPr>
      </w:pPr>
    </w:p>
    <w:p>
      <w:pPr>
        <w:ind w:left="652" w:hanging="652"/>
        <w:spacing w:after="0"/>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alterations made to this form should be initialled by the person who signs it.</w:t>
      </w:r>
    </w:p>
    <w:p>
      <w:pPr>
        <w:spacing w:after="0" w:line="9" w:lineRule="exact"/>
        <w:rPr>
          <w:rFonts w:ascii="Times New Roman" w:cs="Times New Roman" w:eastAsia="Times New Roman" w:hAnsi="Times New Roman"/>
          <w:sz w:val="18"/>
          <w:szCs w:val="18"/>
          <w:i w:val="1"/>
          <w:iCs w:val="1"/>
          <w:color w:val="auto"/>
        </w:rPr>
      </w:pPr>
    </w:p>
    <w:p>
      <w:pPr>
        <w:jc w:val="both"/>
        <w:ind w:left="652" w:hanging="652"/>
        <w:spacing w:after="0" w:line="255" w:lineRule="auto"/>
        <w:tabs>
          <w:tab w:leader="none" w:pos="652"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2024-09-11T08:32:36Z</dcterms:created>
  <dcterms:modified xsi:type="dcterms:W3CDTF">2024-09-11T08:32:36Z</dcterms:modified>
</cp:coreProperties>
</file>