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20"/>
          <w:szCs w:val="20"/>
          <w:b w:val="1"/>
          <w:bCs w:val="1"/>
          <w:color w:val="auto"/>
        </w:rPr>
        <w:t>UNITED STATES</w:t>
      </w:r>
    </w:p>
    <w:p>
      <w:pPr>
        <w:spacing w:after="0" w:line="2" w:lineRule="exact"/>
        <w:rPr>
          <w:sz w:val="24"/>
          <w:szCs w:val="24"/>
          <w:color w:val="auto"/>
        </w:rPr>
      </w:pPr>
    </w:p>
    <w:p>
      <w:pPr>
        <w:jc w:val="center"/>
        <w:ind w:right="-439"/>
        <w:spacing w:after="0"/>
        <w:rPr>
          <w:sz w:val="20"/>
          <w:szCs w:val="20"/>
          <w:color w:val="auto"/>
        </w:rPr>
      </w:pPr>
      <w:r>
        <w:rPr>
          <w:rFonts w:ascii="Arial" w:cs="Arial" w:eastAsia="Arial" w:hAnsi="Arial"/>
          <w:sz w:val="20"/>
          <w:szCs w:val="20"/>
          <w:b w:val="1"/>
          <w:bCs w:val="1"/>
          <w:color w:val="auto"/>
        </w:rPr>
        <w:t>SECURITIES AND EXCHANGE COMMISSION</w:t>
      </w:r>
    </w:p>
    <w:p>
      <w:pPr>
        <w:ind w:left="4780"/>
        <w:spacing w:after="0"/>
        <w:rPr>
          <w:sz w:val="20"/>
          <w:szCs w:val="20"/>
          <w:color w:val="auto"/>
        </w:rPr>
      </w:pPr>
      <w:r>
        <w:rPr>
          <w:rFonts w:ascii="Arial" w:cs="Arial" w:eastAsia="Arial" w:hAnsi="Arial"/>
          <w:sz w:val="16"/>
          <w:szCs w:val="16"/>
          <w:b w:val="1"/>
          <w:bCs w:val="1"/>
          <w:color w:val="auto"/>
        </w:rPr>
        <w:t>Washington, D.C. 20549</w:t>
      </w:r>
    </w:p>
    <w:p>
      <w:pPr>
        <w:spacing w:after="0" w:line="138" w:lineRule="exact"/>
        <w:rPr>
          <w:sz w:val="24"/>
          <w:szCs w:val="24"/>
          <w:color w:val="auto"/>
        </w:rPr>
      </w:pPr>
    </w:p>
    <w:p>
      <w:pPr>
        <w:jc w:val="center"/>
        <w:ind w:right="-479"/>
        <w:spacing w:after="0"/>
        <w:rPr>
          <w:sz w:val="20"/>
          <w:szCs w:val="20"/>
          <w:color w:val="auto"/>
        </w:rPr>
      </w:pPr>
      <w:r>
        <w:rPr>
          <w:rFonts w:ascii="Arial" w:cs="Arial" w:eastAsia="Arial" w:hAnsi="Arial"/>
          <w:sz w:val="20"/>
          <w:szCs w:val="20"/>
          <w:b w:val="1"/>
          <w:bCs w:val="1"/>
          <w:color w:val="auto"/>
        </w:rPr>
        <w:t>SCHEDULE 13G/A</w:t>
      </w:r>
    </w:p>
    <w:p>
      <w:pPr>
        <w:spacing w:after="0" w:line="171" w:lineRule="exact"/>
        <w:rPr>
          <w:sz w:val="24"/>
          <w:szCs w:val="24"/>
          <w:color w:val="auto"/>
        </w:rPr>
      </w:pPr>
    </w:p>
    <w:p>
      <w:pPr>
        <w:jc w:val="center"/>
        <w:ind w:right="-479"/>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31" w:lineRule="exact"/>
        <w:rPr>
          <w:sz w:val="24"/>
          <w:szCs w:val="24"/>
          <w:color w:val="auto"/>
        </w:rPr>
      </w:pPr>
    </w:p>
    <w:p>
      <w:pPr>
        <w:jc w:val="center"/>
        <w:ind w:right="-479"/>
        <w:spacing w:after="0"/>
        <w:rPr>
          <w:sz w:val="20"/>
          <w:szCs w:val="20"/>
          <w:color w:val="auto"/>
        </w:rPr>
      </w:pPr>
      <w:r>
        <w:rPr>
          <w:rFonts w:ascii="Arial" w:cs="Arial" w:eastAsia="Arial" w:hAnsi="Arial"/>
          <w:sz w:val="16"/>
          <w:szCs w:val="16"/>
          <w:b w:val="1"/>
          <w:bCs w:val="1"/>
          <w:color w:val="auto"/>
        </w:rPr>
        <w:t>(Amendment No.2) *</w:t>
      </w:r>
    </w:p>
    <w:p>
      <w:pPr>
        <w:spacing w:after="0" w:line="147" w:lineRule="exact"/>
        <w:rPr>
          <w:sz w:val="24"/>
          <w:szCs w:val="24"/>
          <w:color w:val="auto"/>
        </w:rPr>
      </w:pPr>
    </w:p>
    <w:p>
      <w:pPr>
        <w:jc w:val="center"/>
        <w:ind w:right="-479"/>
        <w:spacing w:after="0"/>
        <w:rPr>
          <w:sz w:val="20"/>
          <w:szCs w:val="20"/>
          <w:color w:val="auto"/>
        </w:rPr>
      </w:pPr>
      <w:r>
        <w:rPr>
          <w:rFonts w:ascii="Arial" w:cs="Arial" w:eastAsia="Arial" w:hAnsi="Arial"/>
          <w:sz w:val="29"/>
          <w:szCs w:val="29"/>
          <w:b w:val="1"/>
          <w:bCs w:val="1"/>
          <w:color w:val="auto"/>
        </w:rPr>
        <w:t>iClick Interactive Asia Group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4"/>
          <w:szCs w:val="24"/>
          <w:color w:val="auto"/>
        </w:rPr>
      </w:pPr>
    </w:p>
    <w:p>
      <w:pPr>
        <w:ind w:left="5120"/>
        <w:spacing w:after="0"/>
        <w:rPr>
          <w:sz w:val="20"/>
          <w:szCs w:val="20"/>
          <w:color w:val="auto"/>
        </w:rPr>
      </w:pPr>
      <w:r>
        <w:rPr>
          <w:rFonts w:ascii="Arial" w:cs="Arial" w:eastAsia="Arial" w:hAnsi="Arial"/>
          <w:sz w:val="16"/>
          <w:szCs w:val="16"/>
          <w:color w:val="auto"/>
        </w:rPr>
        <w:t>(Name of Issuer)</w:t>
      </w:r>
    </w:p>
    <w:p>
      <w:pPr>
        <w:spacing w:after="0" w:line="161" w:lineRule="exact"/>
        <w:rPr>
          <w:sz w:val="24"/>
          <w:szCs w:val="24"/>
          <w:color w:val="auto"/>
        </w:rPr>
      </w:pPr>
    </w:p>
    <w:p>
      <w:pPr>
        <w:ind w:left="3620"/>
        <w:spacing w:after="0"/>
        <w:rPr>
          <w:sz w:val="20"/>
          <w:szCs w:val="20"/>
          <w:color w:val="auto"/>
        </w:rPr>
      </w:pPr>
      <w:r>
        <w:rPr>
          <w:rFonts w:ascii="Arial" w:cs="Arial" w:eastAsia="Arial" w:hAnsi="Arial"/>
          <w:sz w:val="16"/>
          <w:szCs w:val="16"/>
          <w:b w:val="1"/>
          <w:bCs w:val="1"/>
          <w:color w:val="auto"/>
        </w:rPr>
        <w:t>Class A ordinary shares, par value of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3" w:lineRule="exact"/>
        <w:rPr>
          <w:sz w:val="24"/>
          <w:szCs w:val="24"/>
          <w:color w:val="auto"/>
        </w:rPr>
      </w:pPr>
    </w:p>
    <w:p>
      <w:pPr>
        <w:jc w:val="center"/>
        <w:ind w:right="-479"/>
        <w:spacing w:after="0"/>
        <w:rPr>
          <w:sz w:val="20"/>
          <w:szCs w:val="20"/>
          <w:color w:val="auto"/>
        </w:rPr>
      </w:pPr>
      <w:r>
        <w:rPr>
          <w:rFonts w:ascii="Arial" w:cs="Arial" w:eastAsia="Arial" w:hAnsi="Arial"/>
          <w:sz w:val="16"/>
          <w:szCs w:val="16"/>
          <w:color w:val="auto"/>
        </w:rPr>
        <w:t>(Title of Class of Securities)</w:t>
      </w:r>
    </w:p>
    <w:p>
      <w:pPr>
        <w:spacing w:after="0" w:line="174" w:lineRule="exact"/>
        <w:rPr>
          <w:sz w:val="24"/>
          <w:szCs w:val="24"/>
          <w:color w:val="auto"/>
        </w:rPr>
      </w:pPr>
    </w:p>
    <w:p>
      <w:pPr>
        <w:jc w:val="center"/>
        <w:ind w:right="-479"/>
        <w:spacing w:after="0"/>
        <w:rPr>
          <w:sz w:val="20"/>
          <w:szCs w:val="20"/>
          <w:color w:val="auto"/>
        </w:rPr>
      </w:pPr>
      <w:r>
        <w:rPr>
          <w:rFonts w:ascii="Arial" w:cs="Arial" w:eastAsia="Arial" w:hAnsi="Arial"/>
          <w:sz w:val="16"/>
          <w:szCs w:val="16"/>
          <w:b w:val="1"/>
          <w:bCs w:val="1"/>
          <w:color w:val="auto"/>
        </w:rPr>
        <w:t>G47048 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9" w:lineRule="exact"/>
        <w:rPr>
          <w:sz w:val="24"/>
          <w:szCs w:val="24"/>
          <w:color w:val="auto"/>
        </w:rPr>
      </w:pPr>
    </w:p>
    <w:p>
      <w:pPr>
        <w:jc w:val="center"/>
        <w:ind w:right="-479"/>
        <w:spacing w:after="0"/>
        <w:rPr>
          <w:sz w:val="20"/>
          <w:szCs w:val="20"/>
          <w:color w:val="auto"/>
        </w:rPr>
      </w:pPr>
      <w:r>
        <w:rPr>
          <w:rFonts w:ascii="Arial" w:cs="Arial" w:eastAsia="Arial" w:hAnsi="Arial"/>
          <w:sz w:val="16"/>
          <w:szCs w:val="16"/>
          <w:color w:val="auto"/>
        </w:rPr>
        <w:t>(CUSIP Number)</w:t>
      </w:r>
    </w:p>
    <w:p>
      <w:pPr>
        <w:spacing w:after="0" w:line="174" w:lineRule="exact"/>
        <w:rPr>
          <w:sz w:val="24"/>
          <w:szCs w:val="24"/>
          <w:color w:val="auto"/>
        </w:rPr>
      </w:pPr>
    </w:p>
    <w:p>
      <w:pPr>
        <w:jc w:val="center"/>
        <w:ind w:right="-479"/>
        <w:spacing w:after="0"/>
        <w:rPr>
          <w:sz w:val="20"/>
          <w:szCs w:val="20"/>
          <w:color w:val="auto"/>
        </w:rPr>
      </w:pPr>
      <w:r>
        <w:rPr>
          <w:rFonts w:ascii="Arial" w:cs="Arial" w:eastAsia="Arial" w:hAnsi="Arial"/>
          <w:sz w:val="16"/>
          <w:szCs w:val="16"/>
          <w:b w:val="1"/>
          <w:bCs w:val="1"/>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9" w:lineRule="exact"/>
        <w:rPr>
          <w:sz w:val="24"/>
          <w:szCs w:val="24"/>
          <w:color w:val="auto"/>
        </w:rPr>
      </w:pPr>
    </w:p>
    <w:p>
      <w:pPr>
        <w:jc w:val="center"/>
        <w:ind w:right="-479"/>
        <w:spacing w:after="0"/>
        <w:rPr>
          <w:sz w:val="20"/>
          <w:szCs w:val="20"/>
          <w:color w:val="auto"/>
        </w:rPr>
      </w:pPr>
      <w:r>
        <w:rPr>
          <w:rFonts w:ascii="Arial" w:cs="Arial" w:eastAsia="Arial" w:hAnsi="Arial"/>
          <w:sz w:val="16"/>
          <w:szCs w:val="16"/>
          <w:color w:val="auto"/>
        </w:rPr>
        <w:t>(Date of Event Which Requires Filing of this Statement)</w:t>
      </w:r>
    </w:p>
    <w:p>
      <w:pPr>
        <w:spacing w:after="0" w:line="194"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designate the rule pursuant to which this Schedule is filed:</w:t>
      </w:r>
    </w:p>
    <w:p>
      <w:pPr>
        <w:spacing w:after="0" w:line="59" w:lineRule="exact"/>
        <w:rPr>
          <w:sz w:val="24"/>
          <w:szCs w:val="24"/>
          <w:color w:val="auto"/>
        </w:rPr>
      </w:pPr>
    </w:p>
    <w:p>
      <w:pPr>
        <w:ind w:left="1220" w:hanging="712"/>
        <w:spacing w:after="0"/>
        <w:tabs>
          <w:tab w:leader="none" w:pos="1220"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w:t>
      </w:r>
    </w:p>
    <w:p>
      <w:pPr>
        <w:spacing w:after="0" w:line="86" w:lineRule="exact"/>
        <w:rPr>
          <w:rFonts w:ascii="Arial" w:cs="Arial" w:eastAsia="Arial" w:hAnsi="Arial"/>
          <w:sz w:val="16"/>
          <w:szCs w:val="16"/>
          <w:color w:val="auto"/>
        </w:rPr>
      </w:pPr>
    </w:p>
    <w:p>
      <w:pPr>
        <w:ind w:left="1220" w:hanging="712"/>
        <w:spacing w:after="0"/>
        <w:tabs>
          <w:tab w:leader="none" w:pos="1220"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w:t>
      </w:r>
    </w:p>
    <w:p>
      <w:pPr>
        <w:spacing w:after="0" w:line="86" w:lineRule="exact"/>
        <w:rPr>
          <w:sz w:val="24"/>
          <w:szCs w:val="24"/>
          <w:color w:val="auto"/>
        </w:rPr>
      </w:pPr>
    </w:p>
    <w:p>
      <w:pPr>
        <w:ind w:left="1220" w:hanging="712"/>
        <w:spacing w:after="0"/>
        <w:tabs>
          <w:tab w:leader="none" w:pos="1220" w:val="left"/>
        </w:tabs>
        <w:numPr>
          <w:ilvl w:val="0"/>
          <w:numId w:val="2"/>
        </w:numPr>
        <w:rPr>
          <w:rFonts w:ascii="Arial" w:cs="Arial" w:eastAsia="Arial" w:hAnsi="Arial"/>
          <w:sz w:val="16"/>
          <w:szCs w:val="16"/>
          <w:color w:val="auto"/>
        </w:rPr>
      </w:pPr>
      <w:r>
        <w:rPr>
          <w:rFonts w:ascii="Arial" w:cs="Arial" w:eastAsia="Arial" w:hAnsi="Arial"/>
          <w:sz w:val="16"/>
          <w:szCs w:val="16"/>
          <w:color w:val="auto"/>
        </w:rPr>
        <w:t>Rule 13d-1(d)</w:t>
      </w:r>
    </w:p>
    <w:p>
      <w:pPr>
        <w:spacing w:after="0" w:line="235" w:lineRule="exact"/>
        <w:rPr>
          <w:sz w:val="24"/>
          <w:szCs w:val="24"/>
          <w:color w:val="auto"/>
        </w:rPr>
      </w:pPr>
    </w:p>
    <w:p>
      <w:pPr>
        <w:ind w:right="40"/>
        <w:spacing w:after="0" w:line="260" w:lineRule="auto"/>
        <w:rPr>
          <w:sz w:val="20"/>
          <w:szCs w:val="20"/>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7" w:lineRule="exact"/>
        <w:rPr>
          <w:sz w:val="24"/>
          <w:szCs w:val="24"/>
          <w:color w:val="auto"/>
        </w:rPr>
      </w:pPr>
    </w:p>
    <w:p>
      <w:pPr>
        <w:spacing w:after="0" w:line="258" w:lineRule="auto"/>
        <w:rPr>
          <w:sz w:val="20"/>
          <w:szCs w:val="20"/>
          <w:color w:val="auto"/>
        </w:rPr>
      </w:pPr>
      <w:r>
        <w:rPr>
          <w:rFonts w:ascii="Arial" w:cs="Arial" w:eastAsia="Arial" w:hAnsi="Arial"/>
          <w:sz w:val="14"/>
          <w:szCs w:val="14"/>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60"/>
          </w:cols>
          <w:pgMar w:left="240" w:top="450" w:right="699" w:bottom="1440" w:gutter="0" w:footer="0" w:header="0"/>
        </w:sectPr>
      </w:pPr>
    </w:p>
    <w:bookmarkStart w:id="1" w:name="page2"/>
    <w:bookmarkEnd w:id="1"/>
    <w:p>
      <w:pPr>
        <w:ind w:left="980" w:right="7279" w:hanging="729"/>
        <w:spacing w:after="0" w:line="317" w:lineRule="auto"/>
        <w:tabs>
          <w:tab w:leader="none" w:pos="980" w:val="left"/>
        </w:tabs>
        <w:numPr>
          <w:ilvl w:val="0"/>
          <w:numId w:val="3"/>
        </w:numPr>
        <w:rPr>
          <w:rFonts w:ascii="Arial" w:cs="Arial" w:eastAsia="Arial" w:hAnsi="Arial"/>
          <w:sz w:val="15"/>
          <w:szCs w:val="15"/>
          <w:color w:val="auto"/>
        </w:rPr>
      </w:pPr>
      <w:r>
        <w:rPr>
          <w:rFonts w:ascii="Arial" w:cs="Arial" w:eastAsia="Arial" w:hAnsi="Arial"/>
          <w:sz w:val="15"/>
          <w:szCs w:val="15"/>
          <w:color w:val="auto"/>
        </w:rPr>
        <w:t>Names of Reporting Persons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-46355</wp:posOffset>
            </wp:positionV>
            <wp:extent cx="6629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29400" cy="8890"/>
                    </a:xfrm>
                    <a:prstGeom prst="rect">
                      <a:avLst/>
                    </a:prstGeom>
                    <a:noFill/>
                  </pic:spPr>
                </pic:pic>
              </a:graphicData>
            </a:graphic>
          </wp:anchor>
        </w:drawing>
      </w:r>
    </w:p>
    <w:p>
      <w:pPr>
        <w:spacing w:after="0" w:line="78" w:lineRule="exact"/>
        <w:rPr>
          <w:sz w:val="20"/>
          <w:szCs w:val="20"/>
          <w:color w:val="auto"/>
        </w:rPr>
      </w:pPr>
    </w:p>
    <w:p>
      <w:pPr>
        <w:ind w:left="980" w:hanging="729"/>
        <w:spacing w:after="0"/>
        <w:tabs>
          <w:tab w:leader="none" w:pos="980" w:val="left"/>
        </w:tabs>
        <w:numPr>
          <w:ilvl w:val="0"/>
          <w:numId w:val="4"/>
        </w:numPr>
        <w:rPr>
          <w:rFonts w:ascii="Arial" w:cs="Arial" w:eastAsia="Arial" w:hAnsi="Arial"/>
          <w:sz w:val="15"/>
          <w:szCs w:val="15"/>
          <w:color w:val="auto"/>
        </w:rPr>
      </w:pPr>
      <w:r>
        <w:rPr>
          <w:rFonts w:ascii="Arial" w:cs="Arial" w:eastAsia="Arial" w:hAnsi="Arial"/>
          <w:sz w:val="15"/>
          <w:szCs w:val="15"/>
          <w:color w:val="auto"/>
        </w:rPr>
        <w:t>Check the Appropriate Box if a Member of a Group</w:t>
      </w:r>
    </w:p>
    <w:p>
      <w:pPr>
        <w:spacing w:after="0" w:line="151" w:lineRule="exact"/>
        <w:rPr>
          <w:rFonts w:ascii="Arial" w:cs="Arial" w:eastAsia="Arial" w:hAnsi="Arial"/>
          <w:sz w:val="15"/>
          <w:szCs w:val="15"/>
          <w:color w:val="auto"/>
        </w:rPr>
      </w:pPr>
    </w:p>
    <w:p>
      <w:pPr>
        <w:ind w:left="2180" w:hanging="1200"/>
        <w:spacing w:after="0"/>
        <w:tabs>
          <w:tab w:leader="none" w:pos="2180" w:val="left"/>
        </w:tabs>
        <w:numPr>
          <w:ilvl w:val="1"/>
          <w:numId w:val="4"/>
        </w:numPr>
        <w:rPr>
          <w:rFonts w:ascii="Arial" w:cs="Arial" w:eastAsia="Arial" w:hAnsi="Arial"/>
          <w:sz w:val="15"/>
          <w:szCs w:val="15"/>
          <w:color w:val="auto"/>
        </w:rPr>
      </w:pPr>
      <w:r>
        <w:rPr>
          <w:rFonts w:ascii="Arial" w:cs="Arial" w:eastAsia="Arial" w:hAnsi="Arial"/>
          <w:sz w:val="15"/>
          <w:szCs w:val="15"/>
          <w:color w:val="auto"/>
        </w:rPr>
        <w:t>o</w:t>
      </w:r>
    </w:p>
    <w:p>
      <w:pPr>
        <w:spacing w:after="0" w:line="165" w:lineRule="exact"/>
        <w:rPr>
          <w:rFonts w:ascii="Arial" w:cs="Arial" w:eastAsia="Arial" w:hAnsi="Arial"/>
          <w:sz w:val="15"/>
          <w:szCs w:val="15"/>
          <w:color w:val="auto"/>
        </w:rPr>
      </w:pPr>
    </w:p>
    <w:p>
      <w:pPr>
        <w:ind w:left="2180" w:hanging="1200"/>
        <w:spacing w:after="0"/>
        <w:tabs>
          <w:tab w:leader="none" w:pos="2180" w:val="left"/>
        </w:tabs>
        <w:numPr>
          <w:ilvl w:val="1"/>
          <w:numId w:val="4"/>
        </w:numPr>
        <w:rPr>
          <w:rFonts w:ascii="Arial" w:cs="Arial" w:eastAsia="Arial" w:hAnsi="Arial"/>
          <w:sz w:val="15"/>
          <w:szCs w:val="15"/>
          <w:color w:val="auto"/>
        </w:rPr>
      </w:pPr>
      <w:r>
        <w:rPr>
          <w:rFonts w:ascii="Arial" w:cs="Arial" w:eastAsia="Arial" w:hAnsi="Arial"/>
          <w:sz w:val="15"/>
          <w:szCs w:val="15"/>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-3810</wp:posOffset>
            </wp:positionV>
            <wp:extent cx="58661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66130" cy="8890"/>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-218440</wp:posOffset>
            </wp:positionV>
            <wp:extent cx="58661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145" w:lineRule="exact"/>
        <w:rPr>
          <w:sz w:val="20"/>
          <w:szCs w:val="20"/>
          <w:color w:val="auto"/>
        </w:rPr>
      </w:pPr>
    </w:p>
    <w:p>
      <w:pPr>
        <w:ind w:left="980" w:hanging="729"/>
        <w:spacing w:after="0"/>
        <w:tabs>
          <w:tab w:leader="none" w:pos="980" w:val="left"/>
        </w:tabs>
        <w:numPr>
          <w:ilvl w:val="0"/>
          <w:numId w:val="5"/>
        </w:numPr>
        <w:rPr>
          <w:rFonts w:ascii="Arial" w:cs="Arial" w:eastAsia="Arial" w:hAnsi="Arial"/>
          <w:sz w:val="15"/>
          <w:szCs w:val="15"/>
          <w:color w:val="auto"/>
        </w:rPr>
      </w:pPr>
      <w:r>
        <w:rPr>
          <w:rFonts w:ascii="Arial" w:cs="Arial" w:eastAsia="Arial" w:hAnsi="Arial"/>
          <w:sz w:val="15"/>
          <w:szCs w:val="15"/>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-3810</wp:posOffset>
            </wp:positionV>
            <wp:extent cx="66294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29400" cy="8890"/>
                    </a:xfrm>
                    <a:prstGeom prst="rect">
                      <a:avLst/>
                    </a:prstGeom>
                    <a:noFill/>
                  </pic:spPr>
                </pic:pic>
              </a:graphicData>
            </a:graphic>
          </wp:anchor>
        </w:drawing>
      </w:r>
    </w:p>
    <w:p>
      <w:pPr>
        <w:spacing w:after="0" w:line="145" w:lineRule="exact"/>
        <w:rPr>
          <w:sz w:val="20"/>
          <w:szCs w:val="20"/>
          <w:color w:val="auto"/>
        </w:rPr>
      </w:pPr>
    </w:p>
    <w:p>
      <w:pPr>
        <w:ind w:left="980" w:right="6799" w:hanging="729"/>
        <w:spacing w:after="0" w:line="317" w:lineRule="auto"/>
        <w:tabs>
          <w:tab w:leader="none" w:pos="980" w:val="left"/>
        </w:tabs>
        <w:numPr>
          <w:ilvl w:val="0"/>
          <w:numId w:val="6"/>
        </w:numPr>
        <w:rPr>
          <w:rFonts w:ascii="Arial" w:cs="Arial" w:eastAsia="Arial" w:hAnsi="Arial"/>
          <w:sz w:val="15"/>
          <w:szCs w:val="15"/>
          <w:color w:val="auto"/>
        </w:rPr>
      </w:pPr>
      <w:r>
        <w:rPr>
          <w:rFonts w:ascii="Arial" w:cs="Arial" w:eastAsia="Arial" w:hAnsi="Arial"/>
          <w:sz w:val="15"/>
          <w:szCs w:val="15"/>
          <w:color w:val="auto"/>
        </w:rPr>
        <w:t>Citizenship or Place of Organization People’s Republic of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-46355</wp:posOffset>
            </wp:positionV>
            <wp:extent cx="66294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29400" cy="8890"/>
                    </a:xfrm>
                    <a:prstGeom prst="rect">
                      <a:avLst/>
                    </a:prstGeom>
                    <a:noFill/>
                  </pic:spPr>
                </pic:pic>
              </a:graphicData>
            </a:graphic>
          </wp:anchor>
        </w:drawing>
      </w:r>
    </w:p>
    <w:p>
      <w:pPr>
        <w:spacing w:after="0" w:line="105" w:lineRule="exact"/>
        <w:rPr>
          <w:sz w:val="20"/>
          <w:szCs w:val="20"/>
          <w:color w:val="auto"/>
        </w:rPr>
      </w:pPr>
    </w:p>
    <w:p>
      <w:pPr>
        <w:ind w:left="2700" w:hanging="783"/>
        <w:spacing w:after="0"/>
        <w:tabs>
          <w:tab w:leader="none" w:pos="2700" w:val="left"/>
        </w:tabs>
        <w:numPr>
          <w:ilvl w:val="0"/>
          <w:numId w:val="7"/>
        </w:numPr>
        <w:rPr>
          <w:rFonts w:ascii="Arial" w:cs="Arial" w:eastAsia="Arial" w:hAnsi="Arial"/>
          <w:sz w:val="15"/>
          <w:szCs w:val="15"/>
          <w:color w:val="auto"/>
        </w:rPr>
      </w:pPr>
      <w:r>
        <w:rPr>
          <w:rFonts w:ascii="Arial" w:cs="Arial" w:eastAsia="Arial" w:hAnsi="Arial"/>
          <w:sz w:val="15"/>
          <w:szCs w:val="15"/>
          <w:color w:val="auto"/>
        </w:rPr>
        <w:t>Sole Voting Power</w:t>
      </w:r>
    </w:p>
    <w:p>
      <w:pPr>
        <w:spacing w:after="0" w:line="30" w:lineRule="exact"/>
        <w:rPr>
          <w:rFonts w:ascii="Arial" w:cs="Arial" w:eastAsia="Arial" w:hAnsi="Arial"/>
          <w:sz w:val="15"/>
          <w:szCs w:val="15"/>
          <w:color w:val="auto"/>
        </w:rPr>
      </w:pPr>
    </w:p>
    <w:p>
      <w:pPr>
        <w:ind w:left="2700"/>
        <w:spacing w:after="0"/>
        <w:rPr>
          <w:rFonts w:ascii="Arial" w:cs="Arial" w:eastAsia="Arial" w:hAnsi="Arial"/>
          <w:sz w:val="15"/>
          <w:szCs w:val="15"/>
          <w:color w:val="auto"/>
        </w:rPr>
      </w:pPr>
      <w:r>
        <w:rPr>
          <w:rFonts w:ascii="Arial" w:cs="Arial" w:eastAsia="Arial" w:hAnsi="Arial"/>
          <w:sz w:val="15"/>
          <w:szCs w:val="15"/>
          <w:color w:val="auto"/>
        </w:rPr>
        <w:t>27,913 ordinary shares.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98425</wp:posOffset>
            </wp:positionV>
            <wp:extent cx="55486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8630" cy="8890"/>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Number of</w:t>
      </w:r>
    </w:p>
    <w:p>
      <w:pPr>
        <w:ind w:left="2700" w:hanging="783"/>
        <w:spacing w:after="0" w:line="225" w:lineRule="auto"/>
        <w:tabs>
          <w:tab w:leader="none" w:pos="2700" w:val="left"/>
        </w:tabs>
        <w:numPr>
          <w:ilvl w:val="0"/>
          <w:numId w:val="8"/>
        </w:numPr>
        <w:rPr>
          <w:rFonts w:ascii="Arial" w:cs="Arial" w:eastAsia="Arial" w:hAnsi="Arial"/>
          <w:sz w:val="15"/>
          <w:szCs w:val="15"/>
          <w:color w:val="auto"/>
        </w:rPr>
      </w:pPr>
      <w:r>
        <w:rPr>
          <w:rFonts w:ascii="Arial" w:cs="Arial" w:eastAsia="Arial" w:hAnsi="Arial"/>
          <w:sz w:val="15"/>
          <w:szCs w:val="15"/>
          <w:color w:val="auto"/>
        </w:rPr>
        <w:t>Shared Voting Power</w:t>
      </w:r>
    </w:p>
    <w:p>
      <w:pPr>
        <w:spacing w:after="0" w:line="226" w:lineRule="auto"/>
        <w:rPr>
          <w:sz w:val="20"/>
          <w:szCs w:val="20"/>
          <w:color w:val="auto"/>
        </w:rPr>
      </w:pPr>
      <w:r>
        <w:rPr>
          <w:rFonts w:ascii="Arial" w:cs="Arial" w:eastAsia="Arial" w:hAnsi="Arial"/>
          <w:sz w:val="15"/>
          <w:szCs w:val="15"/>
          <w:color w:val="auto"/>
        </w:rPr>
        <w:t>Shares</w:t>
      </w:r>
    </w:p>
    <w:p>
      <w:pPr>
        <w:ind w:left="2700"/>
        <w:spacing w:after="0"/>
        <w:rPr>
          <w:sz w:val="20"/>
          <w:szCs w:val="20"/>
          <w:color w:val="auto"/>
        </w:rPr>
      </w:pPr>
      <w:r>
        <w:rPr>
          <w:rFonts w:ascii="Arial" w:cs="Arial" w:eastAsia="Arial" w:hAnsi="Arial"/>
          <w:sz w:val="15"/>
          <w:szCs w:val="15"/>
          <w:color w:val="auto"/>
        </w:rPr>
        <w:t>2,357,943 ordinary shares. See Item 4.</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Beneficially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-12065</wp:posOffset>
            </wp:positionV>
            <wp:extent cx="55486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4863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Owned by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Each</w:t>
      </w:r>
    </w:p>
    <w:p>
      <w:pPr>
        <w:ind w:left="2700" w:hanging="783"/>
        <w:spacing w:after="0" w:line="225" w:lineRule="auto"/>
        <w:tabs>
          <w:tab w:leader="none" w:pos="2700" w:val="left"/>
        </w:tabs>
        <w:numPr>
          <w:ilvl w:val="0"/>
          <w:numId w:val="9"/>
        </w:numPr>
        <w:rPr>
          <w:rFonts w:ascii="Arial" w:cs="Arial" w:eastAsia="Arial" w:hAnsi="Arial"/>
          <w:sz w:val="15"/>
          <w:szCs w:val="15"/>
          <w:color w:val="auto"/>
        </w:rPr>
      </w:pPr>
      <w:r>
        <w:rPr>
          <w:rFonts w:ascii="Arial" w:cs="Arial" w:eastAsia="Arial" w:hAnsi="Arial"/>
          <w:sz w:val="15"/>
          <w:szCs w:val="15"/>
          <w:color w:val="auto"/>
        </w:rPr>
        <w:t>Sole Dispositive Power</w:t>
      </w:r>
    </w:p>
    <w:p>
      <w:pPr>
        <w:spacing w:after="0" w:line="226" w:lineRule="auto"/>
        <w:rPr>
          <w:sz w:val="20"/>
          <w:szCs w:val="20"/>
          <w:color w:val="auto"/>
        </w:rPr>
      </w:pPr>
      <w:r>
        <w:rPr>
          <w:rFonts w:ascii="Arial" w:cs="Arial" w:eastAsia="Arial" w:hAnsi="Arial"/>
          <w:sz w:val="15"/>
          <w:szCs w:val="15"/>
          <w:color w:val="auto"/>
        </w:rPr>
        <w:t>Reporting</w:t>
      </w:r>
    </w:p>
    <w:p>
      <w:pPr>
        <w:ind w:left="2700"/>
        <w:spacing w:after="0"/>
        <w:rPr>
          <w:sz w:val="20"/>
          <w:szCs w:val="20"/>
          <w:color w:val="auto"/>
        </w:rPr>
      </w:pPr>
      <w:r>
        <w:rPr>
          <w:rFonts w:ascii="Arial" w:cs="Arial" w:eastAsia="Arial" w:hAnsi="Arial"/>
          <w:sz w:val="15"/>
          <w:szCs w:val="15"/>
          <w:color w:val="auto"/>
        </w:rPr>
        <w:t>27,913 ordinary shares. See Item 4.</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Person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-12700</wp:posOffset>
            </wp:positionV>
            <wp:extent cx="55486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48630" cy="8890"/>
                    </a:xfrm>
                    <a:prstGeom prst="rect">
                      <a:avLst/>
                    </a:prstGeom>
                    <a:noFill/>
                  </pic:spPr>
                </pic:pic>
              </a:graphicData>
            </a:graphic>
          </wp:anchor>
        </w:drawing>
      </w:r>
    </w:p>
    <w:p>
      <w:pPr>
        <w:spacing w:after="0" w:line="294" w:lineRule="exact"/>
        <w:rPr>
          <w:sz w:val="20"/>
          <w:szCs w:val="20"/>
          <w:color w:val="auto"/>
        </w:rPr>
      </w:pPr>
    </w:p>
    <w:p>
      <w:pPr>
        <w:ind w:left="2700" w:hanging="783"/>
        <w:spacing w:after="0"/>
        <w:tabs>
          <w:tab w:leader="none" w:pos="27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Shared Dispositive Power</w:t>
      </w:r>
    </w:p>
    <w:p>
      <w:pPr>
        <w:spacing w:after="0" w:line="30" w:lineRule="exact"/>
        <w:rPr>
          <w:rFonts w:ascii="Arial" w:cs="Arial" w:eastAsia="Arial" w:hAnsi="Arial"/>
          <w:sz w:val="15"/>
          <w:szCs w:val="15"/>
          <w:color w:val="auto"/>
        </w:rPr>
      </w:pPr>
    </w:p>
    <w:p>
      <w:pPr>
        <w:ind w:left="2700"/>
        <w:spacing w:after="0"/>
        <w:rPr>
          <w:rFonts w:ascii="Arial" w:cs="Arial" w:eastAsia="Arial" w:hAnsi="Arial"/>
          <w:sz w:val="15"/>
          <w:szCs w:val="15"/>
          <w:color w:val="auto"/>
        </w:rPr>
      </w:pPr>
      <w:r>
        <w:rPr>
          <w:rFonts w:ascii="Arial" w:cs="Arial" w:eastAsia="Arial" w:hAnsi="Arial"/>
          <w:sz w:val="15"/>
          <w:szCs w:val="15"/>
          <w:color w:val="auto"/>
        </w:rPr>
        <w:t>2,357,943 ordinary shares.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98425</wp:posOffset>
            </wp:positionV>
            <wp:extent cx="55486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4863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980" w:right="4799" w:hanging="729"/>
        <w:spacing w:after="0" w:line="242" w:lineRule="auto"/>
        <w:tabs>
          <w:tab w:leader="none" w:pos="9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Aggregate Amount Beneficially Owned by Each Reporting Person 2,385,856 ordinary shares.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-12065</wp:posOffset>
            </wp:positionV>
            <wp:extent cx="66294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29400" cy="8890"/>
                    </a:xfrm>
                    <a:prstGeom prst="rect">
                      <a:avLst/>
                    </a:prstGeom>
                    <a:noFill/>
                  </pic:spPr>
                </pic:pic>
              </a:graphicData>
            </a:graphic>
          </wp:anchor>
        </w:drawing>
      </w:r>
    </w:p>
    <w:p>
      <w:pPr>
        <w:spacing w:after="0" w:line="132" w:lineRule="exact"/>
        <w:rPr>
          <w:sz w:val="20"/>
          <w:szCs w:val="20"/>
          <w:color w:val="auto"/>
        </w:rPr>
      </w:pPr>
    </w:p>
    <w:p>
      <w:pPr>
        <w:ind w:left="980" w:hanging="729"/>
        <w:spacing w:after="0"/>
        <w:tabs>
          <w:tab w:leader="none" w:pos="9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Check if the Aggregate Amount in Row (9) Excludes Certain Shares o</w:t>
      </w:r>
    </w:p>
    <w:p>
      <w:pPr>
        <w:spacing w:after="0" w:line="165" w:lineRule="exact"/>
        <w:rPr>
          <w:rFonts w:ascii="Arial" w:cs="Arial" w:eastAsia="Arial" w:hAnsi="Arial"/>
          <w:sz w:val="15"/>
          <w:szCs w:val="15"/>
          <w:color w:val="auto"/>
        </w:rPr>
      </w:pPr>
    </w:p>
    <w:p>
      <w:pPr>
        <w:ind w:left="980" w:right="5679" w:hanging="729"/>
        <w:spacing w:after="0" w:line="242" w:lineRule="auto"/>
        <w:tabs>
          <w:tab w:leader="none" w:pos="9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Percent of Class Represented by Amount in Row (9) 8.3%. See Item 4.</w:t>
      </w:r>
    </w:p>
    <w:p>
      <w:pPr>
        <w:spacing w:after="0" w:line="141" w:lineRule="exact"/>
        <w:rPr>
          <w:rFonts w:ascii="Arial" w:cs="Arial" w:eastAsia="Arial" w:hAnsi="Arial"/>
          <w:sz w:val="15"/>
          <w:szCs w:val="15"/>
          <w:color w:val="auto"/>
        </w:rPr>
      </w:pPr>
    </w:p>
    <w:p>
      <w:pPr>
        <w:ind w:left="980" w:hanging="729"/>
        <w:spacing w:after="0"/>
        <w:tabs>
          <w:tab w:leader="none" w:pos="9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Type of Reporting Person</w:t>
      </w:r>
    </w:p>
    <w:p>
      <w:pPr>
        <w:ind w:left="980"/>
        <w:spacing w:after="0"/>
        <w:rPr>
          <w:rFonts w:ascii="Arial" w:cs="Arial" w:eastAsia="Arial" w:hAnsi="Arial"/>
          <w:sz w:val="15"/>
          <w:szCs w:val="15"/>
          <w:color w:val="auto"/>
        </w:rPr>
      </w:pPr>
      <w:r>
        <w:rPr>
          <w:rFonts w:ascii="Arial" w:cs="Arial" w:eastAsia="Arial" w:hAnsi="Arial"/>
          <w:sz w:val="15"/>
          <w:szCs w:val="15"/>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-3810</wp:posOffset>
            </wp:positionV>
            <wp:extent cx="66294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2940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-321310</wp:posOffset>
            </wp:positionV>
            <wp:extent cx="6629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2940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-638175</wp:posOffset>
            </wp:positionV>
            <wp:extent cx="66294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29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ind w:right="44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66" w:right="1440" w:bottom="1440" w:gutter="0" w:footer="0" w:header="0"/>
        </w:sectPr>
      </w:pPr>
    </w:p>
    <w:bookmarkStart w:id="2" w:name="page3"/>
    <w:bookmarkEnd w:id="2"/>
    <w:p>
      <w:pPr>
        <w:ind w:left="980" w:right="7399" w:hanging="729"/>
        <w:spacing w:after="0" w:line="338" w:lineRule="auto"/>
        <w:tabs>
          <w:tab w:leader="none" w:pos="9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Names of Reporting Persons Igomax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-50165</wp:posOffset>
            </wp:positionV>
            <wp:extent cx="66294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29400" cy="8890"/>
                    </a:xfrm>
                    <a:prstGeom prst="rect">
                      <a:avLst/>
                    </a:prstGeom>
                    <a:noFill/>
                  </pic:spPr>
                </pic:pic>
              </a:graphicData>
            </a:graphic>
          </wp:anchor>
        </w:drawing>
      </w:r>
    </w:p>
    <w:p>
      <w:pPr>
        <w:spacing w:after="0" w:line="80" w:lineRule="exact"/>
        <w:rPr>
          <w:sz w:val="20"/>
          <w:szCs w:val="20"/>
          <w:color w:val="auto"/>
        </w:rPr>
      </w:pPr>
    </w:p>
    <w:p>
      <w:pPr>
        <w:ind w:left="980" w:hanging="729"/>
        <w:spacing w:after="0"/>
        <w:tabs>
          <w:tab w:leader="none" w:pos="9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Check the Appropriate Box if a Member of a Group</w:t>
      </w:r>
    </w:p>
    <w:p>
      <w:pPr>
        <w:spacing w:after="0" w:line="163" w:lineRule="exact"/>
        <w:rPr>
          <w:rFonts w:ascii="Arial" w:cs="Arial" w:eastAsia="Arial" w:hAnsi="Arial"/>
          <w:sz w:val="14"/>
          <w:szCs w:val="14"/>
          <w:color w:val="auto"/>
        </w:rPr>
      </w:pPr>
    </w:p>
    <w:p>
      <w:pPr>
        <w:ind w:left="2180" w:hanging="1200"/>
        <w:spacing w:after="0"/>
        <w:tabs>
          <w:tab w:leader="none" w:pos="2180" w:val="left"/>
        </w:tabs>
        <w:numPr>
          <w:ilvl w:val="1"/>
          <w:numId w:val="14"/>
        </w:numPr>
        <w:rPr>
          <w:rFonts w:ascii="Arial" w:cs="Arial" w:eastAsia="Arial" w:hAnsi="Arial"/>
          <w:sz w:val="14"/>
          <w:szCs w:val="14"/>
          <w:color w:val="auto"/>
        </w:rPr>
      </w:pPr>
      <w:r>
        <w:rPr>
          <w:rFonts w:ascii="Arial" w:cs="Arial" w:eastAsia="Arial" w:hAnsi="Arial"/>
          <w:sz w:val="14"/>
          <w:szCs w:val="14"/>
          <w:color w:val="auto"/>
        </w:rPr>
        <w:t>o</w:t>
      </w:r>
    </w:p>
    <w:p>
      <w:pPr>
        <w:spacing w:after="0" w:line="176" w:lineRule="exact"/>
        <w:rPr>
          <w:rFonts w:ascii="Arial" w:cs="Arial" w:eastAsia="Arial" w:hAnsi="Arial"/>
          <w:sz w:val="14"/>
          <w:szCs w:val="14"/>
          <w:color w:val="auto"/>
        </w:rPr>
      </w:pPr>
    </w:p>
    <w:p>
      <w:pPr>
        <w:ind w:left="2180" w:hanging="1200"/>
        <w:spacing w:after="0"/>
        <w:tabs>
          <w:tab w:leader="none" w:pos="2180" w:val="left"/>
        </w:tabs>
        <w:numPr>
          <w:ilvl w:val="1"/>
          <w:numId w:val="14"/>
        </w:numPr>
        <w:rPr>
          <w:rFonts w:ascii="Arial" w:cs="Arial" w:eastAsia="Arial" w:hAnsi="Arial"/>
          <w:sz w:val="14"/>
          <w:szCs w:val="14"/>
          <w:color w:val="auto"/>
        </w:rPr>
      </w:pP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-1905</wp:posOffset>
            </wp:positionV>
            <wp:extent cx="58661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66130" cy="8890"/>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-215900</wp:posOffset>
            </wp:positionV>
            <wp:extent cx="58661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157" w:lineRule="exact"/>
        <w:rPr>
          <w:sz w:val="20"/>
          <w:szCs w:val="20"/>
          <w:color w:val="auto"/>
        </w:rPr>
      </w:pPr>
    </w:p>
    <w:p>
      <w:pPr>
        <w:ind w:left="980" w:hanging="729"/>
        <w:spacing w:after="0"/>
        <w:tabs>
          <w:tab w:leader="none" w:pos="9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-1905</wp:posOffset>
            </wp:positionV>
            <wp:extent cx="66294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29400" cy="8890"/>
                    </a:xfrm>
                    <a:prstGeom prst="rect">
                      <a:avLst/>
                    </a:prstGeom>
                    <a:noFill/>
                  </pic:spPr>
                </pic:pic>
              </a:graphicData>
            </a:graphic>
          </wp:anchor>
        </w:drawing>
      </w:r>
    </w:p>
    <w:p>
      <w:pPr>
        <w:spacing w:after="0" w:line="157" w:lineRule="exact"/>
        <w:rPr>
          <w:sz w:val="20"/>
          <w:szCs w:val="20"/>
          <w:color w:val="auto"/>
        </w:rPr>
      </w:pPr>
    </w:p>
    <w:p>
      <w:pPr>
        <w:ind w:left="980" w:right="6959" w:hanging="729"/>
        <w:spacing w:after="0" w:line="338" w:lineRule="auto"/>
        <w:tabs>
          <w:tab w:leader="none" w:pos="9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Citizenship or Place of Organization British Virgin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-50165</wp:posOffset>
            </wp:positionV>
            <wp:extent cx="66294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29400" cy="8890"/>
                    </a:xfrm>
                    <a:prstGeom prst="rect">
                      <a:avLst/>
                    </a:prstGeom>
                    <a:noFill/>
                  </pic:spPr>
                </pic:pic>
              </a:graphicData>
            </a:graphic>
          </wp:anchor>
        </w:drawing>
      </w:r>
    </w:p>
    <w:p>
      <w:pPr>
        <w:spacing w:after="0" w:line="94" w:lineRule="exact"/>
        <w:rPr>
          <w:sz w:val="20"/>
          <w:szCs w:val="20"/>
          <w:color w:val="auto"/>
        </w:rPr>
      </w:pPr>
    </w:p>
    <w:p>
      <w:pPr>
        <w:ind w:left="2700" w:right="6339" w:hanging="781"/>
        <w:spacing w:after="0" w:line="318" w:lineRule="auto"/>
        <w:tabs>
          <w:tab w:leader="none" w:pos="27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52070</wp:posOffset>
            </wp:positionV>
            <wp:extent cx="55486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48630" cy="8890"/>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color w:val="auto"/>
        </w:rPr>
        <w:t>Number of</w:t>
      </w:r>
    </w:p>
    <w:p>
      <w:pPr>
        <w:ind w:left="2700" w:hanging="781"/>
        <w:spacing w:after="0" w:line="221" w:lineRule="auto"/>
        <w:tabs>
          <w:tab w:leader="none" w:pos="2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Shared Voting Power</w:t>
      </w:r>
    </w:p>
    <w:p>
      <w:pPr>
        <w:spacing w:after="0" w:line="221" w:lineRule="auto"/>
        <w:rPr>
          <w:sz w:val="20"/>
          <w:szCs w:val="20"/>
          <w:color w:val="auto"/>
        </w:rPr>
      </w:pPr>
      <w:r>
        <w:rPr>
          <w:rFonts w:ascii="Arial" w:cs="Arial" w:eastAsia="Arial" w:hAnsi="Arial"/>
          <w:sz w:val="14"/>
          <w:szCs w:val="14"/>
          <w:color w:val="auto"/>
        </w:rPr>
        <w:t>Shares</w:t>
      </w:r>
    </w:p>
    <w:p>
      <w:pPr>
        <w:spacing w:after="0" w:line="1" w:lineRule="exact"/>
        <w:rPr>
          <w:sz w:val="20"/>
          <w:szCs w:val="20"/>
          <w:color w:val="auto"/>
        </w:rPr>
      </w:pPr>
    </w:p>
    <w:p>
      <w:pPr>
        <w:ind w:left="2700"/>
        <w:spacing w:after="0"/>
        <w:rPr>
          <w:sz w:val="20"/>
          <w:szCs w:val="20"/>
          <w:color w:val="auto"/>
        </w:rPr>
      </w:pPr>
      <w:r>
        <w:rPr>
          <w:rFonts w:ascii="Arial" w:cs="Arial" w:eastAsia="Arial" w:hAnsi="Arial"/>
          <w:sz w:val="14"/>
          <w:szCs w:val="14"/>
          <w:color w:val="auto"/>
        </w:rPr>
        <w:t>2,357,943 ordinary shares. See Item 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Beneficially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-10160</wp:posOffset>
            </wp:positionV>
            <wp:extent cx="55486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48630" cy="889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Owned by</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Each</w:t>
      </w:r>
    </w:p>
    <w:p>
      <w:pPr>
        <w:ind w:left="2700" w:hanging="781"/>
        <w:spacing w:after="0" w:line="221" w:lineRule="auto"/>
        <w:tabs>
          <w:tab w:leader="none" w:pos="2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Sole Dispositive Power</w:t>
      </w:r>
    </w:p>
    <w:p>
      <w:pPr>
        <w:spacing w:after="0" w:line="221" w:lineRule="auto"/>
        <w:rPr>
          <w:sz w:val="20"/>
          <w:szCs w:val="20"/>
          <w:color w:val="auto"/>
        </w:rPr>
      </w:pPr>
      <w:r>
        <w:rPr>
          <w:rFonts w:ascii="Arial" w:cs="Arial" w:eastAsia="Arial" w:hAnsi="Arial"/>
          <w:sz w:val="14"/>
          <w:szCs w:val="14"/>
          <w:color w:val="auto"/>
        </w:rPr>
        <w:t>Reporting</w:t>
      </w:r>
    </w:p>
    <w:p>
      <w:pPr>
        <w:spacing w:after="0" w:line="1" w:lineRule="exact"/>
        <w:rPr>
          <w:sz w:val="20"/>
          <w:szCs w:val="20"/>
          <w:color w:val="auto"/>
        </w:rPr>
      </w:pPr>
    </w:p>
    <w:p>
      <w:pPr>
        <w:ind w:left="2700"/>
        <w:spacing w:after="0"/>
        <w:rPr>
          <w:sz w:val="20"/>
          <w:szCs w:val="20"/>
          <w:color w:val="auto"/>
        </w:rPr>
      </w:pPr>
      <w:r>
        <w:rPr>
          <w:rFonts w:ascii="Arial" w:cs="Arial" w:eastAsia="Arial" w:hAnsi="Arial"/>
          <w:sz w:val="14"/>
          <w:szCs w:val="14"/>
          <w:color w:val="auto"/>
        </w:rPr>
        <w:t>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Person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-10160</wp:posOffset>
            </wp:positionV>
            <wp:extent cx="55486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48630" cy="8890"/>
                    </a:xfrm>
                    <a:prstGeom prst="rect">
                      <a:avLst/>
                    </a:prstGeom>
                    <a:noFill/>
                  </pic:spPr>
                </pic:pic>
              </a:graphicData>
            </a:graphic>
          </wp:anchor>
        </w:drawing>
      </w:r>
    </w:p>
    <w:p>
      <w:pPr>
        <w:spacing w:after="0" w:line="305" w:lineRule="exact"/>
        <w:rPr>
          <w:sz w:val="20"/>
          <w:szCs w:val="20"/>
          <w:color w:val="auto"/>
        </w:rPr>
      </w:pPr>
    </w:p>
    <w:p>
      <w:pPr>
        <w:ind w:left="2700" w:hanging="781"/>
        <w:spacing w:after="0"/>
        <w:tabs>
          <w:tab w:leader="none" w:pos="27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Shared Dispositive Power</w:t>
      </w:r>
    </w:p>
    <w:p>
      <w:pPr>
        <w:spacing w:after="0" w:line="41" w:lineRule="exact"/>
        <w:rPr>
          <w:rFonts w:ascii="Arial" w:cs="Arial" w:eastAsia="Arial" w:hAnsi="Arial"/>
          <w:sz w:val="14"/>
          <w:szCs w:val="14"/>
          <w:color w:val="auto"/>
        </w:rPr>
      </w:pPr>
    </w:p>
    <w:p>
      <w:pPr>
        <w:ind w:left="2700"/>
        <w:spacing w:after="0"/>
        <w:rPr>
          <w:rFonts w:ascii="Arial" w:cs="Arial" w:eastAsia="Arial" w:hAnsi="Arial"/>
          <w:sz w:val="14"/>
          <w:szCs w:val="14"/>
          <w:color w:val="auto"/>
        </w:rPr>
      </w:pPr>
      <w:r>
        <w:rPr>
          <w:rFonts w:ascii="Arial" w:cs="Arial" w:eastAsia="Arial" w:hAnsi="Arial"/>
          <w:sz w:val="14"/>
          <w:szCs w:val="14"/>
          <w:color w:val="auto"/>
        </w:rPr>
        <w:t>2,357,943 ordinary shares.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92075</wp:posOffset>
            </wp:positionV>
            <wp:extent cx="55486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4863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980" w:right="5059" w:hanging="729"/>
        <w:spacing w:after="0" w:line="258" w:lineRule="auto"/>
        <w:tabs>
          <w:tab w:leader="none" w:pos="9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Aggregate Amount Beneficially Owned by Each Reporting Person 2,357,943 ordinary shares.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-16510</wp:posOffset>
            </wp:positionV>
            <wp:extent cx="66294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29400" cy="8890"/>
                    </a:xfrm>
                    <a:prstGeom prst="rect">
                      <a:avLst/>
                    </a:prstGeom>
                    <a:noFill/>
                  </pic:spPr>
                </pic:pic>
              </a:graphicData>
            </a:graphic>
          </wp:anchor>
        </w:drawing>
      </w:r>
    </w:p>
    <w:p>
      <w:pPr>
        <w:spacing w:after="0" w:line="134" w:lineRule="exact"/>
        <w:rPr>
          <w:sz w:val="20"/>
          <w:szCs w:val="20"/>
          <w:color w:val="auto"/>
        </w:rPr>
      </w:pPr>
    </w:p>
    <w:p>
      <w:pPr>
        <w:ind w:left="980" w:hanging="729"/>
        <w:spacing w:after="0"/>
        <w:tabs>
          <w:tab w:leader="none" w:pos="9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Check if the Aggregate Amount in Row (9) Excludes Certain Shares o</w:t>
      </w:r>
    </w:p>
    <w:p>
      <w:pPr>
        <w:spacing w:after="0" w:line="176" w:lineRule="exact"/>
        <w:rPr>
          <w:rFonts w:ascii="Arial" w:cs="Arial" w:eastAsia="Arial" w:hAnsi="Arial"/>
          <w:sz w:val="14"/>
          <w:szCs w:val="14"/>
          <w:color w:val="auto"/>
        </w:rPr>
      </w:pPr>
    </w:p>
    <w:p>
      <w:pPr>
        <w:ind w:left="980" w:right="5899" w:hanging="729"/>
        <w:spacing w:after="0" w:line="258" w:lineRule="auto"/>
        <w:tabs>
          <w:tab w:leader="none" w:pos="9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Percent of Class Represented by Amount in Row (9) 8.2%. See Item 4.</w:t>
      </w:r>
    </w:p>
    <w:p>
      <w:pPr>
        <w:spacing w:after="0" w:line="153" w:lineRule="exact"/>
        <w:rPr>
          <w:rFonts w:ascii="Arial" w:cs="Arial" w:eastAsia="Arial" w:hAnsi="Arial"/>
          <w:sz w:val="14"/>
          <w:szCs w:val="14"/>
          <w:color w:val="auto"/>
        </w:rPr>
      </w:pPr>
    </w:p>
    <w:p>
      <w:pPr>
        <w:ind w:left="980" w:hanging="729"/>
        <w:spacing w:after="0"/>
        <w:tabs>
          <w:tab w:leader="none" w:pos="9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Type of Reporting Person</w:t>
      </w:r>
    </w:p>
    <w:p>
      <w:pPr>
        <w:spacing w:after="0" w:line="1" w:lineRule="exact"/>
        <w:rPr>
          <w:rFonts w:ascii="Arial" w:cs="Arial" w:eastAsia="Arial" w:hAnsi="Arial"/>
          <w:sz w:val="14"/>
          <w:szCs w:val="14"/>
          <w:color w:val="auto"/>
        </w:rPr>
      </w:pPr>
    </w:p>
    <w:p>
      <w:pPr>
        <w:ind w:left="980"/>
        <w:spacing w:after="0"/>
        <w:rPr>
          <w:rFonts w:ascii="Arial" w:cs="Arial" w:eastAsia="Arial" w:hAnsi="Arial"/>
          <w:sz w:val="14"/>
          <w:szCs w:val="14"/>
          <w:color w:val="auto"/>
        </w:rPr>
      </w:pPr>
      <w:r>
        <w:rPr>
          <w:rFonts w:ascii="Arial" w:cs="Arial" w:eastAsia="Arial" w:hAnsi="Arial"/>
          <w:sz w:val="14"/>
          <w:szCs w:val="14"/>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-1905</wp:posOffset>
            </wp:positionV>
            <wp:extent cx="66294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2940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-318770</wp:posOffset>
            </wp:positionV>
            <wp:extent cx="66294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2940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-636270</wp:posOffset>
            </wp:positionV>
            <wp:extent cx="66294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29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44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522"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2"/>
        </w:trPr>
        <w:tc>
          <w:tcPr>
            <w:tcW w:w="1100" w:type="dxa"/>
            <w:vAlign w:val="bottom"/>
          </w:tcPr>
          <w:p>
            <w:pPr>
              <w:spacing w:after="0"/>
              <w:rPr>
                <w:sz w:val="20"/>
                <w:szCs w:val="20"/>
                <w:color w:val="auto"/>
              </w:rPr>
            </w:pPr>
            <w:r>
              <w:rPr>
                <w:rFonts w:ascii="Arial" w:cs="Arial" w:eastAsia="Arial" w:hAnsi="Arial"/>
                <w:sz w:val="14"/>
                <w:szCs w:val="14"/>
                <w:b w:val="1"/>
                <w:bCs w:val="1"/>
                <w:color w:val="auto"/>
              </w:rPr>
              <w:t>Item 1(a).</w:t>
            </w:r>
          </w:p>
        </w:tc>
        <w:tc>
          <w:tcPr>
            <w:tcW w:w="10320" w:type="dxa"/>
            <w:vAlign w:val="bottom"/>
            <w:gridSpan w:val="8"/>
          </w:tcPr>
          <w:p>
            <w:pPr>
              <w:spacing w:after="0"/>
              <w:rPr>
                <w:sz w:val="20"/>
                <w:szCs w:val="20"/>
                <w:color w:val="auto"/>
              </w:rPr>
            </w:pPr>
            <w:r>
              <w:rPr>
                <w:rFonts w:ascii="Arial" w:cs="Arial" w:eastAsia="Arial" w:hAnsi="Arial"/>
                <w:sz w:val="14"/>
                <w:szCs w:val="14"/>
                <w:b w:val="1"/>
                <w:bCs w:val="1"/>
                <w:color w:val="auto"/>
              </w:rPr>
              <w:t>Name of Issuer:</w:t>
            </w:r>
          </w:p>
        </w:tc>
        <w:tc>
          <w:tcPr>
            <w:tcW w:w="20" w:type="dxa"/>
            <w:vAlign w:val="bottom"/>
          </w:tcPr>
          <w:p>
            <w:pPr>
              <w:spacing w:after="0"/>
              <w:rPr>
                <w:sz w:val="14"/>
                <w:szCs w:val="14"/>
                <w:color w:val="auto"/>
              </w:rPr>
            </w:pPr>
          </w:p>
        </w:tc>
      </w:tr>
      <w:tr>
        <w:trPr>
          <w:trHeight w:val="20"/>
        </w:trPr>
        <w:tc>
          <w:tcPr>
            <w:tcW w:w="1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1100" w:type="dxa"/>
            <w:vAlign w:val="bottom"/>
          </w:tcPr>
          <w:p>
            <w:pPr>
              <w:spacing w:after="0"/>
              <w:rPr>
                <w:sz w:val="14"/>
                <w:szCs w:val="14"/>
                <w:color w:val="auto"/>
              </w:rPr>
            </w:pPr>
          </w:p>
        </w:tc>
        <w:tc>
          <w:tcPr>
            <w:tcW w:w="10320" w:type="dxa"/>
            <w:vAlign w:val="bottom"/>
            <w:gridSpan w:val="8"/>
          </w:tcPr>
          <w:p>
            <w:pPr>
              <w:spacing w:after="0"/>
              <w:rPr>
                <w:sz w:val="20"/>
                <w:szCs w:val="20"/>
                <w:color w:val="auto"/>
              </w:rPr>
            </w:pPr>
            <w:r>
              <w:rPr>
                <w:rFonts w:ascii="Arial" w:cs="Arial" w:eastAsia="Arial" w:hAnsi="Arial"/>
                <w:sz w:val="14"/>
                <w:szCs w:val="14"/>
                <w:color w:val="auto"/>
              </w:rPr>
              <w:t>iClick Interactive Asia Group Limited (the “Issuer”)</w:t>
            </w:r>
          </w:p>
        </w:tc>
        <w:tc>
          <w:tcPr>
            <w:tcW w:w="20" w:type="dxa"/>
            <w:vAlign w:val="bottom"/>
          </w:tcPr>
          <w:p>
            <w:pPr>
              <w:spacing w:after="0"/>
              <w:rPr>
                <w:sz w:val="14"/>
                <w:szCs w:val="14"/>
                <w:color w:val="auto"/>
              </w:rPr>
            </w:pPr>
          </w:p>
        </w:tc>
      </w:tr>
      <w:tr>
        <w:trPr>
          <w:trHeight w:val="66"/>
        </w:trPr>
        <w:tc>
          <w:tcPr>
            <w:tcW w:w="110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520" w:type="dxa"/>
            <w:vAlign w:val="bottom"/>
            <w:tcBorders>
              <w:bottom w:val="single" w:sz="8" w:color="auto"/>
            </w:tcBorders>
          </w:tcPr>
          <w:p>
            <w:pPr>
              <w:spacing w:after="0"/>
              <w:rPr>
                <w:sz w:val="5"/>
                <w:szCs w:val="5"/>
                <w:color w:val="auto"/>
              </w:rPr>
            </w:pPr>
          </w:p>
        </w:tc>
        <w:tc>
          <w:tcPr>
            <w:tcW w:w="27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23"/>
        </w:trPr>
        <w:tc>
          <w:tcPr>
            <w:tcW w:w="1100" w:type="dxa"/>
            <w:vAlign w:val="bottom"/>
          </w:tcPr>
          <w:p>
            <w:pPr>
              <w:spacing w:after="0"/>
              <w:rPr>
                <w:sz w:val="20"/>
                <w:szCs w:val="20"/>
                <w:color w:val="auto"/>
              </w:rPr>
            </w:pPr>
            <w:r>
              <w:rPr>
                <w:rFonts w:ascii="Arial" w:cs="Arial" w:eastAsia="Arial" w:hAnsi="Arial"/>
                <w:sz w:val="14"/>
                <w:szCs w:val="14"/>
                <w:b w:val="1"/>
                <w:bCs w:val="1"/>
                <w:color w:val="auto"/>
              </w:rPr>
              <w:t>Item 1(b).</w:t>
            </w:r>
          </w:p>
        </w:tc>
        <w:tc>
          <w:tcPr>
            <w:tcW w:w="10320" w:type="dxa"/>
            <w:vAlign w:val="bottom"/>
            <w:gridSpan w:val="8"/>
          </w:tcPr>
          <w:p>
            <w:pPr>
              <w:spacing w:after="0"/>
              <w:rPr>
                <w:sz w:val="20"/>
                <w:szCs w:val="20"/>
                <w:color w:val="auto"/>
              </w:rPr>
            </w:pPr>
            <w:r>
              <w:rPr>
                <w:rFonts w:ascii="Arial" w:cs="Arial" w:eastAsia="Arial" w:hAnsi="Arial"/>
                <w:sz w:val="14"/>
                <w:szCs w:val="14"/>
                <w:b w:val="1"/>
                <w:bCs w:val="1"/>
                <w:color w:val="auto"/>
              </w:rPr>
              <w:t>Address of Issuer’s Principal Executive Offices:</w:t>
            </w:r>
          </w:p>
        </w:tc>
        <w:tc>
          <w:tcPr>
            <w:tcW w:w="20" w:type="dxa"/>
            <w:vAlign w:val="bottom"/>
          </w:tcPr>
          <w:p>
            <w:pPr>
              <w:spacing w:after="0"/>
              <w:rPr>
                <w:sz w:val="19"/>
                <w:szCs w:val="19"/>
                <w:color w:val="auto"/>
              </w:rPr>
            </w:pPr>
          </w:p>
        </w:tc>
      </w:tr>
      <w:tr>
        <w:trPr>
          <w:trHeight w:val="160"/>
        </w:trPr>
        <w:tc>
          <w:tcPr>
            <w:tcW w:w="1100" w:type="dxa"/>
            <w:vAlign w:val="bottom"/>
          </w:tcPr>
          <w:p>
            <w:pPr>
              <w:spacing w:after="0"/>
              <w:rPr>
                <w:sz w:val="13"/>
                <w:szCs w:val="13"/>
                <w:color w:val="auto"/>
              </w:rPr>
            </w:pPr>
          </w:p>
        </w:tc>
        <w:tc>
          <w:tcPr>
            <w:tcW w:w="3220" w:type="dxa"/>
            <w:vAlign w:val="bottom"/>
            <w:tcBorders>
              <w:top w:val="single" w:sz="8" w:color="auto"/>
            </w:tcBorders>
            <w:gridSpan w:val="5"/>
          </w:tcPr>
          <w:p>
            <w:pPr>
              <w:spacing w:after="0"/>
              <w:rPr>
                <w:sz w:val="20"/>
                <w:szCs w:val="20"/>
                <w:color w:val="auto"/>
              </w:rPr>
            </w:pPr>
            <w:r>
              <w:rPr>
                <w:rFonts w:ascii="Arial" w:cs="Arial" w:eastAsia="Arial" w:hAnsi="Arial"/>
                <w:sz w:val="14"/>
                <w:szCs w:val="14"/>
                <w:color w:val="auto"/>
              </w:rPr>
              <w:t>15/F, Prosperity Millennia Plaza</w:t>
            </w:r>
          </w:p>
        </w:tc>
        <w:tc>
          <w:tcPr>
            <w:tcW w:w="7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1100" w:type="dxa"/>
            <w:vAlign w:val="bottom"/>
          </w:tcPr>
          <w:p>
            <w:pPr>
              <w:spacing w:after="0"/>
              <w:rPr>
                <w:sz w:val="14"/>
                <w:szCs w:val="14"/>
                <w:color w:val="auto"/>
              </w:rPr>
            </w:pPr>
          </w:p>
        </w:tc>
        <w:tc>
          <w:tcPr>
            <w:tcW w:w="10320" w:type="dxa"/>
            <w:vAlign w:val="bottom"/>
            <w:gridSpan w:val="8"/>
          </w:tcPr>
          <w:p>
            <w:pPr>
              <w:spacing w:after="0"/>
              <w:rPr>
                <w:sz w:val="20"/>
                <w:szCs w:val="20"/>
                <w:color w:val="auto"/>
              </w:rPr>
            </w:pPr>
            <w:r>
              <w:rPr>
                <w:rFonts w:ascii="Arial" w:cs="Arial" w:eastAsia="Arial" w:hAnsi="Arial"/>
                <w:sz w:val="14"/>
                <w:szCs w:val="14"/>
                <w:color w:val="auto"/>
              </w:rPr>
              <w:t>663 King’s Road, Quarry Bay</w:t>
            </w:r>
          </w:p>
        </w:tc>
        <w:tc>
          <w:tcPr>
            <w:tcW w:w="20" w:type="dxa"/>
            <w:vAlign w:val="bottom"/>
          </w:tcPr>
          <w:p>
            <w:pPr>
              <w:spacing w:after="0"/>
              <w:rPr>
                <w:sz w:val="14"/>
                <w:szCs w:val="14"/>
                <w:color w:val="auto"/>
              </w:rPr>
            </w:pPr>
          </w:p>
        </w:tc>
      </w:tr>
      <w:tr>
        <w:trPr>
          <w:trHeight w:val="172"/>
        </w:trPr>
        <w:tc>
          <w:tcPr>
            <w:tcW w:w="1100" w:type="dxa"/>
            <w:vAlign w:val="bottom"/>
          </w:tcPr>
          <w:p>
            <w:pPr>
              <w:spacing w:after="0"/>
              <w:rPr>
                <w:sz w:val="14"/>
                <w:szCs w:val="14"/>
                <w:color w:val="auto"/>
              </w:rPr>
            </w:pPr>
          </w:p>
        </w:tc>
        <w:tc>
          <w:tcPr>
            <w:tcW w:w="10320" w:type="dxa"/>
            <w:vAlign w:val="bottom"/>
            <w:gridSpan w:val="8"/>
          </w:tcPr>
          <w:p>
            <w:pPr>
              <w:spacing w:after="0"/>
              <w:rPr>
                <w:sz w:val="20"/>
                <w:szCs w:val="20"/>
                <w:color w:val="auto"/>
              </w:rPr>
            </w:pPr>
            <w:r>
              <w:rPr>
                <w:rFonts w:ascii="Arial" w:cs="Arial" w:eastAsia="Arial" w:hAnsi="Arial"/>
                <w:sz w:val="14"/>
                <w:szCs w:val="14"/>
                <w:color w:val="auto"/>
              </w:rPr>
              <w:t>Hong Kong S.A.R.</w:t>
            </w:r>
          </w:p>
        </w:tc>
        <w:tc>
          <w:tcPr>
            <w:tcW w:w="20" w:type="dxa"/>
            <w:vAlign w:val="bottom"/>
          </w:tcPr>
          <w:p>
            <w:pPr>
              <w:spacing w:after="0"/>
              <w:rPr>
                <w:sz w:val="14"/>
                <w:szCs w:val="14"/>
                <w:color w:val="auto"/>
              </w:rPr>
            </w:pPr>
          </w:p>
        </w:tc>
      </w:tr>
      <w:tr>
        <w:trPr>
          <w:trHeight w:val="66"/>
        </w:trPr>
        <w:tc>
          <w:tcPr>
            <w:tcW w:w="110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520" w:type="dxa"/>
            <w:vAlign w:val="bottom"/>
            <w:tcBorders>
              <w:bottom w:val="single" w:sz="8" w:color="auto"/>
            </w:tcBorders>
          </w:tcPr>
          <w:p>
            <w:pPr>
              <w:spacing w:after="0"/>
              <w:rPr>
                <w:sz w:val="5"/>
                <w:szCs w:val="5"/>
                <w:color w:val="auto"/>
              </w:rPr>
            </w:pPr>
          </w:p>
        </w:tc>
        <w:tc>
          <w:tcPr>
            <w:tcW w:w="27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669"/>
        </w:trPr>
        <w:tc>
          <w:tcPr>
            <w:tcW w:w="1100" w:type="dxa"/>
            <w:vAlign w:val="bottom"/>
          </w:tcPr>
          <w:p>
            <w:pPr>
              <w:spacing w:after="0"/>
              <w:rPr>
                <w:sz w:val="20"/>
                <w:szCs w:val="20"/>
                <w:color w:val="auto"/>
              </w:rPr>
            </w:pPr>
            <w:r>
              <w:rPr>
                <w:rFonts w:ascii="Arial" w:cs="Arial" w:eastAsia="Arial" w:hAnsi="Arial"/>
                <w:sz w:val="14"/>
                <w:szCs w:val="14"/>
                <w:b w:val="1"/>
                <w:bCs w:val="1"/>
                <w:color w:val="auto"/>
              </w:rPr>
              <w:t>Item 2(a).</w:t>
            </w:r>
          </w:p>
        </w:tc>
        <w:tc>
          <w:tcPr>
            <w:tcW w:w="10320" w:type="dxa"/>
            <w:vAlign w:val="bottom"/>
            <w:gridSpan w:val="8"/>
          </w:tcPr>
          <w:p>
            <w:pPr>
              <w:spacing w:after="0"/>
              <w:rPr>
                <w:sz w:val="20"/>
                <w:szCs w:val="20"/>
                <w:color w:val="auto"/>
              </w:rPr>
            </w:pPr>
            <w:r>
              <w:rPr>
                <w:rFonts w:ascii="Arial" w:cs="Arial" w:eastAsia="Arial" w:hAnsi="Arial"/>
                <w:sz w:val="14"/>
                <w:szCs w:val="14"/>
                <w:b w:val="1"/>
                <w:bCs w:val="1"/>
                <w:color w:val="auto"/>
              </w:rPr>
              <w:t>Name of Person Filing:</w:t>
            </w:r>
          </w:p>
        </w:tc>
        <w:tc>
          <w:tcPr>
            <w:tcW w:w="20" w:type="dxa"/>
            <w:vAlign w:val="bottom"/>
          </w:tcPr>
          <w:p>
            <w:pPr>
              <w:spacing w:after="0"/>
              <w:rPr>
                <w:sz w:val="24"/>
                <w:szCs w:val="24"/>
                <w:color w:val="auto"/>
              </w:rPr>
            </w:pPr>
          </w:p>
        </w:tc>
      </w:tr>
      <w:tr>
        <w:trPr>
          <w:trHeight w:val="171"/>
        </w:trPr>
        <w:tc>
          <w:tcPr>
            <w:tcW w:w="1100" w:type="dxa"/>
            <w:vAlign w:val="bottom"/>
          </w:tcPr>
          <w:p>
            <w:pPr>
              <w:spacing w:after="0"/>
              <w:rPr>
                <w:sz w:val="14"/>
                <w:szCs w:val="14"/>
                <w:color w:val="auto"/>
              </w:rPr>
            </w:pPr>
          </w:p>
        </w:tc>
        <w:tc>
          <w:tcPr>
            <w:tcW w:w="152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Jian Tang</w:t>
            </w:r>
          </w:p>
        </w:tc>
        <w:tc>
          <w:tcPr>
            <w:tcW w:w="88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r>
      <w:tr>
        <w:trPr>
          <w:trHeight w:val="311"/>
        </w:trPr>
        <w:tc>
          <w:tcPr>
            <w:tcW w:w="1100" w:type="dxa"/>
            <w:vAlign w:val="bottom"/>
          </w:tcPr>
          <w:p>
            <w:pPr>
              <w:spacing w:after="0"/>
              <w:rPr>
                <w:sz w:val="24"/>
                <w:szCs w:val="24"/>
                <w:color w:val="auto"/>
              </w:rPr>
            </w:pPr>
          </w:p>
        </w:tc>
        <w:tc>
          <w:tcPr>
            <w:tcW w:w="10320" w:type="dxa"/>
            <w:vAlign w:val="bottom"/>
            <w:gridSpan w:val="8"/>
          </w:tcPr>
          <w:p>
            <w:pPr>
              <w:spacing w:after="0"/>
              <w:rPr>
                <w:sz w:val="20"/>
                <w:szCs w:val="20"/>
                <w:color w:val="auto"/>
              </w:rPr>
            </w:pPr>
            <w:r>
              <w:rPr>
                <w:rFonts w:ascii="Arial" w:cs="Arial" w:eastAsia="Arial" w:hAnsi="Arial"/>
                <w:sz w:val="14"/>
                <w:szCs w:val="14"/>
                <w:color w:val="auto"/>
              </w:rPr>
              <w:t>Igomax Inc.</w:t>
            </w:r>
          </w:p>
        </w:tc>
        <w:tc>
          <w:tcPr>
            <w:tcW w:w="20" w:type="dxa"/>
            <w:vAlign w:val="bottom"/>
          </w:tcPr>
          <w:p>
            <w:pPr>
              <w:spacing w:after="0"/>
              <w:rPr>
                <w:sz w:val="24"/>
                <w:szCs w:val="24"/>
                <w:color w:val="auto"/>
              </w:rPr>
            </w:pPr>
          </w:p>
        </w:tc>
      </w:tr>
      <w:tr>
        <w:trPr>
          <w:trHeight w:val="66"/>
        </w:trPr>
        <w:tc>
          <w:tcPr>
            <w:tcW w:w="110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520" w:type="dxa"/>
            <w:vAlign w:val="bottom"/>
            <w:tcBorders>
              <w:bottom w:val="single" w:sz="8" w:color="auto"/>
            </w:tcBorders>
          </w:tcPr>
          <w:p>
            <w:pPr>
              <w:spacing w:after="0"/>
              <w:rPr>
                <w:sz w:val="5"/>
                <w:szCs w:val="5"/>
                <w:color w:val="auto"/>
              </w:rPr>
            </w:pPr>
          </w:p>
        </w:tc>
        <w:tc>
          <w:tcPr>
            <w:tcW w:w="27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439"/>
        </w:trPr>
        <w:tc>
          <w:tcPr>
            <w:tcW w:w="1100" w:type="dxa"/>
            <w:vAlign w:val="bottom"/>
          </w:tcPr>
          <w:p>
            <w:pPr>
              <w:spacing w:after="0"/>
              <w:rPr>
                <w:sz w:val="20"/>
                <w:szCs w:val="20"/>
                <w:color w:val="auto"/>
              </w:rPr>
            </w:pPr>
            <w:r>
              <w:rPr>
                <w:rFonts w:ascii="Arial" w:cs="Arial" w:eastAsia="Arial" w:hAnsi="Arial"/>
                <w:sz w:val="14"/>
                <w:szCs w:val="14"/>
                <w:b w:val="1"/>
                <w:bCs w:val="1"/>
                <w:color w:val="auto"/>
              </w:rPr>
              <w:t>Item 2(b).</w:t>
            </w:r>
          </w:p>
        </w:tc>
        <w:tc>
          <w:tcPr>
            <w:tcW w:w="10320" w:type="dxa"/>
            <w:vAlign w:val="bottom"/>
            <w:gridSpan w:val="8"/>
          </w:tcPr>
          <w:p>
            <w:pPr>
              <w:spacing w:after="0"/>
              <w:rPr>
                <w:sz w:val="20"/>
                <w:szCs w:val="20"/>
                <w:color w:val="auto"/>
              </w:rPr>
            </w:pPr>
            <w:r>
              <w:rPr>
                <w:rFonts w:ascii="Arial" w:cs="Arial" w:eastAsia="Arial" w:hAnsi="Arial"/>
                <w:sz w:val="14"/>
                <w:szCs w:val="14"/>
                <w:b w:val="1"/>
                <w:bCs w:val="1"/>
                <w:color w:val="auto"/>
              </w:rPr>
              <w:t>Address of Principal Business Office, or, if none, Residence</w:t>
            </w:r>
            <w:r>
              <w:rPr>
                <w:rFonts w:ascii="Arial" w:cs="Arial" w:eastAsia="Arial" w:hAnsi="Arial"/>
                <w:sz w:val="14"/>
                <w:szCs w:val="14"/>
                <w:color w:val="auto"/>
              </w:rPr>
              <w:t>:</w:t>
            </w:r>
          </w:p>
        </w:tc>
        <w:tc>
          <w:tcPr>
            <w:tcW w:w="20" w:type="dxa"/>
            <w:vAlign w:val="bottom"/>
          </w:tcPr>
          <w:p>
            <w:pPr>
              <w:spacing w:after="0"/>
              <w:rPr>
                <w:sz w:val="24"/>
                <w:szCs w:val="24"/>
                <w:color w:val="auto"/>
              </w:rPr>
            </w:pPr>
          </w:p>
        </w:tc>
      </w:tr>
      <w:tr>
        <w:trPr>
          <w:trHeight w:val="160"/>
        </w:trPr>
        <w:tc>
          <w:tcPr>
            <w:tcW w:w="1100" w:type="dxa"/>
            <w:vAlign w:val="bottom"/>
          </w:tcPr>
          <w:p>
            <w:pPr>
              <w:spacing w:after="0"/>
              <w:rPr>
                <w:sz w:val="13"/>
                <w:szCs w:val="13"/>
                <w:color w:val="auto"/>
              </w:rPr>
            </w:pPr>
          </w:p>
        </w:tc>
        <w:tc>
          <w:tcPr>
            <w:tcW w:w="4100" w:type="dxa"/>
            <w:vAlign w:val="bottom"/>
            <w:tcBorders>
              <w:top w:val="single" w:sz="8" w:color="auto"/>
            </w:tcBorders>
            <w:gridSpan w:val="6"/>
          </w:tcPr>
          <w:p>
            <w:pPr>
              <w:spacing w:after="0"/>
              <w:rPr>
                <w:sz w:val="20"/>
                <w:szCs w:val="20"/>
                <w:color w:val="auto"/>
              </w:rPr>
            </w:pPr>
            <w:r>
              <w:rPr>
                <w:rFonts w:ascii="Arial" w:cs="Arial" w:eastAsia="Arial" w:hAnsi="Arial"/>
                <w:sz w:val="14"/>
                <w:szCs w:val="14"/>
                <w:color w:val="auto"/>
              </w:rPr>
              <w:t>Jian Tang</w:t>
            </w:r>
          </w:p>
        </w:tc>
        <w:tc>
          <w:tcPr>
            <w:tcW w:w="62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1100" w:type="dxa"/>
            <w:vAlign w:val="bottom"/>
          </w:tcPr>
          <w:p>
            <w:pPr>
              <w:spacing w:after="0"/>
              <w:rPr>
                <w:sz w:val="14"/>
                <w:szCs w:val="14"/>
                <w:color w:val="auto"/>
              </w:rPr>
            </w:pPr>
          </w:p>
        </w:tc>
        <w:tc>
          <w:tcPr>
            <w:tcW w:w="10320" w:type="dxa"/>
            <w:vAlign w:val="bottom"/>
            <w:gridSpan w:val="8"/>
          </w:tcPr>
          <w:p>
            <w:pPr>
              <w:spacing w:after="0"/>
              <w:rPr>
                <w:sz w:val="20"/>
                <w:szCs w:val="20"/>
                <w:color w:val="auto"/>
              </w:rPr>
            </w:pPr>
            <w:r>
              <w:rPr>
                <w:rFonts w:ascii="Arial" w:cs="Arial" w:eastAsia="Arial" w:hAnsi="Arial"/>
                <w:sz w:val="14"/>
                <w:szCs w:val="14"/>
                <w:color w:val="auto"/>
              </w:rPr>
              <w:t>15/F, Prosperity Millennia Plaza</w:t>
            </w:r>
          </w:p>
        </w:tc>
        <w:tc>
          <w:tcPr>
            <w:tcW w:w="20" w:type="dxa"/>
            <w:vAlign w:val="bottom"/>
          </w:tcPr>
          <w:p>
            <w:pPr>
              <w:spacing w:after="0"/>
              <w:rPr>
                <w:sz w:val="14"/>
                <w:szCs w:val="14"/>
                <w:color w:val="auto"/>
              </w:rPr>
            </w:pPr>
          </w:p>
        </w:tc>
      </w:tr>
      <w:tr>
        <w:trPr>
          <w:trHeight w:val="162"/>
        </w:trPr>
        <w:tc>
          <w:tcPr>
            <w:tcW w:w="1100" w:type="dxa"/>
            <w:vAlign w:val="bottom"/>
          </w:tcPr>
          <w:p>
            <w:pPr>
              <w:spacing w:after="0"/>
              <w:rPr>
                <w:sz w:val="14"/>
                <w:szCs w:val="14"/>
                <w:color w:val="auto"/>
              </w:rPr>
            </w:pPr>
          </w:p>
        </w:tc>
        <w:tc>
          <w:tcPr>
            <w:tcW w:w="10320" w:type="dxa"/>
            <w:vAlign w:val="bottom"/>
            <w:gridSpan w:val="8"/>
          </w:tcPr>
          <w:p>
            <w:pPr>
              <w:spacing w:after="0"/>
              <w:rPr>
                <w:sz w:val="20"/>
                <w:szCs w:val="20"/>
                <w:color w:val="auto"/>
              </w:rPr>
            </w:pPr>
            <w:r>
              <w:rPr>
                <w:rFonts w:ascii="Arial" w:cs="Arial" w:eastAsia="Arial" w:hAnsi="Arial"/>
                <w:sz w:val="14"/>
                <w:szCs w:val="14"/>
                <w:color w:val="auto"/>
              </w:rPr>
              <w:t>663 King’s Road, Quarry Bay</w:t>
            </w:r>
          </w:p>
        </w:tc>
        <w:tc>
          <w:tcPr>
            <w:tcW w:w="20" w:type="dxa"/>
            <w:vAlign w:val="bottom"/>
          </w:tcPr>
          <w:p>
            <w:pPr>
              <w:spacing w:after="0"/>
              <w:rPr>
                <w:sz w:val="14"/>
                <w:szCs w:val="14"/>
                <w:color w:val="auto"/>
              </w:rPr>
            </w:pPr>
          </w:p>
        </w:tc>
      </w:tr>
      <w:tr>
        <w:trPr>
          <w:trHeight w:val="172"/>
        </w:trPr>
        <w:tc>
          <w:tcPr>
            <w:tcW w:w="1100" w:type="dxa"/>
            <w:vAlign w:val="bottom"/>
          </w:tcPr>
          <w:p>
            <w:pPr>
              <w:spacing w:after="0"/>
              <w:rPr>
                <w:sz w:val="14"/>
                <w:szCs w:val="14"/>
                <w:color w:val="auto"/>
              </w:rPr>
            </w:pPr>
          </w:p>
        </w:tc>
        <w:tc>
          <w:tcPr>
            <w:tcW w:w="10320" w:type="dxa"/>
            <w:vAlign w:val="bottom"/>
            <w:gridSpan w:val="8"/>
          </w:tcPr>
          <w:p>
            <w:pPr>
              <w:spacing w:after="0"/>
              <w:rPr>
                <w:sz w:val="20"/>
                <w:szCs w:val="20"/>
                <w:color w:val="auto"/>
              </w:rPr>
            </w:pPr>
            <w:r>
              <w:rPr>
                <w:rFonts w:ascii="Arial" w:cs="Arial" w:eastAsia="Arial" w:hAnsi="Arial"/>
                <w:sz w:val="14"/>
                <w:szCs w:val="14"/>
                <w:color w:val="auto"/>
              </w:rPr>
              <w:t>Hong Kong S.A.R.</w:t>
            </w:r>
          </w:p>
        </w:tc>
        <w:tc>
          <w:tcPr>
            <w:tcW w:w="20" w:type="dxa"/>
            <w:vAlign w:val="bottom"/>
          </w:tcPr>
          <w:p>
            <w:pPr>
              <w:spacing w:after="0"/>
              <w:rPr>
                <w:sz w:val="14"/>
                <w:szCs w:val="14"/>
                <w:color w:val="auto"/>
              </w:rPr>
            </w:pPr>
          </w:p>
        </w:tc>
      </w:tr>
      <w:tr>
        <w:trPr>
          <w:trHeight w:val="300"/>
        </w:trPr>
        <w:tc>
          <w:tcPr>
            <w:tcW w:w="1100" w:type="dxa"/>
            <w:vAlign w:val="bottom"/>
          </w:tcPr>
          <w:p>
            <w:pPr>
              <w:spacing w:after="0"/>
              <w:rPr>
                <w:sz w:val="24"/>
                <w:szCs w:val="24"/>
                <w:color w:val="auto"/>
              </w:rPr>
            </w:pPr>
          </w:p>
        </w:tc>
        <w:tc>
          <w:tcPr>
            <w:tcW w:w="10320" w:type="dxa"/>
            <w:vAlign w:val="bottom"/>
            <w:gridSpan w:val="8"/>
          </w:tcPr>
          <w:p>
            <w:pPr>
              <w:spacing w:after="0"/>
              <w:rPr>
                <w:sz w:val="20"/>
                <w:szCs w:val="20"/>
                <w:color w:val="auto"/>
              </w:rPr>
            </w:pPr>
            <w:r>
              <w:rPr>
                <w:rFonts w:ascii="Arial" w:cs="Arial" w:eastAsia="Arial" w:hAnsi="Arial"/>
                <w:sz w:val="14"/>
                <w:szCs w:val="14"/>
                <w:color w:val="auto"/>
              </w:rPr>
              <w:t>Igomax Inc.</w:t>
            </w:r>
          </w:p>
        </w:tc>
        <w:tc>
          <w:tcPr>
            <w:tcW w:w="20" w:type="dxa"/>
            <w:vAlign w:val="bottom"/>
          </w:tcPr>
          <w:p>
            <w:pPr>
              <w:spacing w:after="0"/>
              <w:rPr>
                <w:sz w:val="24"/>
                <w:szCs w:val="24"/>
                <w:color w:val="auto"/>
              </w:rPr>
            </w:pPr>
          </w:p>
        </w:tc>
      </w:tr>
      <w:tr>
        <w:trPr>
          <w:trHeight w:val="162"/>
        </w:trPr>
        <w:tc>
          <w:tcPr>
            <w:tcW w:w="1100" w:type="dxa"/>
            <w:vAlign w:val="bottom"/>
          </w:tcPr>
          <w:p>
            <w:pPr>
              <w:spacing w:after="0"/>
              <w:rPr>
                <w:sz w:val="14"/>
                <w:szCs w:val="14"/>
                <w:color w:val="auto"/>
              </w:rPr>
            </w:pPr>
          </w:p>
        </w:tc>
        <w:tc>
          <w:tcPr>
            <w:tcW w:w="10320" w:type="dxa"/>
            <w:vAlign w:val="bottom"/>
            <w:gridSpan w:val="8"/>
          </w:tcPr>
          <w:p>
            <w:pPr>
              <w:spacing w:after="0"/>
              <w:rPr>
                <w:sz w:val="20"/>
                <w:szCs w:val="20"/>
                <w:color w:val="auto"/>
              </w:rPr>
            </w:pPr>
            <w:r>
              <w:rPr>
                <w:rFonts w:ascii="Arial" w:cs="Arial" w:eastAsia="Arial" w:hAnsi="Arial"/>
                <w:sz w:val="14"/>
                <w:szCs w:val="14"/>
                <w:color w:val="auto"/>
              </w:rPr>
              <w:t>Jordans Trust Company</w:t>
            </w:r>
          </w:p>
        </w:tc>
        <w:tc>
          <w:tcPr>
            <w:tcW w:w="20" w:type="dxa"/>
            <w:vAlign w:val="bottom"/>
          </w:tcPr>
          <w:p>
            <w:pPr>
              <w:spacing w:after="0"/>
              <w:rPr>
                <w:sz w:val="14"/>
                <w:szCs w:val="14"/>
                <w:color w:val="auto"/>
              </w:rPr>
            </w:pPr>
          </w:p>
        </w:tc>
      </w:tr>
      <w:tr>
        <w:trPr>
          <w:trHeight w:val="162"/>
        </w:trPr>
        <w:tc>
          <w:tcPr>
            <w:tcW w:w="1100" w:type="dxa"/>
            <w:vAlign w:val="bottom"/>
          </w:tcPr>
          <w:p>
            <w:pPr>
              <w:spacing w:after="0"/>
              <w:rPr>
                <w:sz w:val="14"/>
                <w:szCs w:val="14"/>
                <w:color w:val="auto"/>
              </w:rPr>
            </w:pPr>
          </w:p>
        </w:tc>
        <w:tc>
          <w:tcPr>
            <w:tcW w:w="10320" w:type="dxa"/>
            <w:vAlign w:val="bottom"/>
            <w:gridSpan w:val="8"/>
          </w:tcPr>
          <w:p>
            <w:pPr>
              <w:spacing w:after="0"/>
              <w:rPr>
                <w:sz w:val="20"/>
                <w:szCs w:val="20"/>
                <w:color w:val="auto"/>
              </w:rPr>
            </w:pPr>
            <w:r>
              <w:rPr>
                <w:rFonts w:ascii="Arial" w:cs="Arial" w:eastAsia="Arial" w:hAnsi="Arial"/>
                <w:sz w:val="14"/>
                <w:szCs w:val="14"/>
                <w:color w:val="auto"/>
              </w:rPr>
              <w:t>Geneva Place, Waterfront Drive</w:t>
            </w:r>
          </w:p>
        </w:tc>
        <w:tc>
          <w:tcPr>
            <w:tcW w:w="20" w:type="dxa"/>
            <w:vAlign w:val="bottom"/>
          </w:tcPr>
          <w:p>
            <w:pPr>
              <w:spacing w:after="0"/>
              <w:rPr>
                <w:sz w:val="14"/>
                <w:szCs w:val="14"/>
                <w:color w:val="auto"/>
              </w:rPr>
            </w:pPr>
          </w:p>
        </w:tc>
      </w:tr>
      <w:tr>
        <w:trPr>
          <w:trHeight w:val="162"/>
        </w:trPr>
        <w:tc>
          <w:tcPr>
            <w:tcW w:w="1100" w:type="dxa"/>
            <w:vAlign w:val="bottom"/>
          </w:tcPr>
          <w:p>
            <w:pPr>
              <w:spacing w:after="0"/>
              <w:rPr>
                <w:sz w:val="14"/>
                <w:szCs w:val="14"/>
                <w:color w:val="auto"/>
              </w:rPr>
            </w:pPr>
          </w:p>
        </w:tc>
        <w:tc>
          <w:tcPr>
            <w:tcW w:w="10320" w:type="dxa"/>
            <w:vAlign w:val="bottom"/>
            <w:gridSpan w:val="8"/>
          </w:tcPr>
          <w:p>
            <w:pPr>
              <w:spacing w:after="0"/>
              <w:rPr>
                <w:sz w:val="20"/>
                <w:szCs w:val="20"/>
                <w:color w:val="auto"/>
              </w:rPr>
            </w:pPr>
            <w:r>
              <w:rPr>
                <w:rFonts w:ascii="Arial" w:cs="Arial" w:eastAsia="Arial" w:hAnsi="Arial"/>
                <w:sz w:val="14"/>
                <w:szCs w:val="14"/>
                <w:color w:val="auto"/>
              </w:rPr>
              <w:t>PO Box 3469</w:t>
            </w:r>
          </w:p>
        </w:tc>
        <w:tc>
          <w:tcPr>
            <w:tcW w:w="20" w:type="dxa"/>
            <w:vAlign w:val="bottom"/>
          </w:tcPr>
          <w:p>
            <w:pPr>
              <w:spacing w:after="0"/>
              <w:rPr>
                <w:sz w:val="14"/>
                <w:szCs w:val="14"/>
                <w:color w:val="auto"/>
              </w:rPr>
            </w:pPr>
          </w:p>
        </w:tc>
      </w:tr>
      <w:tr>
        <w:trPr>
          <w:trHeight w:val="162"/>
        </w:trPr>
        <w:tc>
          <w:tcPr>
            <w:tcW w:w="1100" w:type="dxa"/>
            <w:vAlign w:val="bottom"/>
          </w:tcPr>
          <w:p>
            <w:pPr>
              <w:spacing w:after="0"/>
              <w:rPr>
                <w:sz w:val="14"/>
                <w:szCs w:val="14"/>
                <w:color w:val="auto"/>
              </w:rPr>
            </w:pPr>
          </w:p>
        </w:tc>
        <w:tc>
          <w:tcPr>
            <w:tcW w:w="10320" w:type="dxa"/>
            <w:vAlign w:val="bottom"/>
            <w:gridSpan w:val="8"/>
          </w:tcPr>
          <w:p>
            <w:pPr>
              <w:spacing w:after="0"/>
              <w:rPr>
                <w:sz w:val="20"/>
                <w:szCs w:val="20"/>
                <w:color w:val="auto"/>
              </w:rPr>
            </w:pPr>
            <w:r>
              <w:rPr>
                <w:rFonts w:ascii="Arial" w:cs="Arial" w:eastAsia="Arial" w:hAnsi="Arial"/>
                <w:sz w:val="14"/>
                <w:szCs w:val="14"/>
                <w:color w:val="auto"/>
              </w:rPr>
              <w:t>Road Town, Tortola</w:t>
            </w:r>
          </w:p>
        </w:tc>
        <w:tc>
          <w:tcPr>
            <w:tcW w:w="20" w:type="dxa"/>
            <w:vAlign w:val="bottom"/>
          </w:tcPr>
          <w:p>
            <w:pPr>
              <w:spacing w:after="0"/>
              <w:rPr>
                <w:sz w:val="14"/>
                <w:szCs w:val="14"/>
                <w:color w:val="auto"/>
              </w:rPr>
            </w:pPr>
          </w:p>
        </w:tc>
      </w:tr>
      <w:tr>
        <w:trPr>
          <w:trHeight w:val="172"/>
        </w:trPr>
        <w:tc>
          <w:tcPr>
            <w:tcW w:w="1100" w:type="dxa"/>
            <w:vAlign w:val="bottom"/>
          </w:tcPr>
          <w:p>
            <w:pPr>
              <w:spacing w:after="0"/>
              <w:rPr>
                <w:sz w:val="14"/>
                <w:szCs w:val="14"/>
                <w:color w:val="auto"/>
              </w:rPr>
            </w:pPr>
          </w:p>
        </w:tc>
        <w:tc>
          <w:tcPr>
            <w:tcW w:w="10320" w:type="dxa"/>
            <w:vAlign w:val="bottom"/>
            <w:gridSpan w:val="8"/>
          </w:tcPr>
          <w:p>
            <w:pPr>
              <w:spacing w:after="0"/>
              <w:rPr>
                <w:sz w:val="20"/>
                <w:szCs w:val="20"/>
                <w:color w:val="auto"/>
              </w:rPr>
            </w:pPr>
            <w:r>
              <w:rPr>
                <w:rFonts w:ascii="Arial" w:cs="Arial" w:eastAsia="Arial" w:hAnsi="Arial"/>
                <w:sz w:val="14"/>
                <w:szCs w:val="14"/>
                <w:color w:val="auto"/>
              </w:rPr>
              <w:t>British Virgin Islands</w:t>
            </w:r>
          </w:p>
        </w:tc>
        <w:tc>
          <w:tcPr>
            <w:tcW w:w="20" w:type="dxa"/>
            <w:vAlign w:val="bottom"/>
          </w:tcPr>
          <w:p>
            <w:pPr>
              <w:spacing w:after="0"/>
              <w:rPr>
                <w:sz w:val="14"/>
                <w:szCs w:val="14"/>
                <w:color w:val="auto"/>
              </w:rPr>
            </w:pPr>
          </w:p>
        </w:tc>
      </w:tr>
      <w:tr>
        <w:trPr>
          <w:trHeight w:val="66"/>
        </w:trPr>
        <w:tc>
          <w:tcPr>
            <w:tcW w:w="110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520" w:type="dxa"/>
            <w:vAlign w:val="bottom"/>
            <w:tcBorders>
              <w:bottom w:val="single" w:sz="8" w:color="auto"/>
            </w:tcBorders>
          </w:tcPr>
          <w:p>
            <w:pPr>
              <w:spacing w:after="0"/>
              <w:rPr>
                <w:sz w:val="5"/>
                <w:szCs w:val="5"/>
                <w:color w:val="auto"/>
              </w:rPr>
            </w:pPr>
          </w:p>
        </w:tc>
        <w:tc>
          <w:tcPr>
            <w:tcW w:w="27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439"/>
        </w:trPr>
        <w:tc>
          <w:tcPr>
            <w:tcW w:w="1100" w:type="dxa"/>
            <w:vAlign w:val="bottom"/>
          </w:tcPr>
          <w:p>
            <w:pPr>
              <w:spacing w:after="0"/>
              <w:rPr>
                <w:sz w:val="20"/>
                <w:szCs w:val="20"/>
                <w:color w:val="auto"/>
              </w:rPr>
            </w:pPr>
            <w:r>
              <w:rPr>
                <w:rFonts w:ascii="Arial" w:cs="Arial" w:eastAsia="Arial" w:hAnsi="Arial"/>
                <w:sz w:val="14"/>
                <w:szCs w:val="14"/>
                <w:b w:val="1"/>
                <w:bCs w:val="1"/>
                <w:color w:val="auto"/>
              </w:rPr>
              <w:t>Item 2(c).</w:t>
            </w:r>
          </w:p>
        </w:tc>
        <w:tc>
          <w:tcPr>
            <w:tcW w:w="10320" w:type="dxa"/>
            <w:vAlign w:val="bottom"/>
            <w:gridSpan w:val="8"/>
          </w:tcPr>
          <w:p>
            <w:pPr>
              <w:spacing w:after="0"/>
              <w:rPr>
                <w:sz w:val="20"/>
                <w:szCs w:val="20"/>
                <w:color w:val="auto"/>
              </w:rPr>
            </w:pPr>
            <w:r>
              <w:rPr>
                <w:rFonts w:ascii="Arial" w:cs="Arial" w:eastAsia="Arial" w:hAnsi="Arial"/>
                <w:sz w:val="14"/>
                <w:szCs w:val="14"/>
                <w:b w:val="1"/>
                <w:bCs w:val="1"/>
                <w:color w:val="auto"/>
              </w:rPr>
              <w:t>Citizenship:</w:t>
            </w:r>
          </w:p>
        </w:tc>
        <w:tc>
          <w:tcPr>
            <w:tcW w:w="2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80" w:type="dxa"/>
            <w:vAlign w:val="bottom"/>
            <w:tcBorders>
              <w:left w:val="single" w:sz="8" w:color="auto"/>
            </w:tcBorders>
            <w:gridSpan w:val="3"/>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9"/>
        </w:trPr>
        <w:tc>
          <w:tcPr>
            <w:tcW w:w="1100" w:type="dxa"/>
            <w:vAlign w:val="bottom"/>
          </w:tcPr>
          <w:p>
            <w:pPr>
              <w:spacing w:after="0"/>
              <w:rPr>
                <w:sz w:val="24"/>
                <w:szCs w:val="24"/>
                <w:color w:val="auto"/>
              </w:rPr>
            </w:pPr>
          </w:p>
        </w:tc>
        <w:tc>
          <w:tcPr>
            <w:tcW w:w="10320" w:type="dxa"/>
            <w:vAlign w:val="bottom"/>
            <w:gridSpan w:val="8"/>
          </w:tcPr>
          <w:p>
            <w:pPr>
              <w:spacing w:after="0"/>
              <w:rPr>
                <w:sz w:val="20"/>
                <w:szCs w:val="20"/>
                <w:color w:val="auto"/>
              </w:rPr>
            </w:pPr>
            <w:r>
              <w:rPr>
                <w:rFonts w:ascii="Arial" w:cs="Arial" w:eastAsia="Arial" w:hAnsi="Arial"/>
                <w:sz w:val="14"/>
                <w:szCs w:val="14"/>
                <w:color w:val="auto"/>
              </w:rPr>
              <w:t>Jian Tang — People’s Republic of China</w:t>
            </w:r>
          </w:p>
        </w:tc>
        <w:tc>
          <w:tcPr>
            <w:tcW w:w="20" w:type="dxa"/>
            <w:vAlign w:val="bottom"/>
          </w:tcPr>
          <w:p>
            <w:pPr>
              <w:spacing w:after="0"/>
              <w:rPr>
                <w:sz w:val="24"/>
                <w:szCs w:val="24"/>
                <w:color w:val="auto"/>
              </w:rPr>
            </w:pPr>
          </w:p>
        </w:tc>
      </w:tr>
      <w:tr>
        <w:trPr>
          <w:trHeight w:val="311"/>
        </w:trPr>
        <w:tc>
          <w:tcPr>
            <w:tcW w:w="1100" w:type="dxa"/>
            <w:vAlign w:val="bottom"/>
          </w:tcPr>
          <w:p>
            <w:pPr>
              <w:spacing w:after="0"/>
              <w:rPr>
                <w:sz w:val="24"/>
                <w:szCs w:val="24"/>
                <w:color w:val="auto"/>
              </w:rPr>
            </w:pPr>
          </w:p>
        </w:tc>
        <w:tc>
          <w:tcPr>
            <w:tcW w:w="10320" w:type="dxa"/>
            <w:vAlign w:val="bottom"/>
            <w:gridSpan w:val="8"/>
          </w:tcPr>
          <w:p>
            <w:pPr>
              <w:spacing w:after="0"/>
              <w:rPr>
                <w:sz w:val="20"/>
                <w:szCs w:val="20"/>
                <w:color w:val="auto"/>
              </w:rPr>
            </w:pPr>
            <w:r>
              <w:rPr>
                <w:rFonts w:ascii="Arial" w:cs="Arial" w:eastAsia="Arial" w:hAnsi="Arial"/>
                <w:sz w:val="14"/>
                <w:szCs w:val="14"/>
                <w:color w:val="auto"/>
              </w:rPr>
              <w:t>Igomax Inc. — British Virgin Islands</w:t>
            </w:r>
          </w:p>
        </w:tc>
        <w:tc>
          <w:tcPr>
            <w:tcW w:w="20" w:type="dxa"/>
            <w:vAlign w:val="bottom"/>
          </w:tcPr>
          <w:p>
            <w:pPr>
              <w:spacing w:after="0"/>
              <w:rPr>
                <w:sz w:val="24"/>
                <w:szCs w:val="24"/>
                <w:color w:val="auto"/>
              </w:rPr>
            </w:pPr>
          </w:p>
        </w:tc>
      </w:tr>
      <w:tr>
        <w:trPr>
          <w:trHeight w:val="66"/>
        </w:trPr>
        <w:tc>
          <w:tcPr>
            <w:tcW w:w="110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520" w:type="dxa"/>
            <w:vAlign w:val="bottom"/>
            <w:tcBorders>
              <w:bottom w:val="single" w:sz="8" w:color="auto"/>
            </w:tcBorders>
          </w:tcPr>
          <w:p>
            <w:pPr>
              <w:spacing w:after="0"/>
              <w:rPr>
                <w:sz w:val="5"/>
                <w:szCs w:val="5"/>
                <w:color w:val="auto"/>
              </w:rPr>
            </w:pPr>
          </w:p>
        </w:tc>
        <w:tc>
          <w:tcPr>
            <w:tcW w:w="27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439"/>
        </w:trPr>
        <w:tc>
          <w:tcPr>
            <w:tcW w:w="1100" w:type="dxa"/>
            <w:vAlign w:val="bottom"/>
          </w:tcPr>
          <w:p>
            <w:pPr>
              <w:spacing w:after="0"/>
              <w:rPr>
                <w:sz w:val="20"/>
                <w:szCs w:val="20"/>
                <w:color w:val="auto"/>
              </w:rPr>
            </w:pPr>
            <w:r>
              <w:rPr>
                <w:rFonts w:ascii="Arial" w:cs="Arial" w:eastAsia="Arial" w:hAnsi="Arial"/>
                <w:sz w:val="14"/>
                <w:szCs w:val="14"/>
                <w:b w:val="1"/>
                <w:bCs w:val="1"/>
                <w:color w:val="auto"/>
              </w:rPr>
              <w:t>Item 2(d).</w:t>
            </w:r>
          </w:p>
        </w:tc>
        <w:tc>
          <w:tcPr>
            <w:tcW w:w="10320" w:type="dxa"/>
            <w:vAlign w:val="bottom"/>
            <w:gridSpan w:val="8"/>
          </w:tcPr>
          <w:p>
            <w:pPr>
              <w:spacing w:after="0"/>
              <w:rPr>
                <w:sz w:val="20"/>
                <w:szCs w:val="20"/>
                <w:color w:val="auto"/>
              </w:rPr>
            </w:pPr>
            <w:r>
              <w:rPr>
                <w:rFonts w:ascii="Arial" w:cs="Arial" w:eastAsia="Arial" w:hAnsi="Arial"/>
                <w:sz w:val="14"/>
                <w:szCs w:val="14"/>
                <w:b w:val="1"/>
                <w:bCs w:val="1"/>
                <w:color w:val="auto"/>
              </w:rPr>
              <w:t>Title of Class of Securities:</w:t>
            </w:r>
          </w:p>
        </w:tc>
        <w:tc>
          <w:tcPr>
            <w:tcW w:w="2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80" w:type="dxa"/>
            <w:vAlign w:val="bottom"/>
            <w:tcBorders>
              <w:left w:val="single" w:sz="8" w:color="auto"/>
            </w:tcBorders>
            <w:gridSpan w:val="3"/>
            <w:shd w:val="clear" w:color="auto" w:fill="000000"/>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00" w:type="dxa"/>
            <w:vAlign w:val="bottom"/>
          </w:tcPr>
          <w:p>
            <w:pPr>
              <w:spacing w:after="0"/>
              <w:rPr>
                <w:sz w:val="13"/>
                <w:szCs w:val="13"/>
                <w:color w:val="auto"/>
              </w:rPr>
            </w:pPr>
          </w:p>
        </w:tc>
        <w:tc>
          <w:tcPr>
            <w:tcW w:w="10320" w:type="dxa"/>
            <w:vAlign w:val="bottom"/>
            <w:gridSpan w:val="8"/>
          </w:tcPr>
          <w:p>
            <w:pPr>
              <w:spacing w:after="0"/>
              <w:rPr>
                <w:sz w:val="20"/>
                <w:szCs w:val="20"/>
                <w:color w:val="auto"/>
              </w:rPr>
            </w:pPr>
            <w:r>
              <w:rPr>
                <w:rFonts w:ascii="Arial" w:cs="Arial" w:eastAsia="Arial" w:hAnsi="Arial"/>
                <w:sz w:val="14"/>
                <w:szCs w:val="14"/>
                <w:color w:val="auto"/>
              </w:rPr>
              <w:t>Class A ordinary shares, par value of $0.001 per share (the “Class A Ordinary Shares”). The Issuer’s ordinary shares consist of Class A Ordinary Shares and</w:t>
            </w:r>
          </w:p>
        </w:tc>
        <w:tc>
          <w:tcPr>
            <w:tcW w:w="20" w:type="dxa"/>
            <w:vAlign w:val="bottom"/>
          </w:tcPr>
          <w:p>
            <w:pPr>
              <w:spacing w:after="0"/>
              <w:rPr>
                <w:sz w:val="13"/>
                <w:szCs w:val="13"/>
                <w:color w:val="auto"/>
              </w:rPr>
            </w:pPr>
          </w:p>
        </w:tc>
      </w:tr>
      <w:tr>
        <w:trPr>
          <w:trHeight w:val="162"/>
        </w:trPr>
        <w:tc>
          <w:tcPr>
            <w:tcW w:w="1100" w:type="dxa"/>
            <w:vAlign w:val="bottom"/>
          </w:tcPr>
          <w:p>
            <w:pPr>
              <w:spacing w:after="0"/>
              <w:rPr>
                <w:sz w:val="14"/>
                <w:szCs w:val="14"/>
                <w:color w:val="auto"/>
              </w:rPr>
            </w:pPr>
          </w:p>
        </w:tc>
        <w:tc>
          <w:tcPr>
            <w:tcW w:w="10320" w:type="dxa"/>
            <w:vAlign w:val="bottom"/>
            <w:gridSpan w:val="8"/>
          </w:tcPr>
          <w:p>
            <w:pPr>
              <w:spacing w:after="0"/>
              <w:rPr>
                <w:sz w:val="20"/>
                <w:szCs w:val="20"/>
                <w:color w:val="auto"/>
              </w:rPr>
            </w:pPr>
            <w:r>
              <w:rPr>
                <w:rFonts w:ascii="Arial" w:cs="Arial" w:eastAsia="Arial" w:hAnsi="Arial"/>
                <w:sz w:val="14"/>
                <w:szCs w:val="14"/>
                <w:color w:val="auto"/>
              </w:rPr>
              <w:t>Class B ordinary shares, par value of $0.001 per share (“Class B Ordinary Shares”). The rights of the holders of Class A Ordinary Shares and Class B Ordinary</w:t>
            </w:r>
          </w:p>
        </w:tc>
        <w:tc>
          <w:tcPr>
            <w:tcW w:w="20" w:type="dxa"/>
            <w:vAlign w:val="bottom"/>
          </w:tcPr>
          <w:p>
            <w:pPr>
              <w:spacing w:after="0"/>
              <w:rPr>
                <w:sz w:val="14"/>
                <w:szCs w:val="14"/>
                <w:color w:val="auto"/>
              </w:rPr>
            </w:pPr>
          </w:p>
        </w:tc>
      </w:tr>
      <w:tr>
        <w:trPr>
          <w:trHeight w:val="162"/>
        </w:trPr>
        <w:tc>
          <w:tcPr>
            <w:tcW w:w="1100" w:type="dxa"/>
            <w:vAlign w:val="bottom"/>
          </w:tcPr>
          <w:p>
            <w:pPr>
              <w:spacing w:after="0"/>
              <w:rPr>
                <w:sz w:val="14"/>
                <w:szCs w:val="14"/>
                <w:color w:val="auto"/>
              </w:rPr>
            </w:pPr>
          </w:p>
        </w:tc>
        <w:tc>
          <w:tcPr>
            <w:tcW w:w="10320" w:type="dxa"/>
            <w:vAlign w:val="bottom"/>
            <w:gridSpan w:val="8"/>
          </w:tcPr>
          <w:p>
            <w:pPr>
              <w:spacing w:after="0"/>
              <w:rPr>
                <w:sz w:val="20"/>
                <w:szCs w:val="20"/>
                <w:color w:val="auto"/>
              </w:rPr>
            </w:pPr>
            <w:r>
              <w:rPr>
                <w:rFonts w:ascii="Arial" w:cs="Arial" w:eastAsia="Arial" w:hAnsi="Arial"/>
                <w:sz w:val="14"/>
                <w:szCs w:val="14"/>
                <w:color w:val="auto"/>
              </w:rPr>
              <w:t>Shares are identical, except with respect to conversion rights and voting rights. Each Class B Ordinary Share is convertible at the option of the holder at any time</w:t>
            </w:r>
          </w:p>
        </w:tc>
        <w:tc>
          <w:tcPr>
            <w:tcW w:w="20" w:type="dxa"/>
            <w:vAlign w:val="bottom"/>
          </w:tcPr>
          <w:p>
            <w:pPr>
              <w:spacing w:after="0"/>
              <w:rPr>
                <w:sz w:val="14"/>
                <w:szCs w:val="14"/>
                <w:color w:val="auto"/>
              </w:rPr>
            </w:pPr>
          </w:p>
        </w:tc>
      </w:tr>
      <w:tr>
        <w:trPr>
          <w:trHeight w:val="162"/>
        </w:trPr>
        <w:tc>
          <w:tcPr>
            <w:tcW w:w="1100" w:type="dxa"/>
            <w:vAlign w:val="bottom"/>
          </w:tcPr>
          <w:p>
            <w:pPr>
              <w:spacing w:after="0"/>
              <w:rPr>
                <w:sz w:val="14"/>
                <w:szCs w:val="14"/>
                <w:color w:val="auto"/>
              </w:rPr>
            </w:pPr>
          </w:p>
        </w:tc>
        <w:tc>
          <w:tcPr>
            <w:tcW w:w="10320" w:type="dxa"/>
            <w:vAlign w:val="bottom"/>
            <w:gridSpan w:val="8"/>
          </w:tcPr>
          <w:p>
            <w:pPr>
              <w:spacing w:after="0"/>
              <w:rPr>
                <w:sz w:val="20"/>
                <w:szCs w:val="20"/>
                <w:color w:val="auto"/>
              </w:rPr>
            </w:pPr>
            <w:r>
              <w:rPr>
                <w:rFonts w:ascii="Arial" w:cs="Arial" w:eastAsia="Arial" w:hAnsi="Arial"/>
                <w:sz w:val="14"/>
                <w:szCs w:val="14"/>
                <w:color w:val="auto"/>
              </w:rPr>
              <w:t>into one Class A Ordinary Share. Each Class B Ordinary Share is entitled to twenty (20) votes per share, whereas each Class A Ordinary Share is entitled to one</w:t>
            </w:r>
          </w:p>
        </w:tc>
        <w:tc>
          <w:tcPr>
            <w:tcW w:w="20" w:type="dxa"/>
            <w:vAlign w:val="bottom"/>
          </w:tcPr>
          <w:p>
            <w:pPr>
              <w:spacing w:after="0"/>
              <w:rPr>
                <w:sz w:val="14"/>
                <w:szCs w:val="14"/>
                <w:color w:val="auto"/>
              </w:rPr>
            </w:pPr>
          </w:p>
        </w:tc>
      </w:tr>
      <w:tr>
        <w:trPr>
          <w:trHeight w:val="172"/>
        </w:trPr>
        <w:tc>
          <w:tcPr>
            <w:tcW w:w="1100" w:type="dxa"/>
            <w:vAlign w:val="bottom"/>
          </w:tcPr>
          <w:p>
            <w:pPr>
              <w:spacing w:after="0"/>
              <w:rPr>
                <w:sz w:val="14"/>
                <w:szCs w:val="14"/>
                <w:color w:val="auto"/>
              </w:rPr>
            </w:pPr>
          </w:p>
        </w:tc>
        <w:tc>
          <w:tcPr>
            <w:tcW w:w="10320" w:type="dxa"/>
            <w:vAlign w:val="bottom"/>
            <w:gridSpan w:val="8"/>
          </w:tcPr>
          <w:p>
            <w:pPr>
              <w:spacing w:after="0"/>
              <w:rPr>
                <w:sz w:val="20"/>
                <w:szCs w:val="20"/>
                <w:color w:val="auto"/>
              </w:rPr>
            </w:pPr>
            <w:r>
              <w:rPr>
                <w:rFonts w:ascii="Arial" w:cs="Arial" w:eastAsia="Arial" w:hAnsi="Arial"/>
                <w:sz w:val="14"/>
                <w:szCs w:val="14"/>
                <w:color w:val="auto"/>
              </w:rPr>
              <w:t>vote per share.</w:t>
            </w:r>
          </w:p>
        </w:tc>
        <w:tc>
          <w:tcPr>
            <w:tcW w:w="20" w:type="dxa"/>
            <w:vAlign w:val="bottom"/>
          </w:tcPr>
          <w:p>
            <w:pPr>
              <w:spacing w:after="0"/>
              <w:rPr>
                <w:sz w:val="14"/>
                <w:szCs w:val="14"/>
                <w:color w:val="auto"/>
              </w:rPr>
            </w:pPr>
          </w:p>
        </w:tc>
      </w:tr>
      <w:tr>
        <w:trPr>
          <w:trHeight w:val="66"/>
        </w:trPr>
        <w:tc>
          <w:tcPr>
            <w:tcW w:w="110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520" w:type="dxa"/>
            <w:vAlign w:val="bottom"/>
            <w:tcBorders>
              <w:bottom w:val="single" w:sz="8" w:color="auto"/>
            </w:tcBorders>
          </w:tcPr>
          <w:p>
            <w:pPr>
              <w:spacing w:after="0"/>
              <w:rPr>
                <w:sz w:val="5"/>
                <w:szCs w:val="5"/>
                <w:color w:val="auto"/>
              </w:rPr>
            </w:pPr>
          </w:p>
        </w:tc>
        <w:tc>
          <w:tcPr>
            <w:tcW w:w="27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439"/>
        </w:trPr>
        <w:tc>
          <w:tcPr>
            <w:tcW w:w="1100" w:type="dxa"/>
            <w:vAlign w:val="bottom"/>
          </w:tcPr>
          <w:p>
            <w:pPr>
              <w:spacing w:after="0"/>
              <w:rPr>
                <w:sz w:val="20"/>
                <w:szCs w:val="20"/>
                <w:color w:val="auto"/>
              </w:rPr>
            </w:pPr>
            <w:r>
              <w:rPr>
                <w:rFonts w:ascii="Arial" w:cs="Arial" w:eastAsia="Arial" w:hAnsi="Arial"/>
                <w:sz w:val="14"/>
                <w:szCs w:val="14"/>
                <w:b w:val="1"/>
                <w:bCs w:val="1"/>
                <w:color w:val="auto"/>
              </w:rPr>
              <w:t>Item 2(e)</w:t>
            </w:r>
          </w:p>
        </w:tc>
        <w:tc>
          <w:tcPr>
            <w:tcW w:w="10320" w:type="dxa"/>
            <w:vAlign w:val="bottom"/>
            <w:gridSpan w:val="8"/>
          </w:tcPr>
          <w:p>
            <w:pPr>
              <w:spacing w:after="0"/>
              <w:rPr>
                <w:sz w:val="20"/>
                <w:szCs w:val="20"/>
                <w:color w:val="auto"/>
              </w:rPr>
            </w:pPr>
            <w:r>
              <w:rPr>
                <w:rFonts w:ascii="Arial" w:cs="Arial" w:eastAsia="Arial" w:hAnsi="Arial"/>
                <w:sz w:val="14"/>
                <w:szCs w:val="14"/>
                <w:b w:val="1"/>
                <w:bCs w:val="1"/>
                <w:color w:val="auto"/>
              </w:rPr>
              <w:t>CUSIP No.:</w:t>
            </w:r>
          </w:p>
        </w:tc>
        <w:tc>
          <w:tcPr>
            <w:tcW w:w="2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900" w:type="dxa"/>
            <w:vAlign w:val="bottom"/>
            <w:gridSpan w:val="6"/>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1"/>
        </w:trPr>
        <w:tc>
          <w:tcPr>
            <w:tcW w:w="1100" w:type="dxa"/>
            <w:vAlign w:val="bottom"/>
          </w:tcPr>
          <w:p>
            <w:pPr>
              <w:spacing w:after="0"/>
              <w:rPr>
                <w:sz w:val="14"/>
                <w:szCs w:val="14"/>
                <w:color w:val="auto"/>
              </w:rPr>
            </w:pPr>
          </w:p>
        </w:tc>
        <w:tc>
          <w:tcPr>
            <w:tcW w:w="10320" w:type="dxa"/>
            <w:vAlign w:val="bottom"/>
            <w:gridSpan w:val="8"/>
          </w:tcPr>
          <w:p>
            <w:pPr>
              <w:spacing w:after="0"/>
              <w:rPr>
                <w:sz w:val="20"/>
                <w:szCs w:val="20"/>
                <w:color w:val="auto"/>
              </w:rPr>
            </w:pPr>
            <w:r>
              <w:rPr>
                <w:rFonts w:ascii="Arial" w:cs="Arial" w:eastAsia="Arial" w:hAnsi="Arial"/>
                <w:sz w:val="14"/>
                <w:szCs w:val="14"/>
                <w:color w:val="auto"/>
              </w:rPr>
              <w:t>G47048 106</w:t>
            </w:r>
          </w:p>
        </w:tc>
        <w:tc>
          <w:tcPr>
            <w:tcW w:w="20" w:type="dxa"/>
            <w:vAlign w:val="bottom"/>
          </w:tcPr>
          <w:p>
            <w:pPr>
              <w:spacing w:after="0"/>
              <w:rPr>
                <w:sz w:val="14"/>
                <w:szCs w:val="14"/>
                <w:color w:val="auto"/>
              </w:rPr>
            </w:pPr>
          </w:p>
        </w:tc>
      </w:tr>
      <w:tr>
        <w:trPr>
          <w:trHeight w:val="66"/>
        </w:trPr>
        <w:tc>
          <w:tcPr>
            <w:tcW w:w="110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520" w:type="dxa"/>
            <w:vAlign w:val="bottom"/>
            <w:tcBorders>
              <w:bottom w:val="single" w:sz="8" w:color="auto"/>
            </w:tcBorders>
          </w:tcPr>
          <w:p>
            <w:pPr>
              <w:spacing w:after="0"/>
              <w:rPr>
                <w:sz w:val="5"/>
                <w:szCs w:val="5"/>
                <w:color w:val="auto"/>
              </w:rPr>
            </w:pPr>
          </w:p>
        </w:tc>
        <w:tc>
          <w:tcPr>
            <w:tcW w:w="27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91"/>
        </w:trPr>
        <w:tc>
          <w:tcPr>
            <w:tcW w:w="1100" w:type="dxa"/>
            <w:vAlign w:val="bottom"/>
          </w:tcPr>
          <w:p>
            <w:pPr>
              <w:spacing w:after="0"/>
              <w:rPr>
                <w:sz w:val="20"/>
                <w:szCs w:val="20"/>
                <w:color w:val="auto"/>
              </w:rPr>
            </w:pPr>
            <w:r>
              <w:rPr>
                <w:rFonts w:ascii="Arial" w:cs="Arial" w:eastAsia="Arial" w:hAnsi="Arial"/>
                <w:sz w:val="14"/>
                <w:szCs w:val="14"/>
                <w:b w:val="1"/>
                <w:bCs w:val="1"/>
                <w:color w:val="auto"/>
              </w:rPr>
              <w:t>Item 3.</w:t>
            </w:r>
          </w:p>
        </w:tc>
        <w:tc>
          <w:tcPr>
            <w:tcW w:w="10320" w:type="dxa"/>
            <w:vAlign w:val="bottom"/>
            <w:gridSpan w:val="8"/>
          </w:tcPr>
          <w:p>
            <w:pPr>
              <w:spacing w:after="0"/>
              <w:rPr>
                <w:sz w:val="20"/>
                <w:szCs w:val="20"/>
                <w:color w:val="auto"/>
              </w:rPr>
            </w:pPr>
            <w:r>
              <w:rPr>
                <w:rFonts w:ascii="Arial" w:cs="Arial" w:eastAsia="Arial" w:hAnsi="Arial"/>
                <w:sz w:val="14"/>
                <w:szCs w:val="14"/>
                <w:b w:val="1"/>
                <w:bCs w:val="1"/>
                <w:color w:val="auto"/>
              </w:rPr>
              <w:t>If this statement is filed pursuant to §§ 240.13d-1(b), or 240.13d-2(b) or (c), check whether the persons filing is a:</w:t>
            </w:r>
          </w:p>
        </w:tc>
        <w:tc>
          <w:tcPr>
            <w:tcW w:w="20" w:type="dxa"/>
            <w:vAlign w:val="bottom"/>
          </w:tcPr>
          <w:p>
            <w:pPr>
              <w:spacing w:after="0"/>
              <w:rPr>
                <w:sz w:val="24"/>
                <w:szCs w:val="24"/>
                <w:color w:val="auto"/>
              </w:rPr>
            </w:pPr>
          </w:p>
        </w:tc>
      </w:tr>
      <w:tr>
        <w:trPr>
          <w:trHeight w:val="171"/>
        </w:trPr>
        <w:tc>
          <w:tcPr>
            <w:tcW w:w="1100" w:type="dxa"/>
            <w:vAlign w:val="bottom"/>
          </w:tcPr>
          <w:p>
            <w:pPr>
              <w:spacing w:after="0"/>
              <w:rPr>
                <w:sz w:val="14"/>
                <w:szCs w:val="14"/>
                <w:color w:val="auto"/>
              </w:rPr>
            </w:pPr>
          </w:p>
        </w:tc>
        <w:tc>
          <w:tcPr>
            <w:tcW w:w="7620" w:type="dxa"/>
            <w:vAlign w:val="bottom"/>
            <w:tcBorders>
              <w:top w:val="single" w:sz="8" w:color="auto"/>
            </w:tcBorders>
            <w:gridSpan w:val="7"/>
          </w:tcPr>
          <w:p>
            <w:pPr>
              <w:spacing w:after="0"/>
              <w:rPr>
                <w:sz w:val="20"/>
                <w:szCs w:val="20"/>
                <w:color w:val="auto"/>
              </w:rPr>
            </w:pPr>
            <w:r>
              <w:rPr>
                <w:rFonts w:ascii="Arial" w:cs="Arial" w:eastAsia="Arial" w:hAnsi="Arial"/>
                <w:sz w:val="14"/>
                <w:szCs w:val="14"/>
                <w:color w:val="auto"/>
              </w:rPr>
              <w:t>Not applicable</w:t>
            </w:r>
          </w:p>
        </w:tc>
        <w:tc>
          <w:tcPr>
            <w:tcW w:w="2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527"/>
        </w:trPr>
        <w:tc>
          <w:tcPr>
            <w:tcW w:w="1100" w:type="dxa"/>
            <w:vAlign w:val="bottom"/>
          </w:tcPr>
          <w:p>
            <w:pPr>
              <w:spacing w:after="0"/>
              <w:rPr>
                <w:sz w:val="24"/>
                <w:szCs w:val="24"/>
                <w:color w:val="auto"/>
              </w:rPr>
            </w:pPr>
          </w:p>
        </w:tc>
        <w:tc>
          <w:tcPr>
            <w:tcW w:w="7620" w:type="dxa"/>
            <w:vAlign w:val="bottom"/>
            <w:gridSpan w:val="7"/>
          </w:tcPr>
          <w:p>
            <w:pPr>
              <w:ind w:left="4580"/>
              <w:spacing w:after="0"/>
              <w:rPr>
                <w:sz w:val="20"/>
                <w:szCs w:val="20"/>
                <w:color w:val="auto"/>
              </w:rPr>
            </w:pPr>
            <w:r>
              <w:rPr>
                <w:rFonts w:ascii="Arial" w:cs="Arial" w:eastAsia="Arial" w:hAnsi="Arial"/>
                <w:sz w:val="14"/>
                <w:szCs w:val="14"/>
                <w:color w:val="auto"/>
              </w:rPr>
              <w:t>4</w:t>
            </w:r>
          </w:p>
        </w:tc>
        <w:tc>
          <w:tcPr>
            <w:tcW w:w="2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11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3520" w:type="dxa"/>
            <w:vAlign w:val="bottom"/>
            <w:tcBorders>
              <w:bottom w:val="single" w:sz="8" w:color="9A9A9A"/>
            </w:tcBorders>
          </w:tcPr>
          <w:p>
            <w:pPr>
              <w:spacing w:after="0"/>
              <w:rPr>
                <w:sz w:val="8"/>
                <w:szCs w:val="8"/>
                <w:color w:val="auto"/>
              </w:rPr>
            </w:pPr>
          </w:p>
        </w:tc>
        <w:tc>
          <w:tcPr>
            <w:tcW w:w="27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04" w:right="219" w:bottom="1440" w:gutter="0" w:footer="0" w:header="0"/>
        </w:sectPr>
      </w:pPr>
    </w:p>
    <w:bookmarkStart w:id="4" w:name="page5"/>
    <w:bookmarkEnd w:id="4"/>
    <w:p>
      <w:pPr>
        <w:ind w:left="60"/>
        <w:spacing w:after="0"/>
        <w:tabs>
          <w:tab w:leader="none" w:pos="154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4"/>
          <w:szCs w:val="14"/>
          <w:b w:val="1"/>
          <w:bCs w:val="1"/>
          <w:u w:val="single" w:color="auto"/>
          <w:color w:val="auto"/>
        </w:rPr>
        <w:t>Ownership</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4"/>
          <w:szCs w:val="14"/>
          <w:color w:val="auto"/>
        </w:rPr>
        <w:t>The following information with respect to the ownership of the Class A Ordinary Shares by each of the reporting persons is provided as of December 31, 2019: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Sole Power</w:t>
            </w: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Shared</w:t>
            </w:r>
          </w:p>
        </w:tc>
      </w:tr>
      <w:tr>
        <w:trPr>
          <w:trHeight w:val="162"/>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to</w:t>
            </w:r>
          </w:p>
        </w:tc>
        <w:tc>
          <w:tcPr>
            <w:tcW w:w="15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Shared</w:t>
            </w: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Sole Power to</w:t>
            </w: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Power to</w:t>
            </w:r>
          </w:p>
        </w:tc>
      </w:tr>
      <w:tr>
        <w:trPr>
          <w:trHeight w:val="162"/>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Percent</w:t>
            </w: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Vote or</w:t>
            </w:r>
          </w:p>
        </w:tc>
        <w:tc>
          <w:tcPr>
            <w:tcW w:w="15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Power</w:t>
            </w: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Dispose or to</w:t>
            </w: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Dispose or to</w:t>
            </w:r>
          </w:p>
        </w:tc>
      </w:tr>
      <w:tr>
        <w:trPr>
          <w:trHeight w:val="162"/>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Beneficially</w:t>
            </w: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of</w:t>
            </w: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Direct</w:t>
            </w:r>
          </w:p>
        </w:tc>
        <w:tc>
          <w:tcPr>
            <w:tcW w:w="15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to Vote or to</w:t>
            </w: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Direct the</w:t>
            </w:r>
          </w:p>
        </w:tc>
        <w:tc>
          <w:tcPr>
            <w:tcW w:w="1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Direct the</w:t>
            </w:r>
          </w:p>
        </w:tc>
      </w:tr>
      <w:tr>
        <w:trPr>
          <w:trHeight w:val="175"/>
        </w:trPr>
        <w:tc>
          <w:tcPr>
            <w:tcW w:w="2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Reporting Person:</w:t>
            </w:r>
          </w:p>
        </w:tc>
        <w:tc>
          <w:tcPr>
            <w:tcW w:w="16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Owned:</w:t>
            </w:r>
          </w:p>
        </w:tc>
        <w:tc>
          <w:tcPr>
            <w:tcW w:w="3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 (1):</w:t>
            </w:r>
          </w:p>
        </w:tc>
        <w:tc>
          <w:tcPr>
            <w:tcW w:w="34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the Vote:</w:t>
            </w:r>
          </w:p>
        </w:tc>
        <w:tc>
          <w:tcPr>
            <w:tcW w:w="34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Direct the Vote:</w:t>
            </w:r>
          </w:p>
        </w:tc>
        <w:tc>
          <w:tcPr>
            <w:tcW w:w="34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Disposition of:</w:t>
            </w:r>
          </w:p>
        </w:tc>
        <w:tc>
          <w:tcPr>
            <w:tcW w:w="3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Disposition of:</w:t>
            </w:r>
          </w:p>
        </w:tc>
        <w:tc>
          <w:tcPr>
            <w:tcW w:w="380" w:type="dxa"/>
            <w:vAlign w:val="bottom"/>
            <w:tcBorders>
              <w:bottom w:val="single" w:sz="8" w:color="CCEEFF"/>
            </w:tcBorders>
          </w:tcPr>
          <w:p>
            <w:pPr>
              <w:spacing w:after="0"/>
              <w:rPr>
                <w:sz w:val="15"/>
                <w:szCs w:val="15"/>
                <w:color w:val="auto"/>
              </w:rPr>
            </w:pPr>
          </w:p>
        </w:tc>
      </w:tr>
      <w:tr>
        <w:trPr>
          <w:trHeight w:val="156"/>
        </w:trPr>
        <w:tc>
          <w:tcPr>
            <w:tcW w:w="300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Jian Tang</w:t>
            </w:r>
          </w:p>
        </w:tc>
        <w:tc>
          <w:tcPr>
            <w:tcW w:w="104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rPr>
              <w:t>2,385,856(2)</w:t>
            </w: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rPr>
              <w:t>8.3%</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68"/>
              <w:spacing w:after="0" w:line="155" w:lineRule="exact"/>
              <w:rPr>
                <w:sz w:val="20"/>
                <w:szCs w:val="20"/>
                <w:color w:val="auto"/>
              </w:rPr>
            </w:pPr>
            <w:r>
              <w:rPr>
                <w:rFonts w:ascii="Arial" w:cs="Arial" w:eastAsia="Arial" w:hAnsi="Arial"/>
                <w:sz w:val="14"/>
                <w:szCs w:val="14"/>
                <w:color w:val="auto"/>
              </w:rPr>
              <w:t>27,913 (2)</w:t>
            </w: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rPr>
              <w:t>2,357,943(2)</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88"/>
              <w:spacing w:after="0" w:line="155" w:lineRule="exact"/>
              <w:rPr>
                <w:sz w:val="20"/>
                <w:szCs w:val="20"/>
                <w:color w:val="auto"/>
              </w:rPr>
            </w:pPr>
            <w:r>
              <w:rPr>
                <w:rFonts w:ascii="Arial" w:cs="Arial" w:eastAsia="Arial" w:hAnsi="Arial"/>
                <w:sz w:val="14"/>
                <w:szCs w:val="14"/>
                <w:color w:val="auto"/>
              </w:rPr>
              <w:t>27,913(2)</w:t>
            </w: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rPr>
              <w:t>2,357,943(2)</w:t>
            </w:r>
          </w:p>
        </w:tc>
        <w:tc>
          <w:tcPr>
            <w:tcW w:w="380" w:type="dxa"/>
            <w:vAlign w:val="bottom"/>
            <w:shd w:val="clear" w:color="auto" w:fill="CCEEFF"/>
          </w:tcPr>
          <w:p>
            <w:pPr>
              <w:spacing w:after="0"/>
              <w:rPr>
                <w:sz w:val="13"/>
                <w:szCs w:val="13"/>
                <w:color w:val="auto"/>
              </w:rPr>
            </w:pPr>
          </w:p>
        </w:tc>
      </w:tr>
      <w:tr>
        <w:trPr>
          <w:trHeight w:val="177"/>
        </w:trPr>
        <w:tc>
          <w:tcPr>
            <w:tcW w:w="3000" w:type="dxa"/>
            <w:vAlign w:val="bottom"/>
            <w:gridSpan w:val="2"/>
          </w:tcPr>
          <w:p>
            <w:pPr>
              <w:spacing w:after="0"/>
              <w:rPr>
                <w:sz w:val="20"/>
                <w:szCs w:val="20"/>
                <w:color w:val="auto"/>
              </w:rPr>
            </w:pPr>
            <w:r>
              <w:rPr>
                <w:rFonts w:ascii="Arial" w:cs="Arial" w:eastAsia="Arial" w:hAnsi="Arial"/>
                <w:sz w:val="14"/>
                <w:szCs w:val="14"/>
                <w:color w:val="auto"/>
              </w:rPr>
              <w:t>Igomax Inc.</w:t>
            </w:r>
          </w:p>
        </w:tc>
        <w:tc>
          <w:tcPr>
            <w:tcW w:w="1040" w:type="dxa"/>
            <w:vAlign w:val="bottom"/>
          </w:tcPr>
          <w:p>
            <w:pPr>
              <w:jc w:val="center"/>
              <w:spacing w:after="0"/>
              <w:rPr>
                <w:sz w:val="20"/>
                <w:szCs w:val="20"/>
                <w:color w:val="auto"/>
              </w:rPr>
            </w:pPr>
            <w:r>
              <w:rPr>
                <w:rFonts w:ascii="Arial" w:cs="Arial" w:eastAsia="Arial" w:hAnsi="Arial"/>
                <w:sz w:val="14"/>
                <w:szCs w:val="14"/>
                <w:color w:val="auto"/>
              </w:rPr>
              <w:t>2,357,943(3)</w:t>
            </w:r>
          </w:p>
        </w:tc>
        <w:tc>
          <w:tcPr>
            <w:tcW w:w="3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8.2%</w:t>
            </w:r>
          </w:p>
        </w:tc>
        <w:tc>
          <w:tcPr>
            <w:tcW w:w="340" w:type="dxa"/>
            <w:vAlign w:val="bottom"/>
          </w:tcPr>
          <w:p>
            <w:pPr>
              <w:spacing w:after="0"/>
              <w:rPr>
                <w:sz w:val="15"/>
                <w:szCs w:val="15"/>
                <w:color w:val="auto"/>
              </w:rPr>
            </w:pPr>
          </w:p>
        </w:tc>
        <w:tc>
          <w:tcPr>
            <w:tcW w:w="1140" w:type="dxa"/>
            <w:vAlign w:val="bottom"/>
          </w:tcPr>
          <w:p>
            <w:pPr>
              <w:jc w:val="right"/>
              <w:ind w:right="448"/>
              <w:spacing w:after="0"/>
              <w:rPr>
                <w:sz w:val="20"/>
                <w:szCs w:val="20"/>
                <w:color w:val="auto"/>
              </w:rPr>
            </w:pPr>
            <w:r>
              <w:rPr>
                <w:rFonts w:ascii="Arial" w:cs="Arial" w:eastAsia="Arial" w:hAnsi="Arial"/>
                <w:sz w:val="14"/>
                <w:szCs w:val="14"/>
                <w:color w:val="auto"/>
              </w:rPr>
              <w:t>0</w:t>
            </w:r>
          </w:p>
        </w:tc>
        <w:tc>
          <w:tcPr>
            <w:tcW w:w="34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rPr>
              <w:t>2,357,943(3)</w:t>
            </w:r>
          </w:p>
        </w:tc>
        <w:tc>
          <w:tcPr>
            <w:tcW w:w="340" w:type="dxa"/>
            <w:vAlign w:val="bottom"/>
          </w:tcPr>
          <w:p>
            <w:pPr>
              <w:spacing w:after="0"/>
              <w:rPr>
                <w:sz w:val="15"/>
                <w:szCs w:val="15"/>
                <w:color w:val="auto"/>
              </w:rPr>
            </w:pPr>
          </w:p>
        </w:tc>
        <w:tc>
          <w:tcPr>
            <w:tcW w:w="1140" w:type="dxa"/>
            <w:vAlign w:val="bottom"/>
          </w:tcPr>
          <w:p>
            <w:pPr>
              <w:jc w:val="right"/>
              <w:ind w:right="468"/>
              <w:spacing w:after="0"/>
              <w:rPr>
                <w:sz w:val="20"/>
                <w:szCs w:val="20"/>
                <w:color w:val="auto"/>
              </w:rPr>
            </w:pPr>
            <w:r>
              <w:rPr>
                <w:rFonts w:ascii="Arial" w:cs="Arial" w:eastAsia="Arial" w:hAnsi="Arial"/>
                <w:sz w:val="14"/>
                <w:szCs w:val="14"/>
                <w:color w:val="auto"/>
              </w:rPr>
              <w:t>0</w:t>
            </w:r>
          </w:p>
        </w:tc>
        <w:tc>
          <w:tcPr>
            <w:tcW w:w="3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2,357,943(3)</w:t>
            </w:r>
          </w:p>
        </w:tc>
        <w:tc>
          <w:tcPr>
            <w:tcW w:w="3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19380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334" w:lineRule="exact"/>
        <w:rPr>
          <w:sz w:val="20"/>
          <w:szCs w:val="20"/>
          <w:color w:val="auto"/>
        </w:rPr>
      </w:pPr>
    </w:p>
    <w:p>
      <w:pPr>
        <w:ind w:left="420" w:right="140" w:hanging="371"/>
        <w:spacing w:after="0" w:line="241" w:lineRule="auto"/>
        <w:tabs>
          <w:tab w:leader="none" w:pos="4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percentages set forth in this Schedule 13G are calculated based upon an aggregate of 28,584,491 ordinary shares, comprised of 23,763,883 Class A Ordinary Shares and 4,820,608 Class B Ordinary Shares, outstanding as of September 30, 2019, as reported in the Issuer’s Form 6-K filed with the Securities and Exchange Commission (the “SEC”) on November 27, 2019, and the number of ordinary shares such person or group has the right to acquire upon the exercise of options, warrants or other rights within 60 days after December 31, 2019.</w:t>
      </w:r>
    </w:p>
    <w:p>
      <w:pPr>
        <w:spacing w:after="0" w:line="1" w:lineRule="exact"/>
        <w:rPr>
          <w:rFonts w:ascii="Arial" w:cs="Arial" w:eastAsia="Arial" w:hAnsi="Arial"/>
          <w:sz w:val="14"/>
          <w:szCs w:val="14"/>
          <w:color w:val="auto"/>
        </w:rPr>
      </w:pPr>
    </w:p>
    <w:p>
      <w:pPr>
        <w:jc w:val="both"/>
        <w:ind w:left="420" w:right="140" w:hanging="371"/>
        <w:spacing w:after="0" w:line="241" w:lineRule="auto"/>
        <w:tabs>
          <w:tab w:leader="none" w:pos="4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(i) 2,320,028 Class B Ordinary Shares held by Igomax Inc., which may be converted into 2,320,028 Class A Ordinary Shares at any time by the holder thereof; (ii) 27,913 Class A Ordinary Shares that are issuable upon exercise of options held in trust by Mr. Jian Tang; and (iii) 37,915 Class A Ordinary Shares that Igomax Inc. has the right to obtain upon conversion of certain restricted share units it holds. Mr. Jian Tang is the sole director of Igomax Inc.</w:t>
      </w:r>
    </w:p>
    <w:p>
      <w:pPr>
        <w:spacing w:after="0" w:line="1" w:lineRule="exact"/>
        <w:rPr>
          <w:rFonts w:ascii="Arial" w:cs="Arial" w:eastAsia="Arial" w:hAnsi="Arial"/>
          <w:sz w:val="14"/>
          <w:szCs w:val="14"/>
          <w:color w:val="auto"/>
        </w:rPr>
      </w:pPr>
    </w:p>
    <w:p>
      <w:pPr>
        <w:ind w:left="420" w:right="80" w:hanging="371"/>
        <w:spacing w:after="0" w:line="258" w:lineRule="auto"/>
        <w:tabs>
          <w:tab w:leader="none" w:pos="4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(i) 2,320,028 Class B Ordinary Shares held by Igomax Inc., which may be converted into 2,320,028 Class A Ordinary Shares at any time by the holder thereof, and (ii) 37,915 Class A Ordinary Shares that Igomax Inc. has the right to obtain upon conversion of certain restricted share units it holds.</w:t>
      </w:r>
    </w:p>
    <w:p>
      <w:pPr>
        <w:spacing w:after="0" w:line="122"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4"/>
          <w:szCs w:val="14"/>
          <w:b w:val="1"/>
          <w:bCs w:val="1"/>
          <w:color w:val="auto"/>
        </w:rPr>
        <w:t>Ownership of Five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8890</wp:posOffset>
            </wp:positionV>
            <wp:extent cx="64916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91605" cy="8890"/>
                    </a:xfrm>
                    <a:prstGeom prst="rect">
                      <a:avLst/>
                    </a:prstGeom>
                    <a:noFill/>
                  </pic:spPr>
                </pic:pic>
              </a:graphicData>
            </a:graphic>
          </wp:anchor>
        </w:drawing>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 applicable</w:t>
      </w:r>
    </w:p>
    <w:p>
      <w:pPr>
        <w:spacing w:after="0" w:line="375"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4"/>
          <w:szCs w:val="14"/>
          <w:b w:val="1"/>
          <w:bCs w:val="1"/>
          <w:color w:val="auto"/>
        </w:rPr>
        <w:t>Ownership of More than Five Percent on Behalf of Another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8890</wp:posOffset>
            </wp:positionV>
            <wp:extent cx="64916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91605" cy="8890"/>
                    </a:xfrm>
                    <a:prstGeom prst="rect">
                      <a:avLst/>
                    </a:prstGeom>
                    <a:noFill/>
                  </pic:spPr>
                </pic:pic>
              </a:graphicData>
            </a:graphic>
          </wp:anchor>
        </w:drawing>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 applicable</w:t>
      </w:r>
    </w:p>
    <w:p>
      <w:pPr>
        <w:spacing w:after="0" w:line="375" w:lineRule="exact"/>
        <w:rPr>
          <w:sz w:val="20"/>
          <w:szCs w:val="20"/>
          <w:color w:val="auto"/>
        </w:rPr>
      </w:pPr>
    </w:p>
    <w:p>
      <w:pPr>
        <w:ind w:left="1200" w:right="1280" w:hanging="1134"/>
        <w:spacing w:after="0" w:line="305" w:lineRule="auto"/>
        <w:tabs>
          <w:tab w:leader="none" w:pos="118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4"/>
          <w:szCs w:val="14"/>
          <w:b w:val="1"/>
          <w:bCs w:val="1"/>
          <w:color w:val="auto"/>
        </w:rPr>
        <w:t>Identification and Classification of the Subsidiary Which Acquired the Security Being Reported on By the Parent Holding Company or Control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-36195</wp:posOffset>
            </wp:positionV>
            <wp:extent cx="64916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-147955</wp:posOffset>
            </wp:positionV>
            <wp:extent cx="64916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91605" cy="8890"/>
                    </a:xfrm>
                    <a:prstGeom prst="rect">
                      <a:avLst/>
                    </a:prstGeom>
                    <a:noFill/>
                  </pic:spPr>
                </pic:pic>
              </a:graphicData>
            </a:graphic>
          </wp:anchor>
        </w:drawing>
      </w:r>
    </w:p>
    <w:p>
      <w:pPr>
        <w:spacing w:after="0" w:line="75"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 applicable</w:t>
      </w:r>
    </w:p>
    <w:p>
      <w:pPr>
        <w:spacing w:after="0" w:line="375"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4"/>
          <w:szCs w:val="14"/>
          <w:b w:val="1"/>
          <w:bCs w:val="1"/>
          <w:color w:val="auto"/>
        </w:rPr>
        <w:t>Item 8.</w:t>
      </w:r>
      <w:r>
        <w:rPr>
          <w:sz w:val="20"/>
          <w:szCs w:val="20"/>
          <w:color w:val="auto"/>
        </w:rPr>
        <w:tab/>
      </w:r>
      <w:r>
        <w:rPr>
          <w:rFonts w:ascii="Arial" w:cs="Arial" w:eastAsia="Arial" w:hAnsi="Arial"/>
          <w:sz w:val="14"/>
          <w:szCs w:val="14"/>
          <w:b w:val="1"/>
          <w:bCs w:val="1"/>
          <w:color w:val="auto"/>
        </w:rPr>
        <w:t>Identification and Classification of Members of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8890</wp:posOffset>
            </wp:positionV>
            <wp:extent cx="64916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91605" cy="8890"/>
                    </a:xfrm>
                    <a:prstGeom prst="rect">
                      <a:avLst/>
                    </a:prstGeom>
                    <a:noFill/>
                  </pic:spPr>
                </pic:pic>
              </a:graphicData>
            </a:graphic>
          </wp:anchor>
        </w:drawing>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 applicable</w:t>
      </w:r>
    </w:p>
    <w:p>
      <w:pPr>
        <w:spacing w:after="0" w:line="375"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4"/>
          <w:szCs w:val="14"/>
          <w:b w:val="1"/>
          <w:bCs w:val="1"/>
          <w:color w:val="auto"/>
        </w:rPr>
        <w:t>Item 9.</w:t>
      </w:r>
      <w:r>
        <w:rPr>
          <w:sz w:val="20"/>
          <w:szCs w:val="20"/>
          <w:color w:val="auto"/>
        </w:rPr>
        <w:tab/>
      </w:r>
      <w:r>
        <w:rPr>
          <w:rFonts w:ascii="Arial" w:cs="Arial" w:eastAsia="Arial" w:hAnsi="Arial"/>
          <w:sz w:val="14"/>
          <w:szCs w:val="14"/>
          <w:b w:val="1"/>
          <w:bCs w:val="1"/>
          <w:color w:val="auto"/>
        </w:rPr>
        <w:t>Notice of Dissolution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8890</wp:posOffset>
            </wp:positionV>
            <wp:extent cx="64916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91605" cy="8890"/>
                    </a:xfrm>
                    <a:prstGeom prst="rect">
                      <a:avLst/>
                    </a:prstGeom>
                    <a:noFill/>
                  </pic:spPr>
                </pic:pic>
              </a:graphicData>
            </a:graphic>
          </wp:anchor>
        </w:drawing>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5" w:name="page6"/>
    <w:bookmarkEnd w:id="5"/>
    <w:p>
      <w:pPr>
        <w:ind w:left="60"/>
        <w:spacing w:after="0"/>
        <w:tabs>
          <w:tab w:leader="none" w:pos="1620" w:val="left"/>
        </w:tabs>
        <w:rPr>
          <w:sz w:val="20"/>
          <w:szCs w:val="20"/>
          <w:color w:val="auto"/>
        </w:rPr>
      </w:pPr>
      <w:r>
        <w:rPr>
          <w:rFonts w:ascii="Arial" w:cs="Arial" w:eastAsia="Arial" w:hAnsi="Arial"/>
          <w:sz w:val="14"/>
          <w:szCs w:val="14"/>
          <w:b w:val="1"/>
          <w:bCs w:val="1"/>
          <w:color w:val="auto"/>
        </w:rPr>
        <w:t>Item 10.</w:t>
      </w:r>
      <w:r>
        <w:rPr>
          <w:sz w:val="20"/>
          <w:szCs w:val="20"/>
          <w:color w:val="auto"/>
        </w:rPr>
        <w:tab/>
      </w:r>
      <w:r>
        <w:rPr>
          <w:rFonts w:ascii="Arial" w:cs="Arial" w:eastAsia="Arial" w:hAnsi="Arial"/>
          <w:sz w:val="14"/>
          <w:szCs w:val="14"/>
          <w:b w:val="1"/>
          <w:bCs w:val="1"/>
          <w:u w:val="single" w:color="auto"/>
          <w:color w:val="auto"/>
        </w:rPr>
        <w:t>Certifications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 applicable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SIGNATURE</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After reasonable inquiry and to the best of my knowledge and belief, I certify that the information set forth in this statement is true, complete and correct.</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Dated: February 13, 2020</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20"/>
                <w:szCs w:val="20"/>
                <w:color w:val="auto"/>
              </w:rPr>
            </w:pPr>
            <w:r>
              <w:rPr>
                <w:rFonts w:ascii="Arial" w:cs="Arial" w:eastAsia="Arial" w:hAnsi="Arial"/>
                <w:sz w:val="14"/>
                <w:szCs w:val="14"/>
                <w:color w:val="auto"/>
              </w:rPr>
              <w:t>Jian Tang</w:t>
            </w:r>
          </w:p>
        </w:tc>
        <w:tc>
          <w:tcPr>
            <w:tcW w:w="5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Jian Tang</w:t>
            </w:r>
          </w:p>
        </w:tc>
      </w:tr>
      <w:tr>
        <w:trPr>
          <w:trHeight w:val="385"/>
        </w:trPr>
        <w:tc>
          <w:tcPr>
            <w:tcW w:w="5820" w:type="dxa"/>
            <w:vAlign w:val="bottom"/>
          </w:tcPr>
          <w:p>
            <w:pPr>
              <w:spacing w:after="0"/>
              <w:rPr>
                <w:sz w:val="20"/>
                <w:szCs w:val="20"/>
                <w:color w:val="auto"/>
              </w:rPr>
            </w:pPr>
            <w:r>
              <w:rPr>
                <w:rFonts w:ascii="Arial" w:cs="Arial" w:eastAsia="Arial" w:hAnsi="Arial"/>
                <w:sz w:val="14"/>
                <w:szCs w:val="14"/>
                <w:color w:val="auto"/>
              </w:rPr>
              <w:t>Igomax Inc.</w:t>
            </w:r>
          </w:p>
        </w:tc>
        <w:tc>
          <w:tcPr>
            <w:tcW w:w="760" w:type="dxa"/>
            <w:vAlign w:val="bottom"/>
          </w:tcPr>
          <w:p>
            <w:pPr>
              <w:spacing w:after="0"/>
              <w:rPr>
                <w:sz w:val="20"/>
                <w:szCs w:val="20"/>
                <w:color w:val="auto"/>
              </w:rPr>
            </w:pPr>
            <w:r>
              <w:rPr>
                <w:rFonts w:ascii="Arial" w:cs="Arial" w:eastAsia="Arial" w:hAnsi="Arial"/>
                <w:sz w:val="14"/>
                <w:szCs w:val="14"/>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Jian Tang</w:t>
            </w:r>
          </w:p>
        </w:tc>
      </w:tr>
      <w:tr>
        <w:trPr>
          <w:trHeight w:val="171"/>
        </w:trPr>
        <w:tc>
          <w:tcPr>
            <w:tcW w:w="582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Name:</w:t>
            </w:r>
          </w:p>
        </w:tc>
        <w:tc>
          <w:tcPr>
            <w:tcW w:w="4800" w:type="dxa"/>
            <w:vAlign w:val="bottom"/>
          </w:tcPr>
          <w:p>
            <w:pPr>
              <w:spacing w:after="0"/>
              <w:rPr>
                <w:sz w:val="20"/>
                <w:szCs w:val="20"/>
                <w:color w:val="auto"/>
              </w:rPr>
            </w:pPr>
            <w:r>
              <w:rPr>
                <w:rFonts w:ascii="Arial" w:cs="Arial" w:eastAsia="Arial" w:hAnsi="Arial"/>
                <w:sz w:val="14"/>
                <w:szCs w:val="14"/>
                <w:color w:val="auto"/>
              </w:rPr>
              <w:t>Jian Tang</w:t>
            </w:r>
          </w:p>
        </w:tc>
      </w:tr>
      <w:tr>
        <w:trPr>
          <w:trHeight w:val="203"/>
        </w:trPr>
        <w:tc>
          <w:tcPr>
            <w:tcW w:w="582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Title:</w:t>
            </w:r>
          </w:p>
        </w:tc>
        <w:tc>
          <w:tcPr>
            <w:tcW w:w="4800" w:type="dxa"/>
            <w:vAlign w:val="bottom"/>
          </w:tcPr>
          <w:p>
            <w:pPr>
              <w:spacing w:after="0"/>
              <w:rPr>
                <w:sz w:val="20"/>
                <w:szCs w:val="20"/>
                <w:color w:val="auto"/>
              </w:rPr>
            </w:pPr>
            <w:r>
              <w:rPr>
                <w:rFonts w:ascii="Arial" w:cs="Arial" w:eastAsia="Arial" w:hAnsi="Arial"/>
                <w:sz w:val="14"/>
                <w:szCs w:val="14"/>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56" w:right="279" w:bottom="1440" w:gutter="0" w:footer="0" w:header="0"/>
        </w:sectPr>
      </w:pPr>
    </w:p>
    <w:bookmarkStart w:id="6" w:name="page7"/>
    <w:bookmarkEnd w:id="6"/>
    <w:p>
      <w:pPr>
        <w:jc w:val="right"/>
        <w:ind w:right="3799"/>
        <w:spacing w:after="0"/>
        <w:rPr>
          <w:sz w:val="20"/>
          <w:szCs w:val="20"/>
          <w:color w:val="auto"/>
        </w:rPr>
      </w:pPr>
      <w:r>
        <w:rPr>
          <w:rFonts w:ascii="Arial" w:cs="Arial" w:eastAsia="Arial" w:hAnsi="Arial"/>
          <w:sz w:val="16"/>
          <w:szCs w:val="16"/>
          <w:b w:val="1"/>
          <w:bCs w:val="1"/>
          <w:color w:val="auto"/>
        </w:rPr>
        <w:t>LIST OF EXHIBITS</w:t>
      </w:r>
    </w:p>
    <w:p>
      <w:pPr>
        <w:spacing w:after="0" w:line="214"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Exhibit 99.1 — </w:t>
      </w:r>
      <w:hyperlink w:anchor="page8">
        <w:r>
          <w:rPr>
            <w:rFonts w:ascii="Arial" w:cs="Arial" w:eastAsia="Arial" w:hAnsi="Arial"/>
            <w:sz w:val="16"/>
            <w:szCs w:val="16"/>
            <w:u w:val="single" w:color="auto"/>
            <w:color w:val="0000EE"/>
          </w:rPr>
          <w:t>Joint Filing Agreement</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219"/>
          </w:cols>
          <w:pgMar w:left="240" w:top="351"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5"/>
          <w:szCs w:val="15"/>
          <w:b w:val="1"/>
          <w:bCs w:val="1"/>
          <w:color w:val="auto"/>
        </w:rPr>
        <w:t>Exhibit 99.1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JOINT FILING AGREEMENT</w:t>
      </w:r>
    </w:p>
    <w:p>
      <w:pPr>
        <w:spacing w:after="0" w:line="217"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Class A ordinary shares, par value of $0.001 per share, of iClick Interactive Asia Group Limited, a Cayman Islands exempted company, and that this Agreement may be included as an exhibit to such joint filing. This Agreement may be executed in any number of counterparts, all of which taken together shall constitute one and the same instrument.</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IN WITNESS WHEREOF, the undersigned hereby execute this Agreement as of February 13, 2020.</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20"/>
                <w:szCs w:val="20"/>
                <w:color w:val="auto"/>
              </w:rPr>
            </w:pPr>
            <w:r>
              <w:rPr>
                <w:rFonts w:ascii="Arial" w:cs="Arial" w:eastAsia="Arial" w:hAnsi="Arial"/>
                <w:sz w:val="14"/>
                <w:szCs w:val="14"/>
                <w:color w:val="auto"/>
              </w:rPr>
              <w:t>Jian Tang</w:t>
            </w: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Jian Tang</w:t>
            </w:r>
          </w:p>
        </w:tc>
      </w:tr>
      <w:tr>
        <w:trPr>
          <w:trHeight w:val="358"/>
        </w:trPr>
        <w:tc>
          <w:tcPr>
            <w:tcW w:w="5820" w:type="dxa"/>
            <w:vAlign w:val="bottom"/>
          </w:tcPr>
          <w:p>
            <w:pPr>
              <w:spacing w:after="0"/>
              <w:rPr>
                <w:sz w:val="20"/>
                <w:szCs w:val="20"/>
                <w:color w:val="auto"/>
              </w:rPr>
            </w:pPr>
            <w:r>
              <w:rPr>
                <w:rFonts w:ascii="Arial" w:cs="Arial" w:eastAsia="Arial" w:hAnsi="Arial"/>
                <w:sz w:val="14"/>
                <w:szCs w:val="14"/>
                <w:color w:val="auto"/>
              </w:rPr>
              <w:t>Igomax Inc.</w:t>
            </w:r>
          </w:p>
        </w:tc>
        <w:tc>
          <w:tcPr>
            <w:tcW w:w="760" w:type="dxa"/>
            <w:vAlign w:val="bottom"/>
          </w:tcPr>
          <w:p>
            <w:pPr>
              <w:spacing w:after="0"/>
              <w:rPr>
                <w:sz w:val="20"/>
                <w:szCs w:val="20"/>
                <w:color w:val="auto"/>
              </w:rPr>
            </w:pPr>
            <w:r>
              <w:rPr>
                <w:rFonts w:ascii="Arial" w:cs="Arial" w:eastAsia="Arial" w:hAnsi="Arial"/>
                <w:sz w:val="14"/>
                <w:szCs w:val="14"/>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Jian Tang</w:t>
            </w:r>
          </w:p>
        </w:tc>
      </w:tr>
      <w:tr>
        <w:trPr>
          <w:trHeight w:val="171"/>
        </w:trPr>
        <w:tc>
          <w:tcPr>
            <w:tcW w:w="582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Name:</w:t>
            </w:r>
          </w:p>
        </w:tc>
        <w:tc>
          <w:tcPr>
            <w:tcW w:w="4840" w:type="dxa"/>
            <w:vAlign w:val="bottom"/>
          </w:tcPr>
          <w:p>
            <w:pPr>
              <w:spacing w:after="0"/>
              <w:rPr>
                <w:sz w:val="20"/>
                <w:szCs w:val="20"/>
                <w:color w:val="auto"/>
              </w:rPr>
            </w:pPr>
            <w:r>
              <w:rPr>
                <w:rFonts w:ascii="Arial" w:cs="Arial" w:eastAsia="Arial" w:hAnsi="Arial"/>
                <w:sz w:val="14"/>
                <w:szCs w:val="14"/>
                <w:color w:val="auto"/>
              </w:rPr>
              <w:t>Jian Tang</w:t>
            </w:r>
          </w:p>
        </w:tc>
      </w:tr>
      <w:tr>
        <w:trPr>
          <w:trHeight w:val="203"/>
        </w:trPr>
        <w:tc>
          <w:tcPr>
            <w:tcW w:w="582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Title:</w:t>
            </w:r>
          </w:p>
        </w:tc>
        <w:tc>
          <w:tcPr>
            <w:tcW w:w="4840" w:type="dxa"/>
            <w:vAlign w:val="bottom"/>
          </w:tcPr>
          <w:p>
            <w:pPr>
              <w:spacing w:after="0"/>
              <w:rPr>
                <w:sz w:val="20"/>
                <w:szCs w:val="20"/>
                <w:color w:val="auto"/>
              </w:rPr>
            </w:pPr>
            <w:r>
              <w:rPr>
                <w:rFonts w:ascii="Arial" w:cs="Arial" w:eastAsia="Arial" w:hAnsi="Arial"/>
                <w:sz w:val="14"/>
                <w:szCs w:val="14"/>
                <w:color w:val="auto"/>
              </w:rPr>
              <w:t>Director</w:t>
            </w:r>
          </w:p>
        </w:tc>
      </w:tr>
      <w:tr>
        <w:trPr>
          <w:trHeight w:val="296"/>
        </w:trPr>
        <w:tc>
          <w:tcPr>
            <w:tcW w:w="58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840" w:type="dxa"/>
            <w:vAlign w:val="bottom"/>
            <w:tcBorders>
              <w:bottom w:val="single" w:sz="8" w:color="808080"/>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o"/>
      <w:numFmt w:val="bullet"/>
      <w:start w:val="1"/>
    </w:lvl>
  </w:abstractNum>
  <w:abstractNum w:abstractNumId="1">
    <w:nsid w:val="140E0F76"/>
    <w:multiLevelType w:val="hybridMultilevel"/>
    <w:lvl w:ilvl="0">
      <w:lvlJc w:val="left"/>
      <w:lvlText w:val="X"/>
      <w:numFmt w:val="bullet"/>
      <w:start w:val="1"/>
    </w:lvl>
  </w:abstractNum>
  <w:abstractNum w:abstractNumId="2">
    <w:nsid w:val="3352255A"/>
    <w:multiLevelType w:val="hybridMultilevel"/>
    <w:lvl w:ilvl="0">
      <w:lvlJc w:val="left"/>
      <w:lvlText w:val="1"/>
      <w:numFmt w:val="bullet"/>
      <w:start w:val="1"/>
    </w:lvl>
  </w:abstractNum>
  <w:abstractNum w:abstractNumId="3">
    <w:nsid w:val="109CF92E"/>
    <w:multiLevelType w:val="hybridMultilevel"/>
    <w:lvl w:ilvl="0">
      <w:lvlJc w:val="left"/>
      <w:lvlText w:val="2"/>
      <w:numFmt w:val="bullet"/>
      <w:start w:val="1"/>
    </w:lvl>
    <w:lvl w:ilvl="1">
      <w:lvlJc w:val="left"/>
      <w:lvlText w:val="(%2)"/>
      <w:numFmt w:val="lowerLetter"/>
      <w:start w:val="1"/>
    </w:lvl>
  </w:abstractNum>
  <w:abstractNum w:abstractNumId="4">
    <w:nsid w:val="DED7263"/>
    <w:multiLevelType w:val="hybridMultilevel"/>
    <w:lvl w:ilvl="0">
      <w:lvlJc w:val="left"/>
      <w:lvlText w:val="3"/>
      <w:numFmt w:val="bullet"/>
      <w:start w:val="1"/>
    </w:lvl>
  </w:abstractNum>
  <w:abstractNum w:abstractNumId="5">
    <w:nsid w:val="7FDCC233"/>
    <w:multiLevelType w:val="hybridMultilevel"/>
    <w:lvl w:ilvl="0">
      <w:lvlJc w:val="left"/>
      <w:lvlText w:val="4"/>
      <w:numFmt w:val="bullet"/>
      <w:start w:val="1"/>
    </w:lvl>
  </w:abstractNum>
  <w:abstractNum w:abstractNumId="6">
    <w:nsid w:val="1BEFD79F"/>
    <w:multiLevelType w:val="hybridMultilevel"/>
    <w:lvl w:ilvl="0">
      <w:lvlJc w:val="left"/>
      <w:lvlText w:val="5"/>
      <w:numFmt w:val="bullet"/>
      <w:start w:val="1"/>
    </w:lvl>
  </w:abstractNum>
  <w:abstractNum w:abstractNumId="7">
    <w:nsid w:val="41A7C4C9"/>
    <w:multiLevelType w:val="hybridMultilevel"/>
    <w:lvl w:ilvl="0">
      <w:lvlJc w:val="left"/>
      <w:lvlText w:val="6"/>
      <w:numFmt w:val="bullet"/>
      <w:start w:val="1"/>
    </w:lvl>
  </w:abstractNum>
  <w:abstractNum w:abstractNumId="8">
    <w:nsid w:val="6B68079A"/>
    <w:multiLevelType w:val="hybridMultilevel"/>
    <w:lvl w:ilvl="0">
      <w:lvlJc w:val="left"/>
      <w:lvlText w:val="7"/>
      <w:numFmt w:val="bullet"/>
      <w:start w:val="1"/>
    </w:lvl>
  </w:abstractNum>
  <w:abstractNum w:abstractNumId="9">
    <w:nsid w:val="4E6AFB66"/>
    <w:multiLevelType w:val="hybridMultilevel"/>
    <w:lvl w:ilvl="0">
      <w:lvlJc w:val="left"/>
      <w:lvlText w:val="8"/>
      <w:numFmt w:val="bullet"/>
      <w:start w:val="1"/>
    </w:lvl>
  </w:abstractNum>
  <w:abstractNum w:abstractNumId="10">
    <w:nsid w:val="25E45D32"/>
    <w:multiLevelType w:val="hybridMultilevel"/>
    <w:lvl w:ilvl="0">
      <w:lvlJc w:val="left"/>
      <w:lvlText w:val="9"/>
      <w:numFmt w:val="bullet"/>
      <w:start w:val="1"/>
    </w:lvl>
  </w:abstractNum>
  <w:abstractNum w:abstractNumId="11">
    <w:nsid w:val="519B500D"/>
    <w:multiLevelType w:val="hybridMultilevel"/>
    <w:lvl w:ilvl="0">
      <w:lvlJc w:val="left"/>
      <w:lvlText w:val="%1"/>
      <w:numFmt w:val="decimal"/>
      <w:start w:val="10"/>
    </w:lvl>
  </w:abstractNum>
  <w:abstractNum w:abstractNumId="12">
    <w:nsid w:val="431BD7B7"/>
    <w:multiLevelType w:val="hybridMultilevel"/>
    <w:lvl w:ilvl="0">
      <w:lvlJc w:val="left"/>
      <w:lvlText w:val="4"/>
      <w:numFmt w:val="bullet"/>
      <w:start w:val="1"/>
    </w:lvl>
  </w:abstractNum>
  <w:abstractNum w:abstractNumId="13">
    <w:nsid w:val="3F2DBA31"/>
    <w:multiLevelType w:val="hybridMultilevel"/>
    <w:lvl w:ilvl="0">
      <w:lvlJc w:val="left"/>
      <w:lvlText w:val="2"/>
      <w:numFmt w:val="bullet"/>
      <w:start w:val="1"/>
    </w:lvl>
    <w:lvl w:ilvl="1">
      <w:lvlJc w:val="left"/>
      <w:lvlText w:val="(%2)"/>
      <w:numFmt w:val="lowerLetter"/>
      <w:start w:val="1"/>
    </w:lvl>
  </w:abstractNum>
  <w:abstractNum w:abstractNumId="14">
    <w:nsid w:val="7C83E458"/>
    <w:multiLevelType w:val="hybridMultilevel"/>
    <w:lvl w:ilvl="0">
      <w:lvlJc w:val="left"/>
      <w:lvlText w:val="3"/>
      <w:numFmt w:val="bullet"/>
      <w:start w:val="1"/>
    </w:lvl>
  </w:abstractNum>
  <w:abstractNum w:abstractNumId="15">
    <w:nsid w:val="257130A3"/>
    <w:multiLevelType w:val="hybridMultilevel"/>
    <w:lvl w:ilvl="0">
      <w:lvlJc w:val="left"/>
      <w:lvlText w:val="4"/>
      <w:numFmt w:val="bullet"/>
      <w:start w:val="1"/>
    </w:lvl>
  </w:abstractNum>
  <w:abstractNum w:abstractNumId="16">
    <w:nsid w:val="62BBD95A"/>
    <w:multiLevelType w:val="hybridMultilevel"/>
    <w:lvl w:ilvl="0">
      <w:lvlJc w:val="left"/>
      <w:lvlText w:val="5"/>
      <w:numFmt w:val="bullet"/>
      <w:start w:val="1"/>
    </w:lvl>
  </w:abstractNum>
  <w:abstractNum w:abstractNumId="17">
    <w:nsid w:val="436C6125"/>
    <w:multiLevelType w:val="hybridMultilevel"/>
    <w:lvl w:ilvl="0">
      <w:lvlJc w:val="left"/>
      <w:lvlText w:val="6"/>
      <w:numFmt w:val="bullet"/>
      <w:start w:val="1"/>
    </w:lvl>
  </w:abstractNum>
  <w:abstractNum w:abstractNumId="18">
    <w:nsid w:val="628C895D"/>
    <w:multiLevelType w:val="hybridMultilevel"/>
    <w:lvl w:ilvl="0">
      <w:lvlJc w:val="left"/>
      <w:lvlText w:val="7"/>
      <w:numFmt w:val="bullet"/>
      <w:start w:val="1"/>
    </w:lvl>
  </w:abstractNum>
  <w:abstractNum w:abstractNumId="19">
    <w:nsid w:val="333AB105"/>
    <w:multiLevelType w:val="hybridMultilevel"/>
    <w:lvl w:ilvl="0">
      <w:lvlJc w:val="left"/>
      <w:lvlText w:val="8"/>
      <w:numFmt w:val="bullet"/>
      <w:start w:val="1"/>
    </w:lvl>
  </w:abstractNum>
  <w:abstractNum w:abstractNumId="20">
    <w:nsid w:val="721DA317"/>
    <w:multiLevelType w:val="hybridMultilevel"/>
    <w:lvl w:ilvl="0">
      <w:lvlJc w:val="left"/>
      <w:lvlText w:val="9"/>
      <w:numFmt w:val="bullet"/>
      <w:start w:val="1"/>
    </w:lvl>
  </w:abstractNum>
  <w:abstractNum w:abstractNumId="21">
    <w:nsid w:val="2443A858"/>
    <w:multiLevelType w:val="hybridMultilevel"/>
    <w:lvl w:ilvl="0">
      <w:lvlJc w:val="left"/>
      <w:lvlText w:val="%1"/>
      <w:numFmt w:val="decimal"/>
      <w:start w:val="10"/>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2020-02-13T11:46:12Z</dcterms:created>
  <dcterms:modified xsi:type="dcterms:W3CDTF">2020-02-13T11:46:12Z</dcterms:modified>
</cp:coreProperties>
</file>