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99"/>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0"/>
          <w:szCs w:val="40"/>
          <w:b w:val="1"/>
          <w:bCs w:val="1"/>
          <w:color w:val="auto"/>
        </w:rPr>
        <w:t>iClick Interactive Asia Group Limited</w:t>
      </w:r>
    </w:p>
    <w:p>
      <w:pPr>
        <w:spacing w:after="0" w:line="4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Class A Ordinary Shares, par value of $0.001 per share</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G47048 106</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Chik Yu Chung Roni</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10/F RmB Wai Yu Court</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8 Hong Ping Street</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Chai Wan,</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Hong Kong S.A.R.</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+852 3700 9000</w:t>
      </w:r>
    </w:p>
    <w:p>
      <w:pPr>
        <w:spacing w:after="0" w:line="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November 24, 2023</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304800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8" w:lineRule="exact"/>
        <w:rPr>
          <w:sz w:val="24"/>
          <w:szCs w:val="24"/>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Rule 13d-7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6"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183515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20"/>
          </w:cols>
          <w:pgMar w:left="440" w:top="376" w:right="5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G47048 106</w:t>
      </w:r>
    </w:p>
    <w:p>
      <w:pPr>
        <w:spacing w:after="0" w:line="266" w:lineRule="exact"/>
        <w:rPr>
          <w:sz w:val="20"/>
          <w:szCs w:val="20"/>
          <w:color w:val="auto"/>
        </w:rPr>
      </w:pPr>
    </w:p>
    <w:p>
      <w:pPr>
        <w:ind w:left="664" w:right="1840" w:hanging="417"/>
        <w:spacing w:after="0" w:line="406" w:lineRule="auto"/>
        <w:tabs>
          <w:tab w:leader="none" w:pos="6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I.R.S. IDENTIFICATION NOS. OF ABOVE PERSONS (ENTITIES ONLY) Chik Yu Chung Roni</w:t>
      </w:r>
    </w:p>
    <w:p>
      <w:pPr>
        <w:spacing w:after="0" w:line="1"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4" w:hanging="417"/>
        <w:spacing w:after="0"/>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DISCLOSURE OF LEGAL PROCEEDINGS IS REQUIRED PURSUANT TO ITEMS 2(d) or 2(e)</w:t>
      </w:r>
    </w:p>
    <w:p>
      <w:pPr>
        <w:spacing w:after="0" w:line="211"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33"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Hong Kong S.A.R.</w:t>
      </w:r>
    </w:p>
    <w:p>
      <w:pPr>
        <w:spacing w:after="0" w:line="36" w:lineRule="exact"/>
        <w:rPr>
          <w:sz w:val="20"/>
          <w:szCs w:val="20"/>
          <w:color w:val="auto"/>
        </w:rPr>
      </w:pPr>
    </w:p>
    <w:p>
      <w:pPr>
        <w:ind w:left="2064" w:hanging="422"/>
        <w:spacing w:after="0"/>
        <w:tabs>
          <w:tab w:leader="none" w:pos="20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133" w:lineRule="exact"/>
        <w:rPr>
          <w:sz w:val="20"/>
          <w:szCs w:val="20"/>
          <w:color w:val="auto"/>
        </w:rPr>
      </w:pPr>
    </w:p>
    <w:tbl>
      <w:tblPr>
        <w:tblLayout w:type="fixed"/>
        <w:tblInd w:w="164" w:type="dxa"/>
        <w:tblCellMar>
          <w:top w:w="0" w:type="dxa"/>
          <w:left w:w="0" w:type="dxa"/>
          <w:bottom w:w="0" w:type="dxa"/>
          <w:right w:w="0" w:type="dxa"/>
        </w:tblCellMar>
      </w:tblPr>
      <w:tr>
        <w:trPr>
          <w:trHeight w:val="299"/>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Pr>
          <w:p>
            <w:pPr>
              <w:spacing w:after="0"/>
              <w:rPr>
                <w:sz w:val="24"/>
                <w:szCs w:val="24"/>
                <w:color w:val="auto"/>
              </w:rPr>
            </w:pPr>
          </w:p>
        </w:tc>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560</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67"/>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48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9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80" w:type="dxa"/>
            <w:vAlign w:val="bottom"/>
            <w:vMerge w:val="continue"/>
          </w:tcPr>
          <w:p>
            <w:pPr>
              <w:spacing w:after="0"/>
              <w:rPr>
                <w:sz w:val="9"/>
                <w:szCs w:val="9"/>
                <w:color w:val="auto"/>
              </w:rPr>
            </w:pPr>
          </w:p>
        </w:tc>
        <w:tc>
          <w:tcPr>
            <w:tcW w:w="8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28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8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18"/>
                <w:szCs w:val="18"/>
                <w:color w:val="auto"/>
              </w:rPr>
            </w:pPr>
          </w:p>
        </w:tc>
        <w:tc>
          <w:tcPr>
            <w:tcW w:w="89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80" w:type="dxa"/>
            <w:vAlign w:val="bottom"/>
            <w:tcBorders>
              <w:bottom w:val="single" w:sz="8" w:color="auto"/>
            </w:tcBorders>
          </w:tcPr>
          <w:p>
            <w:pPr>
              <w:spacing w:after="0"/>
              <w:rPr>
                <w:sz w:val="10"/>
                <w:szCs w:val="10"/>
                <w:color w:val="auto"/>
              </w:rPr>
            </w:pPr>
          </w:p>
        </w:tc>
        <w:tc>
          <w:tcPr>
            <w:tcW w:w="89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280" w:type="dxa"/>
            <w:vAlign w:val="bottom"/>
            <w:vMerge w:val="continue"/>
          </w:tcPr>
          <w:p>
            <w:pPr>
              <w:spacing w:after="0"/>
              <w:rPr>
                <w:sz w:val="6"/>
                <w:szCs w:val="6"/>
                <w:color w:val="auto"/>
              </w:rPr>
            </w:pPr>
          </w:p>
        </w:tc>
        <w:tc>
          <w:tcPr>
            <w:tcW w:w="4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89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80" w:type="dxa"/>
            <w:vAlign w:val="bottom"/>
            <w:vMerge w:val="continue"/>
          </w:tcPr>
          <w:p>
            <w:pPr>
              <w:spacing w:after="0"/>
              <w:rPr>
                <w:sz w:val="13"/>
                <w:szCs w:val="13"/>
                <w:color w:val="auto"/>
              </w:rPr>
            </w:pPr>
          </w:p>
        </w:tc>
        <w:tc>
          <w:tcPr>
            <w:tcW w:w="8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28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8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80" w:type="dxa"/>
            <w:vAlign w:val="bottom"/>
          </w:tcPr>
          <w:p>
            <w:pPr>
              <w:spacing w:after="0"/>
              <w:rPr>
                <w:sz w:val="18"/>
                <w:szCs w:val="18"/>
                <w:color w:val="auto"/>
              </w:rPr>
            </w:pPr>
          </w:p>
        </w:tc>
        <w:tc>
          <w:tcPr>
            <w:tcW w:w="8980" w:type="dxa"/>
            <w:vAlign w:val="bottom"/>
            <w:vMerge w:val="restart"/>
          </w:tcPr>
          <w:p>
            <w:pPr>
              <w:ind w:left="140"/>
              <w:spacing w:after="0" w:line="396" w:lineRule="exact"/>
              <w:rPr>
                <w:sz w:val="20"/>
                <w:szCs w:val="20"/>
                <w:color w:val="auto"/>
              </w:rPr>
            </w:pPr>
            <w:r>
              <w:rPr>
                <w:rFonts w:ascii="Times New Roman" w:cs="Times New Roman" w:eastAsia="Times New Roman" w:hAnsi="Times New Roman"/>
                <w:sz w:val="35"/>
                <w:szCs w:val="35"/>
                <w:color w:val="auto"/>
                <w:vertAlign w:val="subscript"/>
              </w:rPr>
              <w:t>560</w:t>
            </w: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96"/>
        </w:trPr>
        <w:tc>
          <w:tcPr>
            <w:tcW w:w="128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rPr>
              <w:t>WITH</w:t>
            </w:r>
          </w:p>
        </w:tc>
        <w:tc>
          <w:tcPr>
            <w:tcW w:w="480" w:type="dxa"/>
            <w:vAlign w:val="bottom"/>
          </w:tcPr>
          <w:p>
            <w:pPr>
              <w:spacing w:after="0"/>
              <w:rPr>
                <w:sz w:val="17"/>
                <w:szCs w:val="17"/>
                <w:color w:val="auto"/>
              </w:rPr>
            </w:pPr>
          </w:p>
        </w:tc>
        <w:tc>
          <w:tcPr>
            <w:tcW w:w="8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2064" w:right="6320" w:hanging="512"/>
        <w:spacing w:after="0" w:line="395" w:lineRule="auto"/>
        <w:tabs>
          <w:tab w:leader="none" w:pos="206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ind w:left="744" w:right="3600" w:hanging="497"/>
        <w:spacing w:after="0" w:line="406" w:lineRule="auto"/>
        <w:tabs>
          <w:tab w:leader="none" w:pos="73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560</w:t>
      </w:r>
    </w:p>
    <w:p>
      <w:pPr>
        <w:spacing w:after="0" w:line="1" w:lineRule="exact"/>
        <w:rPr>
          <w:rFonts w:ascii="Times New Roman" w:cs="Times New Roman" w:eastAsia="Times New Roman" w:hAnsi="Times New Roman"/>
          <w:sz w:val="18"/>
          <w:szCs w:val="18"/>
          <w:color w:val="auto"/>
        </w:rPr>
      </w:pPr>
    </w:p>
    <w:p>
      <w:pPr>
        <w:ind w:left="744" w:hanging="497"/>
        <w:spacing w:after="0"/>
        <w:tabs>
          <w:tab w:leader="none" w:pos="74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7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744" w:hanging="497"/>
        <w:spacing w:after="0"/>
        <w:tabs>
          <w:tab w:leader="none" w:pos="74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196" w:lineRule="exact"/>
        <w:rPr>
          <w:rFonts w:ascii="Times New Roman" w:cs="Times New Roman" w:eastAsia="Times New Roman" w:hAnsi="Times New Roman"/>
          <w:sz w:val="18"/>
          <w:szCs w:val="18"/>
          <w:color w:val="auto"/>
        </w:rPr>
      </w:pPr>
    </w:p>
    <w:p>
      <w:pPr>
        <w:ind w:left="7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w:t>
      </w:r>
      <w:r>
        <w:rPr>
          <w:rFonts w:ascii="Times New Roman" w:cs="Times New Roman" w:eastAsia="Times New Roman" w:hAnsi="Times New Roman"/>
          <w:sz w:val="26"/>
          <w:szCs w:val="26"/>
          <w:color w:val="auto"/>
          <w:vertAlign w:val="superscript"/>
        </w:rPr>
        <w:t>(2)</w:t>
      </w:r>
    </w:p>
    <w:p>
      <w:pPr>
        <w:ind w:left="744" w:hanging="497"/>
        <w:spacing w:after="0"/>
        <w:tabs>
          <w:tab w:leader="none" w:pos="74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32" w:lineRule="exact"/>
        <w:rPr>
          <w:rFonts w:ascii="Times New Roman" w:cs="Times New Roman" w:eastAsia="Times New Roman" w:hAnsi="Times New Roman"/>
          <w:sz w:val="18"/>
          <w:szCs w:val="18"/>
          <w:color w:val="auto"/>
        </w:rPr>
      </w:pPr>
    </w:p>
    <w:p>
      <w:pPr>
        <w:ind w:left="7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right="240" w:hanging="424"/>
        <w:spacing w:after="0" w:line="261"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Comprises 560 Class A Ordinary Shares held by the Reporting Person. Does not include 1,130 Class A Ordinary Shares that are issuable upon vesting of restricted stock units held by the Reporting Person that cannot vest within 60 days.</w:t>
      </w:r>
    </w:p>
    <w:p>
      <w:pPr>
        <w:ind w:left="424" w:right="100" w:hanging="424"/>
        <w:spacing w:after="0" w:line="255"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ownership calculation assumes that there is a total of 44,477,356 Class A Ordinary Shares outstanding as of November 24, 2023, as specified in the Merger Agreement (as defined herein) filed by the Issuer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November 24, 2023.</w:t>
      </w:r>
    </w:p>
    <w:p>
      <w:pPr>
        <w:sectPr>
          <w:pgSz w:w="11900" w:h="16838" w:orient="portrait"/>
          <w:cols w:equalWidth="0" w:num="1">
            <w:col w:w="10904"/>
          </w:cols>
          <w:pgMar w:left="436" w:top="270"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 Security and Issuer.</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This Schedule 13D (this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relates to Class A Ordinary Shares, par value of $0.001 per share (the “</w:t>
      </w:r>
      <w:r>
        <w:rPr>
          <w:rFonts w:ascii="Times New Roman" w:cs="Times New Roman" w:eastAsia="Times New Roman" w:hAnsi="Times New Roman"/>
          <w:sz w:val="18"/>
          <w:szCs w:val="18"/>
          <w:u w:val="single" w:color="auto"/>
          <w:color w:val="auto"/>
        </w:rPr>
        <w:t>Class A Ordinary Shares</w:t>
      </w:r>
      <w:r>
        <w:rPr>
          <w:rFonts w:ascii="Times New Roman" w:cs="Times New Roman" w:eastAsia="Times New Roman" w:hAnsi="Times New Roman"/>
          <w:sz w:val="18"/>
          <w:szCs w:val="18"/>
          <w:color w:val="auto"/>
        </w:rPr>
        <w:t>”) of iClick Interactive Asia Group Limited, a company incorporated in the Cayman Islands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Issuer’s ordinary shares consist of Class A Ordinary Shares and Class B ordinary shares, par value of $0.001 per share (the “</w:t>
      </w:r>
      <w:r>
        <w:rPr>
          <w:rFonts w:ascii="Times New Roman" w:cs="Times New Roman" w:eastAsia="Times New Roman" w:hAnsi="Times New Roman"/>
          <w:sz w:val="18"/>
          <w:szCs w:val="18"/>
          <w:u w:val="single" w:color="auto"/>
          <w:color w:val="auto"/>
        </w:rPr>
        <w:t>Class B 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together with the Class A Ordinary Shares,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The rights of the holders of Class A Ordinary Shares and Class B Ordinary Shares are identical, except with respect to conversion rights and voting rights. Each Class B Ordinary Share is convertible at the option of the holder at any time into one Class A Ordinary Share. Each Class B Ordinary Share is entitled to twenty (20) votes per share, whereas each Class A Ordinary Share is entitled to one (1) vote per share.</w:t>
      </w:r>
    </w:p>
    <w:p>
      <w:pPr>
        <w:spacing w:after="0" w:line="18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Issuer’s American Depositary Shares (the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(one representing five Class A Ordinary Shares) are listed on the NASDAQ Global Market under the symbol “ICLK.”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Issuer’s principal executive office is located at 15/F, Prosperity Millennia Plaza, 663 King’s Road, Quarry Bay, Hong Kong S.A.R.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 (c), (f)</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This Schedule 13D is being filed by Chik Yu Chung Roni (the “</w:t>
      </w:r>
      <w:r>
        <w:rPr>
          <w:rFonts w:ascii="Times New Roman" w:cs="Times New Roman" w:eastAsia="Times New Roman" w:hAnsi="Times New Roman"/>
          <w:sz w:val="18"/>
          <w:szCs w:val="18"/>
          <w:u w:val="single" w:color="auto"/>
          <w:color w:val="auto"/>
        </w:rPr>
        <w:t>Reporting Person</w:t>
      </w:r>
      <w:r>
        <w:rPr>
          <w:rFonts w:ascii="Times New Roman" w:cs="Times New Roman" w:eastAsia="Times New Roman" w:hAnsi="Times New Roman"/>
          <w:sz w:val="18"/>
          <w:szCs w:val="18"/>
          <w:color w:val="auto"/>
        </w:rPr>
        <w:t>”) and is being filed because the Reporting Person may be deemed to have a formed a “group” with certain other persons, as described in Item 4 herein.</w:t>
      </w:r>
    </w:p>
    <w:p>
      <w:pPr>
        <w:spacing w:after="0" w:line="16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Reporting Person is the General Manager of CMRS Digital Solutions Limited (“</w:t>
      </w:r>
      <w:r>
        <w:rPr>
          <w:rFonts w:ascii="Times New Roman" w:cs="Times New Roman" w:eastAsia="Times New Roman" w:hAnsi="Times New Roman"/>
          <w:sz w:val="18"/>
          <w:szCs w:val="18"/>
          <w:u w:val="single" w:color="auto"/>
          <w:color w:val="auto"/>
        </w:rPr>
        <w:t>CMRS</w:t>
      </w:r>
      <w:r>
        <w:rPr>
          <w:rFonts w:ascii="Times New Roman" w:cs="Times New Roman" w:eastAsia="Times New Roman" w:hAnsi="Times New Roman"/>
          <w:sz w:val="18"/>
          <w:szCs w:val="18"/>
          <w:color w:val="auto"/>
        </w:rPr>
        <w:t>”) a wholly-owned subsidiary of the Issuer that provides online advertising, SaaS products and services. The business address for the Reporting Person and CMRS is Unit B, 18/F, MG Tower, 133 Hoi Bun Road, Kwun Tong, Hong Kong S.A.R. The Reporting Person is a citizen of Hong Kong S.A.R.</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Except as expressly otherwise stated herein, the Reporting Person expressly disclaims beneficial ownership for all purposes of the Ordinary Shares (including Ordinary Shares represented by ADSs) beneficially owned by any other person (including any other Rollover Shareholder, as defined in Item 4). Information with respect to the Reporting Person is given solely by such Reporting Person, and the Reporting Person does not assume responsibility for the accuracy or completeness of the information concerning any other person.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 (e)</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last five years the Reporting Person has not: (i) been convicted in a criminal proceeding (excluding traffic violations or similar misdemeanors), or (ii)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4 of this Schedule 13D is incorporated herein by reference in its entirety.</w:t>
      </w:r>
    </w:p>
    <w:p>
      <w:pPr>
        <w:sectPr>
          <w:pgSz w:w="11900" w:h="16838" w:orient="portrait"/>
          <w:cols w:equalWidth="0" w:num="1">
            <w:col w:w="10940"/>
          </w:cols>
          <w:pgMar w:left="440" w:top="266" w:right="51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4. Purpose of Transaction.</w:t>
      </w:r>
    </w:p>
    <w:p>
      <w:pPr>
        <w:spacing w:after="0" w:line="121"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On November 24, 2023, the Issuer announced in a press release that it had entered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TSH Investment Holding Limited, an exempted company with limited liability incorporated under the laws of the Cayman Islands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TSH Merger Sub Limited, an exempted company with limited liability incorporated under the laws of the Cayman Islands and a wholly-owned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pursuant to which, and subject to the terms and conditions thereof, Merger Sub will merge with and into the Issuer, with the Issuer continuing as the surviving company and becoming a wholly-owned subsidiary of Parent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 w:right="160"/>
        <w:spacing w:after="0" w:line="256" w:lineRule="auto"/>
        <w:rPr>
          <w:sz w:val="20"/>
          <w:szCs w:val="20"/>
          <w:color w:val="auto"/>
        </w:rPr>
      </w:pPr>
      <w:r>
        <w:rPr>
          <w:rFonts w:ascii="Times New Roman" w:cs="Times New Roman" w:eastAsia="Times New Roman" w:hAnsi="Times New Roman"/>
          <w:sz w:val="18"/>
          <w:szCs w:val="18"/>
          <w:color w:val="auto"/>
        </w:rPr>
        <w:t>Concurrently with the execution of the Merger Agreement, Parent, the Reporting Person and the other shareholders party thereto (collectively with the Reporting Person, the “</w:t>
      </w:r>
      <w:r>
        <w:rPr>
          <w:rFonts w:ascii="Times New Roman" w:cs="Times New Roman" w:eastAsia="Times New Roman" w:hAnsi="Times New Roman"/>
          <w:sz w:val="18"/>
          <w:szCs w:val="18"/>
          <w:u w:val="single" w:color="auto"/>
          <w:color w:val="auto"/>
        </w:rPr>
        <w:t>Rollover Shareholders</w:t>
      </w:r>
      <w:r>
        <w:rPr>
          <w:rFonts w:ascii="Times New Roman" w:cs="Times New Roman" w:eastAsia="Times New Roman" w:hAnsi="Times New Roman"/>
          <w:sz w:val="18"/>
          <w:szCs w:val="18"/>
          <w:color w:val="auto"/>
        </w:rPr>
        <w:t>”) executed a support agreement (the “</w:t>
      </w:r>
      <w:r>
        <w:rPr>
          <w:rFonts w:ascii="Times New Roman" w:cs="Times New Roman" w:eastAsia="Times New Roman" w:hAnsi="Times New Roman"/>
          <w:sz w:val="18"/>
          <w:szCs w:val="18"/>
          <w:u w:val="single" w:color="auto"/>
          <w:color w:val="auto"/>
        </w:rPr>
        <w:t>Support Agreement</w:t>
      </w:r>
      <w:r>
        <w:rPr>
          <w:rFonts w:ascii="Times New Roman" w:cs="Times New Roman" w:eastAsia="Times New Roman" w:hAnsi="Times New Roman"/>
          <w:sz w:val="18"/>
          <w:szCs w:val="18"/>
          <w:color w:val="auto"/>
        </w:rPr>
        <w:t>”), pursuant to which, each of the Rollover Shareholders has agreed to, subject to the terms and conditions set forth therein and among other obligations, (i) the cancellation of the shares held by such Rollover Shareholders for no cash consideration, (ii) subscribe for newly issued ordinary shares of Parent immediately prior to the closing of the Merger, (iii) vote in favor of authorization and approval of the Merger Agreement and the transactions contemplated by the Merger Agreement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including the Merger; and (iv) against any proposals or actions inconsistent or interfering with the Transactions.</w:t>
      </w:r>
    </w:p>
    <w:p>
      <w:pPr>
        <w:spacing w:after="0" w:line="187"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The purpose of the Transactions, including the Merger, is to acquire all of the shares of the Ordinary Shares held by shareholders of the Issuer other than the Rollover Shares. Following consummation of the Merger, the Issuer will become a wholly-owned subsidiary of the Parent. In addition, if the Merger is consummated, the Issuer will be privately-held by the other Rollover Shareholders and its ADSs will no longer be listed on the Nasdaq Global Market.</w:t>
      </w:r>
    </w:p>
    <w:p>
      <w:pPr>
        <w:spacing w:after="0" w:line="180"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The information disclosed in this Item 4 does not purport to be complete and is qualified in its entirety by references to the Merger Agreement and the Support Agreement, a copy of each which is filed as Exhibits 99.1 and 99.2, respectively, and incorporated herein by reference in its entirety.</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information set forth in paragraph (a) – (c), (f) of Item 2 of this Schedule 13D is incorporated herein by reference in its entirety.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Except as described above, the Reporting Person has no plans or proposals which relate to or would result in any of the actions specified in paragraphs</w:t>
      </w:r>
    </w:p>
    <w:p>
      <w:pPr>
        <w:spacing w:after="0" w:line="27" w:lineRule="exact"/>
        <w:rPr>
          <w:sz w:val="20"/>
          <w:szCs w:val="20"/>
          <w:color w:val="auto"/>
        </w:rPr>
      </w:pPr>
    </w:p>
    <w:p>
      <w:pPr>
        <w:ind w:left="4" w:right="200" w:hanging="4"/>
        <w:spacing w:after="0" w:line="255" w:lineRule="auto"/>
        <w:tabs>
          <w:tab w:leader="none" w:pos="24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(j) of Item 4 of Schedule 13D. The Reporting Person may, at any time and from time to time, formulate other purposes, plans or proposals regarding the Issuer, or any other actions that could involve one or more of the types of transactions or have one or more of the results described in paragraphs (a) through (j) of Item 4 of Schedule 13D.</w:t>
      </w:r>
    </w:p>
    <w:p>
      <w:pPr>
        <w:spacing w:after="0" w:line="2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117" w:lineRule="exact"/>
        <w:rPr>
          <w:sz w:val="20"/>
          <w:szCs w:val="20"/>
          <w:color w:val="auto"/>
        </w:rPr>
      </w:pPr>
    </w:p>
    <w:p>
      <w:pPr>
        <w:ind w:left="4" w:right="260" w:hanging="4"/>
        <w:spacing w:after="0" w:line="286" w:lineRule="auto"/>
        <w:tabs>
          <w:tab w:leader="none" w:pos="259"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 (b) </w:t>
      </w:r>
      <w:r>
        <w:rPr>
          <w:rFonts w:ascii="Times New Roman" w:cs="Times New Roman" w:eastAsia="Times New Roman" w:hAnsi="Times New Roman"/>
          <w:sz w:val="18"/>
          <w:szCs w:val="18"/>
          <w:color w:val="auto"/>
        </w:rPr>
        <w:t>The response of the Reporting Person to Rows (7) through (13), including the footnotes thereto, of the cover pages of this Schedule 13D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incorporated by reference in this Item 5.</w:t>
      </w:r>
    </w:p>
    <w:p>
      <w:pPr>
        <w:spacing w:after="0" w:line="159" w:lineRule="exact"/>
        <w:rPr>
          <w:sz w:val="20"/>
          <w:szCs w:val="20"/>
          <w:color w:val="auto"/>
        </w:rPr>
      </w:pPr>
    </w:p>
    <w:p>
      <w:pPr>
        <w:ind w:left="4" w:right="160"/>
        <w:spacing w:after="0" w:line="256" w:lineRule="auto"/>
        <w:rPr>
          <w:sz w:val="20"/>
          <w:szCs w:val="20"/>
          <w:color w:val="auto"/>
        </w:rPr>
      </w:pPr>
      <w:r>
        <w:rPr>
          <w:rFonts w:ascii="Times New Roman" w:cs="Times New Roman" w:eastAsia="Times New Roman" w:hAnsi="Times New Roman"/>
          <w:sz w:val="18"/>
          <w:szCs w:val="18"/>
          <w:color w:val="auto"/>
        </w:rPr>
        <w:t>As a result of entering into the Support Agreement, the Reporting Person may be deemed to be the member of a “group” with the other Rollover Shareholders pursuant to Section 13(d) of the Exchange Act. However, the Reporting Person expressly disclaims beneficial ownership of the Ordinary Shares (including Ordinary Shares represented by ADSs) beneficially owned (or deemed to be beneficially owned) by any of the other Rollover Shareholders. Neither the filing of this Schedule 13D nor any of its contents shall be deemed to constitute an admission that the Reporting Person beneficially owns any Ordinary Shares (including Ordinary Shares represented by ADSs) that are beneficially owned (or deemed to be beneficially owned) by any of the other Rollover Shareholders.</w:t>
      </w:r>
    </w:p>
    <w:p>
      <w:pPr>
        <w:spacing w:after="0" w:line="187"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Collectively, the “group” may be deemed to beneficially own 17,589,131 Class A Ordinary Shares, comprised of an aggregate of (a) 13,107,568 Class A Ordinary Shares; (b) 4,385,078 Class A Ordinary Shares issuable upon the conversion of 4,385,078 Class B Ordinary Shares; and (c) 96,485 Class A Ordinary Shares issuable upon the exercise of options, held by the Rollover Shareholders. This total does not include 27,905 Class A Ordinary shares that are issuable upon the exercise of options and 164,990 Class A Ordinary Shares that are issuable upon vesting of</w:t>
      </w:r>
    </w:p>
    <w:p>
      <w:pPr>
        <w:sectPr>
          <w:pgSz w:w="11900" w:h="16838" w:orient="portrait"/>
          <w:cols w:equalWidth="0" w:num="1">
            <w:col w:w="10984"/>
          </w:cols>
          <w:pgMar w:left="436" w:top="266" w:right="479" w:bottom="1440" w:gutter="0" w:footer="0" w:header="0"/>
        </w:sectPr>
      </w:pPr>
    </w:p>
    <w:bookmarkStart w:id="4" w:name="page5"/>
    <w:bookmarkEnd w:id="4"/>
    <w:p>
      <w:pPr>
        <w:ind w:left="4" w:right="6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restricted stock units, held by the Rollover Shareholders, that cannot be exercised or vest, respectively, within 60 days. This represents approximately 36% of the total outstanding Class A Ordinary Shares, assuming that there is a total of 48,958,919 Class A Ordinary Shares outstanding, which includes:</w:t>
      </w:r>
    </w:p>
    <w:p>
      <w:pPr>
        <w:spacing w:after="0" w:line="1" w:lineRule="exact"/>
        <w:rPr>
          <w:sz w:val="20"/>
          <w:szCs w:val="20"/>
          <w:color w:val="auto"/>
        </w:rPr>
      </w:pPr>
    </w:p>
    <w:p>
      <w:pPr>
        <w:ind w:left="4" w:right="20" w:hanging="4"/>
        <w:spacing w:after="0" w:line="255" w:lineRule="auto"/>
        <w:tabs>
          <w:tab w:leader="none" w:pos="2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44,477,356 Class A Ordinary Shares outstanding as of November 24, 2023, as specified in the Merger Agreement filed by the Issuer with the SEC on November 24, 2023; (ii) 4,385,078 Class A Ordinary Shares issuable upon the conversion of the Class B Ordinary Shares held by the Rollover Shareholders; and (iii) 96,485 Class A Ordinary Shares issuable upon the exercise of options held by the Rollover Shareholders.</w:t>
      </w:r>
    </w:p>
    <w:p>
      <w:pPr>
        <w:spacing w:after="0" w:line="186" w:lineRule="exact"/>
        <w:rPr>
          <w:sz w:val="20"/>
          <w:szCs w:val="20"/>
          <w:color w:val="auto"/>
        </w:rPr>
      </w:pPr>
    </w:p>
    <w:p>
      <w:pPr>
        <w:ind w:left="4" w:right="240" w:hanging="4"/>
        <w:spacing w:after="0" w:line="282" w:lineRule="auto"/>
        <w:tabs>
          <w:tab w:leader="none" w:pos="248"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disclosed in this Schedule 13D, the Reporting Person has not effected any transaction in the Class A Ordinary Shares during the 60 days preceding the date hereof.</w:t>
      </w:r>
    </w:p>
    <w:p>
      <w:pPr>
        <w:spacing w:after="0" w:line="161" w:lineRule="exact"/>
        <w:rPr>
          <w:rFonts w:ascii="Times New Roman" w:cs="Times New Roman" w:eastAsia="Times New Roman" w:hAnsi="Times New Roman"/>
          <w:sz w:val="18"/>
          <w:szCs w:val="18"/>
          <w:b w:val="1"/>
          <w:bCs w:val="1"/>
          <w:color w:val="auto"/>
        </w:rPr>
      </w:pPr>
    </w:p>
    <w:p>
      <w:pPr>
        <w:ind w:left="4" w:right="340" w:hanging="4"/>
        <w:spacing w:after="0" w:line="282" w:lineRule="auto"/>
        <w:tabs>
          <w:tab w:leader="none" w:pos="269"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disclosed in this Schedule 13D, to the best knowledge of the Reporting Person, no other person has the right to receive or the power to direct the receipt of dividends from, or the proceeds from the sale of, the Class A Ordinary Shares beneficially owned by the Reporting Person.</w:t>
      </w:r>
    </w:p>
    <w:p>
      <w:pPr>
        <w:spacing w:after="0" w:line="161" w:lineRule="exact"/>
        <w:rPr>
          <w:rFonts w:ascii="Times New Roman" w:cs="Times New Roman" w:eastAsia="Times New Roman" w:hAnsi="Times New Roman"/>
          <w:sz w:val="18"/>
          <w:szCs w:val="18"/>
          <w:b w:val="1"/>
          <w:bCs w:val="1"/>
          <w:color w:val="auto"/>
        </w:rPr>
      </w:pPr>
    </w:p>
    <w:p>
      <w:pPr>
        <w:ind w:left="244" w:hanging="244"/>
        <w:spacing w:after="0"/>
        <w:tabs>
          <w:tab w:leader="none" w:pos="24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disclosure under Item 4 is incorporated herein by reference in its entirety.</w:t>
      </w:r>
    </w:p>
    <w:p>
      <w:pPr>
        <w:spacing w:after="0" w:line="225" w:lineRule="exact"/>
        <w:rPr>
          <w:sz w:val="20"/>
          <w:szCs w:val="20"/>
          <w:color w:val="auto"/>
        </w:rPr>
      </w:pPr>
    </w:p>
    <w:p>
      <w:pPr>
        <w:ind w:left="4" w:right="260"/>
        <w:spacing w:after="0" w:line="261" w:lineRule="auto"/>
        <w:rPr>
          <w:sz w:val="20"/>
          <w:szCs w:val="20"/>
          <w:color w:val="auto"/>
        </w:rPr>
      </w:pPr>
      <w:r>
        <w:rPr>
          <w:rFonts w:ascii="Times New Roman" w:cs="Times New Roman" w:eastAsia="Times New Roman" w:hAnsi="Times New Roman"/>
          <w:sz w:val="18"/>
          <w:szCs w:val="18"/>
          <w:color w:val="auto"/>
        </w:rPr>
        <w:t>To the best knowledge of the Reporting Person, except as provided herein, there are no other contracts, arrangements, understandings or relationships (legal or otherwise) between the Reporting Person and any other person with respect to any securities of the Issuer, joint ventures, loan or option arrangements, puts or calls, guarantees of profits, divisions of profits or loss, or the giving or withholding of proxies, or a pledge or contingency, the occurrence of which would give another person voting power over the securities of the Issuer.</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7. Materials to Be Filed as Exhibits.</w:t>
      </w:r>
    </w:p>
    <w:p>
      <w:pPr>
        <w:spacing w:after="0" w:line="1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Exhibit</w:t>
      </w:r>
    </w:p>
    <w:p>
      <w:pPr>
        <w:ind w:left="4"/>
        <w:spacing w:after="0"/>
        <w:tabs>
          <w:tab w:leader="none" w:pos="864"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5080</wp:posOffset>
            </wp:positionV>
            <wp:extent cx="64376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37630" cy="8255"/>
                    </a:xfrm>
                    <a:prstGeom prst="rect">
                      <a:avLst/>
                    </a:prstGeom>
                    <a:noFill/>
                  </pic:spPr>
                </pic:pic>
              </a:graphicData>
            </a:graphic>
          </wp:anchor>
        </w:drawing>
      </w:r>
    </w:p>
    <w:p>
      <w:pPr>
        <w:spacing w:after="0" w:line="77" w:lineRule="exact"/>
        <w:rPr>
          <w:sz w:val="20"/>
          <w:szCs w:val="20"/>
          <w:color w:val="auto"/>
        </w:rPr>
      </w:pPr>
    </w:p>
    <w:p>
      <w:pPr>
        <w:ind w:left="884" w:hanging="876"/>
        <w:spacing w:after="0" w:line="266" w:lineRule="auto"/>
        <w:tabs>
          <w:tab w:leader="none" w:pos="86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r:id="rId23">
        <w:r>
          <w:rPr>
            <w:rFonts w:ascii="Times New Roman" w:cs="Times New Roman" w:eastAsia="Times New Roman" w:hAnsi="Times New Roman"/>
            <w:sz w:val="18"/>
            <w:szCs w:val="18"/>
            <w:u w:val="single" w:color="auto"/>
            <w:color w:val="0000EE"/>
          </w:rPr>
          <w:t>Agreement and Plan of Merger, dated as of November 24, 2023, by and between TSH Investment Holding Limited, TSH Merger Sub</w:t>
        </w:r>
      </w:hyperlink>
      <w:r>
        <w:rPr>
          <w:rFonts w:ascii="Times New Roman" w:cs="Times New Roman" w:eastAsia="Times New Roman" w:hAnsi="Times New Roman"/>
          <w:sz w:val="18"/>
          <w:szCs w:val="18"/>
          <w:u w:val="single" w:color="auto"/>
          <w:color w:val="0000EE"/>
        </w:rPr>
        <w:t xml:space="preserve"> </w:t>
      </w:r>
      <w:hyperlink r:id="rId23">
        <w:r>
          <w:rPr>
            <w:rFonts w:ascii="Times New Roman" w:cs="Times New Roman" w:eastAsia="Times New Roman" w:hAnsi="Times New Roman"/>
            <w:sz w:val="18"/>
            <w:szCs w:val="18"/>
            <w:u w:val="single" w:color="auto"/>
            <w:color w:val="0000EE"/>
          </w:rPr>
          <w:t>Limited and iClick Interactive Asia Group Limited, incorporated herein by reference to Exhibit 99.2 to the Report on Form 6-K furnished by</w:t>
        </w:r>
      </w:hyperlink>
      <w:r>
        <w:rPr>
          <w:rFonts w:ascii="Times New Roman" w:cs="Times New Roman" w:eastAsia="Times New Roman" w:hAnsi="Times New Roman"/>
          <w:sz w:val="18"/>
          <w:szCs w:val="18"/>
          <w:u w:val="single" w:color="auto"/>
          <w:color w:val="0000EE"/>
        </w:rPr>
        <w:t xml:space="preserve"> </w:t>
      </w:r>
      <w:hyperlink r:id="rId23">
        <w:r>
          <w:rPr>
            <w:rFonts w:ascii="Times New Roman" w:cs="Times New Roman" w:eastAsia="Times New Roman" w:hAnsi="Times New Roman"/>
            <w:sz w:val="18"/>
            <w:szCs w:val="18"/>
            <w:u w:val="single" w:color="auto"/>
            <w:color w:val="0000EE"/>
          </w:rPr>
          <w:t>the Issuer to the SEC on November 24, 2023.</w:t>
        </w:r>
      </w:hyperlink>
    </w:p>
    <w:p>
      <w:pPr>
        <w:spacing w:after="0" w:line="68" w:lineRule="exact"/>
        <w:rPr>
          <w:rFonts w:ascii="Times New Roman" w:cs="Times New Roman" w:eastAsia="Times New Roman" w:hAnsi="Times New Roman"/>
          <w:sz w:val="18"/>
          <w:szCs w:val="18"/>
          <w:u w:val="single" w:color="auto"/>
          <w:color w:val="0000EE"/>
        </w:rPr>
      </w:pPr>
    </w:p>
    <w:p>
      <w:pPr>
        <w:ind w:left="884" w:right="220" w:hanging="876"/>
        <w:spacing w:after="0" w:line="277" w:lineRule="auto"/>
        <w:tabs>
          <w:tab w:leader="none" w:pos="86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99.2</w:t>
      </w:r>
      <w:r>
        <w:rPr>
          <w:sz w:val="20"/>
          <w:szCs w:val="20"/>
          <w:color w:val="auto"/>
        </w:rPr>
        <w:tab/>
      </w:r>
      <w:hyperlink r:id="rId24">
        <w:r>
          <w:rPr>
            <w:rFonts w:ascii="Times New Roman" w:cs="Times New Roman" w:eastAsia="Times New Roman" w:hAnsi="Times New Roman"/>
            <w:sz w:val="17"/>
            <w:szCs w:val="17"/>
            <w:u w:val="single" w:color="auto"/>
            <w:color w:val="0000EE"/>
          </w:rPr>
          <w:t>Support Agreement, dated November 24, 2023, by and among TSH Investment Holding Limited, Igomax Inc., Jian Tang, Bubinga</w:t>
        </w:r>
      </w:hyperlink>
      <w:r>
        <w:rPr>
          <w:rFonts w:ascii="Times New Roman" w:cs="Times New Roman" w:eastAsia="Times New Roman" w:hAnsi="Times New Roman"/>
          <w:sz w:val="17"/>
          <w:szCs w:val="17"/>
          <w:u w:val="single" w:color="auto"/>
          <w:color w:val="0000EE"/>
        </w:rPr>
        <w:t xml:space="preserve"> </w:t>
      </w:r>
      <w:hyperlink r:id="rId24">
        <w:r>
          <w:rPr>
            <w:rFonts w:ascii="Times New Roman" w:cs="Times New Roman" w:eastAsia="Times New Roman" w:hAnsi="Times New Roman"/>
            <w:sz w:val="17"/>
            <w:szCs w:val="17"/>
            <w:u w:val="single" w:color="auto"/>
            <w:color w:val="0000EE"/>
          </w:rPr>
          <w:t>Holdings Limited, Wing Hong Sammy Hsieh, Marine Central Limited, Jianjun Huang, Creative Big Limited, Cheer Lead Global Limited,</w:t>
        </w:r>
      </w:hyperlink>
      <w:r>
        <w:rPr>
          <w:rFonts w:ascii="Times New Roman" w:cs="Times New Roman" w:eastAsia="Times New Roman" w:hAnsi="Times New Roman"/>
          <w:sz w:val="17"/>
          <w:szCs w:val="17"/>
          <w:u w:val="single" w:color="auto"/>
          <w:color w:val="0000EE"/>
        </w:rPr>
        <w:t xml:space="preserve"> </w:t>
      </w:r>
      <w:hyperlink r:id="rId24">
        <w:r>
          <w:rPr>
            <w:rFonts w:ascii="Times New Roman" w:cs="Times New Roman" w:eastAsia="Times New Roman" w:hAnsi="Times New Roman"/>
            <w:sz w:val="17"/>
            <w:szCs w:val="17"/>
            <w:u w:val="single" w:color="auto"/>
            <w:color w:val="0000EE"/>
          </w:rPr>
          <w:t>Huge Superpower Limited, Capable Excel Limited, Infinity Global Fund SPC, Integrated Asset Management (Asia) Limited, Chan Nai</w:t>
        </w:r>
      </w:hyperlink>
      <w:r>
        <w:rPr>
          <w:rFonts w:ascii="Times New Roman" w:cs="Times New Roman" w:eastAsia="Times New Roman" w:hAnsi="Times New Roman"/>
          <w:sz w:val="17"/>
          <w:szCs w:val="17"/>
          <w:u w:val="single" w:color="auto"/>
          <w:color w:val="0000EE"/>
        </w:rPr>
        <w:t xml:space="preserve"> </w:t>
      </w:r>
      <w:hyperlink r:id="rId24">
        <w:r>
          <w:rPr>
            <w:rFonts w:ascii="Times New Roman" w:cs="Times New Roman" w:eastAsia="Times New Roman" w:hAnsi="Times New Roman"/>
            <w:sz w:val="17"/>
            <w:szCs w:val="17"/>
            <w:u w:val="single" w:color="auto"/>
            <w:color w:val="0000EE"/>
          </w:rPr>
          <w:t>Hang, Likeable Limited, Tsang Hing Sze, Lau Ying Wai, Chik Yu Chung Roni, Tse Kok Yu Ryan, Imen Pang, Zhao Yong and Yang Xin,</w:t>
        </w:r>
      </w:hyperlink>
      <w:r>
        <w:rPr>
          <w:rFonts w:ascii="Times New Roman" w:cs="Times New Roman" w:eastAsia="Times New Roman" w:hAnsi="Times New Roman"/>
          <w:sz w:val="17"/>
          <w:szCs w:val="17"/>
          <w:u w:val="single" w:color="auto"/>
          <w:color w:val="0000EE"/>
        </w:rPr>
        <w:t xml:space="preserve"> </w:t>
      </w:r>
      <w:hyperlink r:id="rId24">
        <w:r>
          <w:rPr>
            <w:rFonts w:ascii="Times New Roman" w:cs="Times New Roman" w:eastAsia="Times New Roman" w:hAnsi="Times New Roman"/>
            <w:sz w:val="17"/>
            <w:szCs w:val="17"/>
            <w:u w:val="single" w:color="auto"/>
            <w:color w:val="0000EE"/>
          </w:rPr>
          <w:t>incorporated herein by reference to Exhibit 99.5 of the Schedule 13D/A furnished by the Sponsor to the SEC on November 27, 2023.</w:t>
        </w:r>
      </w:hyperlink>
    </w:p>
    <w:p>
      <w:pPr>
        <w:sectPr>
          <w:pgSz w:w="11900" w:h="16838" w:orient="portrait"/>
          <w:cols w:equalWidth="0" w:num="1">
            <w:col w:w="11024"/>
          </w:cols>
          <w:pgMar w:left="436" w:top="270" w:right="439" w:bottom="1440" w:gutter="0" w:footer="0" w:header="0"/>
        </w:sectPr>
      </w:pPr>
    </w:p>
    <w:bookmarkStart w:id="5" w:name="page6"/>
    <w:bookmarkEnd w:id="5"/>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4,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CHIK YU CHUNG RONI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Chik Yu Chung Roni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sectPr>
      <w:pgSz w:w="11900" w:h="16838" w:orient="portrait"/>
      <w:cols w:equalWidth="0" w:num="1">
        <w:col w:w="10460"/>
      </w:cols>
      <w:pgMar w:left="440" w:top="266"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3"/>
    </w:lvl>
  </w:abstractNum>
  <w:abstractNum w:abstractNumId="2">
    <w:nsid w:val="2EB141F2"/>
    <w:multiLevelType w:val="hybridMultilevel"/>
    <w:lvl w:ilvl="0">
      <w:lvlJc w:val="left"/>
      <w:lvlText w:val="%1."/>
      <w:numFmt w:val="decimal"/>
      <w:start w:val="7"/>
    </w:lvl>
  </w:abstractNum>
  <w:abstractNum w:abstractNumId="3">
    <w:nsid w:val="41B71EFB"/>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4">
    <w:nsid w:val="79E2A9E3"/>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5">
    <w:nsid w:val="7545E146"/>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Roman"/>
      <w:start w:val="1"/>
    </w:lvl>
  </w:abstractNum>
  <w:abstractNum w:abstractNumId="9">
    <w:nsid w:val="4DB127F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3" Type="http://schemas.openxmlformats.org/officeDocument/2006/relationships/hyperlink" Target="http://www.sec.gov/Archives/edgar/data/1697818/000110465923120926/tm2331491d1_ex99-2.htm" TargetMode="External"/><Relationship Id="rId24" Type="http://schemas.openxmlformats.org/officeDocument/2006/relationships/hyperlink" Target="http://www.sec.gov/Archives/edgar/data/1697818/000121390023089945/ea189015ex99-5_iclic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2023-12-04T15:55:31Z</dcterms:created>
  <dcterms:modified xsi:type="dcterms:W3CDTF">2023-12-04T15:55:31Z</dcterms:modified>
</cp:coreProperties>
</file>