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295275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311785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2315845</wp:posOffset>
            </wp:positionH>
            <wp:positionV relativeFrom="paragraph">
              <wp:posOffset>49530</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2315845</wp:posOffset>
            </wp:positionH>
            <wp:positionV relativeFrom="paragraph">
              <wp:posOffset>60325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48" w:lineRule="exact"/>
        <w:rPr>
          <w:sz w:val="24"/>
          <w:szCs w:val="24"/>
          <w:color w:val="auto"/>
        </w:rPr>
      </w:pPr>
    </w:p>
    <w:p>
      <w:pPr>
        <w:ind w:left="5500" w:right="2220" w:hanging="5496"/>
        <w:spacing w:after="0" w:line="311" w:lineRule="auto"/>
        <w:tabs>
          <w:tab w:leader="none" w:pos="361"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REGISTRATION STATEMENT PURSUANT TO SECTION 12(b) OR 12(g) OF THE SECURITIES EXCHANGE ACT OF 1934 OR</w:t>
      </w:r>
    </w:p>
    <w:p>
      <w:pPr>
        <w:spacing w:after="0" w:line="18" w:lineRule="exact"/>
        <w:rPr>
          <w:sz w:val="24"/>
          <w:szCs w:val="24"/>
          <w:color w:val="auto"/>
        </w:rPr>
      </w:pPr>
    </w:p>
    <w:p>
      <w:pPr>
        <w:ind w:left="4140" w:right="3240" w:hanging="4136"/>
        <w:spacing w:after="0" w:line="322" w:lineRule="auto"/>
        <w:tabs>
          <w:tab w:leader="none" w:pos="378"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ind w:left="5500"/>
        <w:spacing w:after="0"/>
        <w:rPr>
          <w:rFonts w:ascii="MS PGothic" w:cs="MS PGothic" w:eastAsia="MS PGothic" w:hAnsi="MS PGothic"/>
          <w:sz w:val="14"/>
          <w:szCs w:val="14"/>
          <w:color w:val="auto"/>
        </w:rPr>
      </w:pPr>
      <w:r>
        <w:rPr>
          <w:rFonts w:ascii="Arial" w:cs="Arial" w:eastAsia="Arial" w:hAnsi="Arial"/>
          <w:sz w:val="16"/>
          <w:szCs w:val="16"/>
          <w:b w:val="1"/>
          <w:bCs w:val="1"/>
          <w:color w:val="auto"/>
        </w:rPr>
        <w:t>OR</w:t>
      </w:r>
    </w:p>
    <w:p>
      <w:pPr>
        <w:spacing w:after="0" w:line="63" w:lineRule="exact"/>
        <w:rPr>
          <w:sz w:val="24"/>
          <w:szCs w:val="24"/>
          <w:color w:val="auto"/>
        </w:rPr>
      </w:pPr>
    </w:p>
    <w:p>
      <w:pPr>
        <w:ind w:left="360" w:hanging="356"/>
        <w:spacing w:after="0"/>
        <w:tabs>
          <w:tab w:leader="none" w:pos="360" w:val="left"/>
        </w:tabs>
        <w:numPr>
          <w:ilvl w:val="0"/>
          <w:numId w:val="3"/>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tabs>
          <w:tab w:leader="none" w:pos="8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3" w:lineRule="exact"/>
        <w:rPr>
          <w:sz w:val="24"/>
          <w:szCs w:val="24"/>
          <w:color w:val="auto"/>
        </w:rPr>
      </w:pPr>
    </w:p>
    <w:p>
      <w:pPr>
        <w:ind w:left="4000" w:right="2560" w:hanging="3996"/>
        <w:spacing w:after="0" w:line="347" w:lineRule="auto"/>
        <w:tabs>
          <w:tab w:leader="none" w:pos="377" w:val="left"/>
        </w:tabs>
        <w:numPr>
          <w:ilvl w:val="0"/>
          <w:numId w:val="4"/>
        </w:numPr>
        <w:rPr>
          <w:rFonts w:ascii="MS PGothic" w:cs="MS PGothic" w:eastAsia="MS PGothic" w:hAnsi="MS PGothic"/>
          <w:sz w:val="14"/>
          <w:szCs w:val="14"/>
          <w:color w:val="auto"/>
        </w:rPr>
      </w:pPr>
      <w:r>
        <w:rPr>
          <w:rFonts w:ascii="Arial" w:cs="Arial" w:eastAsia="Arial" w:hAnsi="Arial"/>
          <w:sz w:val="16"/>
          <w:szCs w:val="16"/>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2315845</wp:posOffset>
            </wp:positionH>
            <wp:positionV relativeFrom="paragraph">
              <wp:posOffset>-6350</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001-38313</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iClick Interactive Asia Group Limited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(Translation of Registrant’s name into English)</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Cayman Islands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(Jurisdiction of incorporation or organization)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15/F</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Prosperity Millennia Plaza 663 King’s Road, Quarry Bay</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Hong Kong S.A.R., People’s Republic of China Tel: +852 3700 9000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(Address of principal executive offices) </w:t>
      </w:r>
      <w:r>
        <w:rPr>
          <w:rFonts w:ascii="Arial" w:cs="Arial" w:eastAsia="Arial" w:hAnsi="Arial"/>
          <w:sz w:val="12"/>
          <w:szCs w:val="12"/>
          <w:b w:val="1"/>
          <w:bCs w:val="1"/>
          <w:color w:val="auto"/>
        </w:rPr>
        <w:t>Terence Li, Chief Financial Officer</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15/F</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Prosperity Millennia Plaza</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663 King’s Road, Quarry Bay</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Hong Kong S.A.R., People’s Republic of China Tel: +852 3700 9000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E-mail: terence.li@i-click.com</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(Name, Telephone, E-mail and/or Facsimile number and Address of Company Contact Person) Securities registered or to be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88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Title of each class</w:t>
            </w:r>
          </w:p>
        </w:tc>
        <w:tc>
          <w:tcPr>
            <w:tcW w:w="1700" w:type="dxa"/>
            <w:vAlign w:val="bottom"/>
            <w:gridSpan w:val="2"/>
          </w:tcPr>
          <w:p>
            <w:pPr>
              <w:jc w:val="center"/>
              <w:ind w:right="220"/>
              <w:spacing w:after="0"/>
              <w:rPr>
                <w:sz w:val="20"/>
                <w:szCs w:val="20"/>
                <w:color w:val="auto"/>
              </w:rPr>
            </w:pPr>
            <w:r>
              <w:rPr>
                <w:rFonts w:ascii="Arial" w:cs="Arial" w:eastAsia="Arial" w:hAnsi="Arial"/>
                <w:sz w:val="12"/>
                <w:szCs w:val="12"/>
                <w:color w:val="auto"/>
                <w:w w:val="95"/>
              </w:rPr>
              <w:t>Trading Symbol</w:t>
            </w:r>
          </w:p>
        </w:tc>
        <w:tc>
          <w:tcPr>
            <w:tcW w:w="4640" w:type="dxa"/>
            <w:vAlign w:val="bottom"/>
          </w:tcPr>
          <w:p>
            <w:pPr>
              <w:jc w:val="center"/>
              <w:spacing w:after="0"/>
              <w:rPr>
                <w:sz w:val="20"/>
                <w:szCs w:val="20"/>
                <w:color w:val="auto"/>
              </w:rPr>
            </w:pPr>
            <w:r>
              <w:rPr>
                <w:rFonts w:ascii="Arial" w:cs="Arial" w:eastAsia="Arial" w:hAnsi="Arial"/>
                <w:sz w:val="12"/>
                <w:szCs w:val="12"/>
                <w:color w:val="auto"/>
                <w:w w:val="90"/>
              </w:rPr>
              <w:t>Name of each exchange on which registered</w:t>
            </w:r>
          </w:p>
        </w:tc>
      </w:tr>
      <w:tr>
        <w:trPr>
          <w:trHeight w:val="109"/>
        </w:trPr>
        <w:tc>
          <w:tcPr>
            <w:tcW w:w="20" w:type="dxa"/>
            <w:vAlign w:val="bottom"/>
          </w:tcPr>
          <w:p>
            <w:pPr>
              <w:spacing w:after="0"/>
              <w:rPr>
                <w:sz w:val="9"/>
                <w:szCs w:val="9"/>
                <w:color w:val="auto"/>
              </w:rPr>
            </w:pPr>
          </w:p>
        </w:tc>
        <w:tc>
          <w:tcPr>
            <w:tcW w:w="464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color w:val="auto"/>
                <w:w w:val="91"/>
              </w:rPr>
              <w:t>American Depositary Shares, two representing one Class A ordinary share, par value US$0.001</w:t>
            </w:r>
          </w:p>
        </w:tc>
        <w:tc>
          <w:tcPr>
            <w:tcW w:w="240" w:type="dxa"/>
            <w:vAlign w:val="bottom"/>
          </w:tcPr>
          <w:p>
            <w:pPr>
              <w:spacing w:after="0"/>
              <w:rPr>
                <w:sz w:val="9"/>
                <w:szCs w:val="9"/>
                <w:color w:val="auto"/>
              </w:rPr>
            </w:pPr>
          </w:p>
        </w:tc>
        <w:tc>
          <w:tcPr>
            <w:tcW w:w="148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color w:val="auto"/>
              </w:rPr>
              <w:t>ICLK</w:t>
            </w:r>
          </w:p>
        </w:tc>
        <w:tc>
          <w:tcPr>
            <w:tcW w:w="220" w:type="dxa"/>
            <w:vAlign w:val="bottom"/>
          </w:tcPr>
          <w:p>
            <w:pPr>
              <w:spacing w:after="0"/>
              <w:rPr>
                <w:sz w:val="9"/>
                <w:szCs w:val="9"/>
                <w:color w:val="auto"/>
              </w:rPr>
            </w:pPr>
          </w:p>
        </w:tc>
        <w:tc>
          <w:tcPr>
            <w:tcW w:w="464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color w:val="auto"/>
                <w:w w:val="96"/>
              </w:rPr>
              <w:t>NASDAQ Global Market</w:t>
            </w:r>
          </w:p>
        </w:tc>
      </w:tr>
      <w:tr>
        <w:trPr>
          <w:trHeight w:val="130"/>
        </w:trPr>
        <w:tc>
          <w:tcPr>
            <w:tcW w:w="20" w:type="dxa"/>
            <w:vAlign w:val="bottom"/>
          </w:tcPr>
          <w:p>
            <w:pPr>
              <w:spacing w:after="0"/>
              <w:rPr>
                <w:sz w:val="11"/>
                <w:szCs w:val="11"/>
                <w:color w:val="auto"/>
              </w:rPr>
            </w:pPr>
          </w:p>
        </w:tc>
        <w:tc>
          <w:tcPr>
            <w:tcW w:w="4880" w:type="dxa"/>
            <w:vAlign w:val="bottom"/>
            <w:gridSpan w:val="2"/>
          </w:tcPr>
          <w:p>
            <w:pPr>
              <w:jc w:val="center"/>
              <w:ind w:right="260"/>
              <w:spacing w:after="0" w:line="130" w:lineRule="exact"/>
              <w:rPr>
                <w:sz w:val="20"/>
                <w:szCs w:val="20"/>
                <w:color w:val="auto"/>
              </w:rPr>
            </w:pPr>
            <w:r>
              <w:rPr>
                <w:rFonts w:ascii="Arial" w:cs="Arial" w:eastAsia="Arial" w:hAnsi="Arial"/>
                <w:sz w:val="12"/>
                <w:szCs w:val="12"/>
                <w:color w:val="auto"/>
                <w:w w:val="90"/>
              </w:rPr>
              <w:t>per share*</w:t>
            </w: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40" w:type="dxa"/>
            <w:vAlign w:val="bottom"/>
          </w:tcPr>
          <w:p>
            <w:pPr>
              <w:spacing w:after="0"/>
              <w:rPr>
                <w:sz w:val="11"/>
                <w:szCs w:val="11"/>
                <w:color w:val="auto"/>
              </w:rPr>
            </w:pPr>
          </w:p>
        </w:tc>
      </w:tr>
      <w:tr>
        <w:trPr>
          <w:trHeight w:val="130"/>
        </w:trPr>
        <w:tc>
          <w:tcPr>
            <w:tcW w:w="20" w:type="dxa"/>
            <w:vAlign w:val="bottom"/>
          </w:tcPr>
          <w:p>
            <w:pPr>
              <w:spacing w:after="0"/>
              <w:rPr>
                <w:sz w:val="11"/>
                <w:szCs w:val="11"/>
                <w:color w:val="auto"/>
              </w:rPr>
            </w:pPr>
          </w:p>
        </w:tc>
        <w:tc>
          <w:tcPr>
            <w:tcW w:w="4880" w:type="dxa"/>
            <w:vAlign w:val="bottom"/>
            <w:gridSpan w:val="2"/>
          </w:tcPr>
          <w:p>
            <w:pPr>
              <w:jc w:val="center"/>
              <w:ind w:right="260"/>
              <w:spacing w:after="0" w:line="130" w:lineRule="exact"/>
              <w:rPr>
                <w:sz w:val="20"/>
                <w:szCs w:val="20"/>
                <w:color w:val="auto"/>
              </w:rPr>
            </w:pPr>
            <w:r>
              <w:rPr>
                <w:rFonts w:ascii="Arial" w:cs="Arial" w:eastAsia="Arial" w:hAnsi="Arial"/>
                <w:sz w:val="12"/>
                <w:szCs w:val="12"/>
                <w:color w:val="auto"/>
                <w:w w:val="94"/>
              </w:rPr>
              <w:t>*Not for trading, but only in connection with the listing on the Nasdaq Global Market of</w:t>
            </w: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40" w:type="dxa"/>
            <w:vAlign w:val="bottom"/>
          </w:tcPr>
          <w:p>
            <w:pPr>
              <w:spacing w:after="0"/>
              <w:rPr>
                <w:sz w:val="11"/>
                <w:szCs w:val="11"/>
                <w:color w:val="auto"/>
              </w:rPr>
            </w:pPr>
          </w:p>
        </w:tc>
      </w:tr>
      <w:tr>
        <w:trPr>
          <w:trHeight w:val="154"/>
        </w:trPr>
        <w:tc>
          <w:tcPr>
            <w:tcW w:w="20" w:type="dxa"/>
            <w:vAlign w:val="bottom"/>
          </w:tcPr>
          <w:p>
            <w:pPr>
              <w:spacing w:after="0"/>
              <w:rPr>
                <w:sz w:val="13"/>
                <w:szCs w:val="13"/>
                <w:color w:val="auto"/>
              </w:rPr>
            </w:pPr>
          </w:p>
        </w:tc>
        <w:tc>
          <w:tcPr>
            <w:tcW w:w="488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American depositary shares.</w:t>
            </w: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40" w:type="dxa"/>
            <w:vAlign w:val="bottom"/>
          </w:tcPr>
          <w:p>
            <w:pPr>
              <w:spacing w:after="0"/>
              <w:rPr>
                <w:sz w:val="13"/>
                <w:szCs w:val="13"/>
                <w:color w:val="auto"/>
              </w:rPr>
            </w:pPr>
          </w:p>
        </w:tc>
      </w:tr>
      <w:tr>
        <w:trPr>
          <w:trHeight w:val="195"/>
        </w:trPr>
        <w:tc>
          <w:tcPr>
            <w:tcW w:w="4900" w:type="dxa"/>
            <w:vAlign w:val="bottom"/>
            <w:gridSpan w:val="3"/>
          </w:tcPr>
          <w:p>
            <w:pPr>
              <w:spacing w:after="0"/>
              <w:rPr>
                <w:sz w:val="20"/>
                <w:szCs w:val="20"/>
                <w:color w:val="auto"/>
              </w:rPr>
            </w:pPr>
            <w:r>
              <w:rPr>
                <w:rFonts w:ascii="Arial" w:cs="Arial" w:eastAsia="Arial" w:hAnsi="Arial"/>
                <w:sz w:val="12"/>
                <w:szCs w:val="12"/>
                <w:color w:val="auto"/>
              </w:rPr>
              <w:t>Securities registered or to be registered pursuant to Section 12(g) of the Act:</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40" w:type="dxa"/>
            <w:vAlign w:val="bottom"/>
          </w:tcPr>
          <w:p>
            <w:pPr>
              <w:spacing w:after="0"/>
              <w:rPr>
                <w:sz w:val="16"/>
                <w:szCs w:val="16"/>
                <w:color w:val="auto"/>
              </w:rPr>
            </w:pPr>
          </w:p>
        </w:tc>
      </w:tr>
    </w:tbl>
    <w:p>
      <w:pPr>
        <w:spacing w:after="0" w:line="2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None</w:t>
      </w:r>
    </w:p>
    <w:p>
      <w:pPr>
        <w:spacing w:after="0" w:line="48" w:lineRule="exact"/>
        <w:rPr>
          <w:sz w:val="24"/>
          <w:szCs w:val="24"/>
          <w:color w:val="auto"/>
        </w:rPr>
      </w:pPr>
    </w:p>
    <w:p>
      <w:pPr>
        <w:ind w:left="4080"/>
        <w:spacing w:after="0"/>
        <w:rPr>
          <w:sz w:val="20"/>
          <w:szCs w:val="20"/>
          <w:color w:val="auto"/>
        </w:rPr>
      </w:pPr>
      <w:r>
        <w:rPr>
          <w:rFonts w:ascii="Arial" w:cs="Arial" w:eastAsia="Arial" w:hAnsi="Arial"/>
          <w:sz w:val="12"/>
          <w:szCs w:val="12"/>
          <w:color w:val="auto"/>
        </w:rPr>
        <w:t>(Title of Class)</w:t>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Securities for which there is a reporting obligation pursuant to Section 15(d) of the Act: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None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2315845</wp:posOffset>
            </wp:positionH>
            <wp:positionV relativeFrom="paragraph">
              <wp:posOffset>45085</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As of December 31, 2019, there were 30,395,051 ordinary shares outstanding, par value $0.001 per share, being the sum of 25,574,443 Class A ordinary shares† and 4,820,608 Class B ordinary shares.</w:t>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8" w:lineRule="exact"/>
        <w:rPr>
          <w:sz w:val="24"/>
          <w:szCs w:val="24"/>
          <w:color w:val="auto"/>
        </w:rPr>
      </w:pPr>
    </w:p>
    <w:p>
      <w:pPr>
        <w:ind w:left="5440" w:hanging="189"/>
        <w:spacing w:after="0" w:line="150" w:lineRule="exact"/>
        <w:tabs>
          <w:tab w:leader="none" w:pos="5440" w:val="left"/>
        </w:tabs>
        <w:numPr>
          <w:ilvl w:val="0"/>
          <w:numId w:val="5"/>
        </w:numPr>
        <w:rPr>
          <w:rFonts w:ascii="MS PGothic" w:cs="MS PGothic" w:eastAsia="MS PGothic" w:hAnsi="MS PGothic"/>
          <w:sz w:val="14"/>
          <w:szCs w:val="14"/>
          <w:color w:val="auto"/>
        </w:rPr>
      </w:pPr>
      <w:r>
        <w:rPr>
          <w:rFonts w:ascii="Arial" w:cs="Arial" w:eastAsia="Arial" w:hAnsi="Arial"/>
          <w:sz w:val="12"/>
          <w:szCs w:val="12"/>
          <w:color w:val="auto"/>
        </w:rPr>
        <w:t xml:space="preserve">Yes </w:t>
      </w:r>
      <w:r>
        <w:rPr>
          <w:rFonts w:ascii="MS PGothic" w:cs="MS PGothic" w:eastAsia="MS PGothic" w:hAnsi="MS PGothic"/>
          <w:sz w:val="13"/>
          <w:szCs w:val="13"/>
          <w:color w:val="auto"/>
        </w:rPr>
        <w:t>☒</w:t>
      </w:r>
      <w:r>
        <w:rPr>
          <w:rFonts w:ascii="Arial" w:cs="Arial" w:eastAsia="Arial" w:hAnsi="Arial"/>
          <w:sz w:val="12"/>
          <w:szCs w:val="12"/>
          <w:color w:val="auto"/>
        </w:rPr>
        <w:t xml:space="preserve"> No</w:t>
      </w:r>
    </w:p>
    <w:p>
      <w:pPr>
        <w:spacing w:after="0" w:line="88" w:lineRule="exact"/>
        <w:rPr>
          <w:sz w:val="24"/>
          <w:szCs w:val="24"/>
          <w:color w:val="auto"/>
        </w:rPr>
      </w:pPr>
    </w:p>
    <w:p>
      <w:pPr>
        <w:spacing w:after="0"/>
        <w:rPr>
          <w:sz w:val="20"/>
          <w:szCs w:val="20"/>
          <w:color w:val="auto"/>
        </w:rPr>
      </w:pPr>
      <w:r>
        <w:rPr>
          <w:rFonts w:ascii="Arial" w:cs="Arial" w:eastAsia="Arial" w:hAnsi="Arial"/>
          <w:sz w:val="12"/>
          <w:szCs w:val="12"/>
          <w:color w:val="auto"/>
        </w:rPr>
        <w:t>If this report is an annual or transition report, indicate by check mark if the registrant is not required to file reports pursuant to Section 13 or 15(d) of the Securities Exchange Act of 1934.</w:t>
      </w:r>
    </w:p>
    <w:p>
      <w:pPr>
        <w:spacing w:after="0" w:line="28" w:lineRule="exact"/>
        <w:rPr>
          <w:sz w:val="24"/>
          <w:szCs w:val="24"/>
          <w:color w:val="auto"/>
        </w:rPr>
      </w:pPr>
    </w:p>
    <w:p>
      <w:pPr>
        <w:ind w:left="5440" w:hanging="189"/>
        <w:spacing w:after="0" w:line="150" w:lineRule="exact"/>
        <w:tabs>
          <w:tab w:leader="none" w:pos="5440" w:val="left"/>
        </w:tabs>
        <w:numPr>
          <w:ilvl w:val="0"/>
          <w:numId w:val="6"/>
        </w:numPr>
        <w:rPr>
          <w:rFonts w:ascii="MS PGothic" w:cs="MS PGothic" w:eastAsia="MS PGothic" w:hAnsi="MS PGothic"/>
          <w:sz w:val="14"/>
          <w:szCs w:val="14"/>
          <w:color w:val="auto"/>
        </w:rPr>
      </w:pPr>
      <w:r>
        <w:rPr>
          <w:rFonts w:ascii="Arial" w:cs="Arial" w:eastAsia="Arial" w:hAnsi="Arial"/>
          <w:sz w:val="12"/>
          <w:szCs w:val="12"/>
          <w:color w:val="auto"/>
        </w:rPr>
        <w:t xml:space="preserve">Yes </w:t>
      </w:r>
      <w:r>
        <w:rPr>
          <w:rFonts w:ascii="MS PGothic" w:cs="MS PGothic" w:eastAsia="MS PGothic" w:hAnsi="MS PGothic"/>
          <w:sz w:val="13"/>
          <w:szCs w:val="13"/>
          <w:color w:val="auto"/>
        </w:rPr>
        <w:t>☒</w:t>
      </w:r>
      <w:r>
        <w:rPr>
          <w:rFonts w:ascii="Arial" w:cs="Arial" w:eastAsia="Arial" w:hAnsi="Arial"/>
          <w:sz w:val="12"/>
          <w:szCs w:val="12"/>
          <w:color w:val="auto"/>
        </w:rPr>
        <w:t xml:space="preserve"> No</w:t>
      </w:r>
    </w:p>
    <w:p>
      <w:pPr>
        <w:spacing w:after="0" w:line="88" w:lineRule="exact"/>
        <w:rPr>
          <w:sz w:val="24"/>
          <w:szCs w:val="24"/>
          <w:color w:val="auto"/>
        </w:rPr>
      </w:pPr>
    </w:p>
    <w:p>
      <w:pPr>
        <w:ind w:right="60"/>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 w:lineRule="exact"/>
        <w:rPr>
          <w:sz w:val="24"/>
          <w:szCs w:val="24"/>
          <w:color w:val="auto"/>
        </w:rPr>
      </w:pPr>
    </w:p>
    <w:p>
      <w:pPr>
        <w:ind w:left="5420" w:hanging="169"/>
        <w:spacing w:after="0" w:line="150" w:lineRule="exact"/>
        <w:tabs>
          <w:tab w:leader="none" w:pos="5420" w:val="left"/>
        </w:tabs>
        <w:numPr>
          <w:ilvl w:val="0"/>
          <w:numId w:val="7"/>
        </w:numPr>
        <w:rPr>
          <w:rFonts w:ascii="MS PGothic" w:cs="MS PGothic" w:eastAsia="MS PGothic" w:hAnsi="MS PGothic"/>
          <w:sz w:val="14"/>
          <w:szCs w:val="14"/>
          <w:color w:val="auto"/>
        </w:rPr>
      </w:pPr>
      <w:r>
        <w:rPr>
          <w:rFonts w:ascii="Arial" w:cs="Arial" w:eastAsia="Arial" w:hAnsi="Arial"/>
          <w:sz w:val="12"/>
          <w:szCs w:val="12"/>
          <w:color w:val="auto"/>
        </w:rPr>
        <w:t xml:space="preserve">Yes </w:t>
      </w:r>
      <w:r>
        <w:rPr>
          <w:rFonts w:ascii="MS PGothic" w:cs="MS PGothic" w:eastAsia="MS PGothic" w:hAnsi="MS PGothic"/>
          <w:sz w:val="13"/>
          <w:szCs w:val="13"/>
          <w:color w:val="auto"/>
        </w:rPr>
        <w:t>☐</w:t>
      </w:r>
      <w:r>
        <w:rPr>
          <w:rFonts w:ascii="Arial" w:cs="Arial" w:eastAsia="Arial" w:hAnsi="Arial"/>
          <w:sz w:val="12"/>
          <w:szCs w:val="12"/>
          <w:color w:val="auto"/>
        </w:rPr>
        <w:t xml:space="preserve"> No</w:t>
      </w:r>
    </w:p>
    <w:p>
      <w:pPr>
        <w:spacing w:after="0" w:line="88" w:lineRule="exact"/>
        <w:rPr>
          <w:sz w:val="24"/>
          <w:szCs w:val="24"/>
          <w:color w:val="auto"/>
        </w:rPr>
      </w:pPr>
    </w:p>
    <w:p>
      <w:pPr>
        <w:ind w:right="60"/>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ectPr>
          <w:pgSz w:w="11900" w:h="16838" w:orient="portrait"/>
          <w:cols w:equalWidth="0" w:num="1">
            <w:col w:w="11240"/>
          </w:cols>
          <w:pgMar w:left="320" w:top="563" w:right="339" w:bottom="269" w:gutter="0" w:footer="0" w:header="0"/>
        </w:sectPr>
      </w:pPr>
    </w:p>
    <w:p>
      <w:pPr>
        <w:spacing w:after="0" w:line="4" w:lineRule="exact"/>
        <w:rPr>
          <w:sz w:val="24"/>
          <w:szCs w:val="24"/>
          <w:color w:val="auto"/>
        </w:rPr>
      </w:pPr>
    </w:p>
    <w:p>
      <w:pPr>
        <w:ind w:left="526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57" w:lineRule="exact"/>
        <w:rPr>
          <w:sz w:val="24"/>
          <w:szCs w:val="24"/>
          <w:color w:val="auto"/>
        </w:rPr>
      </w:pPr>
    </w:p>
    <w:p>
      <w:pPr>
        <w:sectPr>
          <w:pgSz w:w="11900" w:h="16838" w:orient="portrait"/>
          <w:cols w:equalWidth="0" w:num="4">
            <w:col w:w="5380" w:space="40"/>
            <w:col w:w="180" w:space="60"/>
            <w:col w:w="120" w:space="60"/>
            <w:col w:w="5400"/>
          </w:cols>
          <w:pgMar w:left="320" w:top="563" w:right="339" w:bottom="269" w:gutter="0" w:footer="0" w:header="0"/>
          <w:type w:val="continuous"/>
        </w:sect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563" w:right="339" w:bottom="269" w:gutter="0" w:footer="0" w:header="0"/>
          <w:type w:val="continuous"/>
        </w:sectPr>
      </w:pPr>
    </w:p>
    <w:p>
      <w:pPr>
        <w:spacing w:after="0" w:line="52" w:lineRule="exact"/>
        <w:rPr>
          <w:sz w:val="24"/>
          <w:szCs w:val="24"/>
          <w:color w:val="auto"/>
        </w:rPr>
      </w:pPr>
    </w:p>
    <w:p>
      <w:pPr>
        <w:ind w:left="760"/>
        <w:spacing w:after="0" w:line="127"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920"/>
        <w:spacing w:after="0" w:line="138"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38"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2"/>
          <w:szCs w:val="12"/>
          <w:color w:val="auto"/>
        </w:rPr>
        <w:t>☒</w:t>
      </w:r>
    </w:p>
    <w:p>
      <w:pPr>
        <w:spacing w:after="0" w:line="113" w:lineRule="exact"/>
        <w:rPr>
          <w:sz w:val="24"/>
          <w:szCs w:val="24"/>
          <w:color w:val="auto"/>
        </w:rPr>
      </w:pPr>
    </w:p>
    <w:p>
      <w:pPr>
        <w:sectPr>
          <w:pgSz w:w="11900" w:h="16838" w:orient="portrait"/>
          <w:cols w:equalWidth="0" w:num="5">
            <w:col w:w="3000" w:space="720"/>
            <w:col w:w="800" w:space="40"/>
            <w:col w:w="1000" w:space="720"/>
            <w:col w:w="2100" w:space="720"/>
            <w:col w:w="2140"/>
          </w:cols>
          <w:pgMar w:left="320" w:top="563" w:right="339" w:bottom="269" w:gutter="0" w:footer="0" w:header="0"/>
          <w:type w:val="continuous"/>
        </w:sectPr>
      </w:pPr>
    </w:p>
    <w:p>
      <w:pPr>
        <w:ind w:right="700"/>
        <w:spacing w:after="0" w:line="165" w:lineRule="exact"/>
        <w:rPr>
          <w:sz w:val="20"/>
          <w:szCs w:val="20"/>
          <w:color w:val="auto"/>
        </w:rPr>
      </w:pPr>
      <w:r>
        <w:rPr>
          <w:rFonts w:ascii="Arial" w:cs="Arial" w:eastAsia="Arial" w:hAnsi="Arial"/>
          <w:sz w:val="12"/>
          <w:szCs w:val="12"/>
          <w:color w:val="auto"/>
        </w:rPr>
        <w:t>If an emerging growth company that prepare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7"/>
          <w:szCs w:val="7"/>
          <w:color w:val="auto"/>
        </w:rPr>
        <w:t>††</w:t>
      </w:r>
      <w:r>
        <w:rPr>
          <w:rFonts w:ascii="Arial" w:cs="Arial" w:eastAsia="Arial" w:hAnsi="Arial"/>
          <w:sz w:val="12"/>
          <w:szCs w:val="12"/>
          <w:color w:val="auto"/>
        </w:rPr>
        <w:t xml:space="preserve"> provided pursuant to Section 13(a) of the Exchange Act. </w:t>
      </w:r>
      <w:r>
        <w:rPr>
          <w:rFonts w:ascii="MS PGothic" w:cs="MS PGothic" w:eastAsia="MS PGothic" w:hAnsi="MS PGothic"/>
          <w:sz w:val="13"/>
          <w:szCs w:val="13"/>
          <w:color w:val="auto"/>
        </w:rPr>
        <w:t>☒</w:t>
      </w:r>
    </w:p>
    <w:p>
      <w:pPr>
        <w:spacing w:after="0" w:line="100" w:lineRule="exact"/>
        <w:rPr>
          <w:sz w:val="24"/>
          <w:szCs w:val="24"/>
          <w:color w:val="auto"/>
        </w:rPr>
      </w:pPr>
    </w:p>
    <w:p>
      <w:pPr>
        <w:ind w:right="640"/>
        <w:spacing w:after="0" w:line="165"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which basis of accounting the registrant has used to prepare the financial statements included in this filing:</w:t>
      </w:r>
    </w:p>
    <w:p>
      <w:pPr>
        <w:spacing w:after="0" w:line="41"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1960" w:type="dxa"/>
            <w:vAlign w:val="bottom"/>
          </w:tcPr>
          <w:p>
            <w:pPr>
              <w:spacing w:after="0" w:line="150" w:lineRule="exact"/>
              <w:rPr>
                <w:sz w:val="20"/>
                <w:szCs w:val="20"/>
                <w:color w:val="auto"/>
              </w:rPr>
            </w:pPr>
            <w:r>
              <w:rPr>
                <w:rFonts w:ascii="Arial" w:cs="Arial" w:eastAsia="Arial" w:hAnsi="Arial"/>
                <w:sz w:val="12"/>
                <w:szCs w:val="12"/>
                <w:color w:val="auto"/>
              </w:rPr>
              <w:t xml:space="preserve">U.S. GAAP </w:t>
            </w:r>
            <w:r>
              <w:rPr>
                <w:rFonts w:ascii="MS PGothic" w:cs="MS PGothic" w:eastAsia="MS PGothic" w:hAnsi="MS PGothic"/>
                <w:sz w:val="13"/>
                <w:szCs w:val="13"/>
                <w:color w:val="auto"/>
              </w:rPr>
              <w:t>☒</w:t>
            </w:r>
          </w:p>
        </w:tc>
        <w:tc>
          <w:tcPr>
            <w:tcW w:w="5120" w:type="dxa"/>
            <w:vAlign w:val="bottom"/>
          </w:tcPr>
          <w:p>
            <w:pPr>
              <w:jc w:val="center"/>
              <w:spacing w:after="0"/>
              <w:rPr>
                <w:sz w:val="20"/>
                <w:szCs w:val="20"/>
                <w:color w:val="auto"/>
              </w:rPr>
            </w:pPr>
            <w:r>
              <w:rPr>
                <w:rFonts w:ascii="Arial" w:cs="Arial" w:eastAsia="Arial" w:hAnsi="Arial"/>
                <w:sz w:val="12"/>
                <w:szCs w:val="12"/>
                <w:color w:val="auto"/>
                <w:w w:val="90"/>
              </w:rPr>
              <w:t>International Financial Reporting Standards as issued</w:t>
            </w:r>
          </w:p>
        </w:tc>
        <w:tc>
          <w:tcPr>
            <w:tcW w:w="1700" w:type="dxa"/>
            <w:vAlign w:val="bottom"/>
          </w:tcPr>
          <w:p>
            <w:pPr>
              <w:ind w:left="1280"/>
              <w:spacing w:after="0" w:line="150" w:lineRule="exact"/>
              <w:rPr>
                <w:sz w:val="20"/>
                <w:szCs w:val="20"/>
                <w:color w:val="auto"/>
              </w:rPr>
            </w:pPr>
            <w:r>
              <w:rPr>
                <w:rFonts w:ascii="Arial" w:cs="Arial" w:eastAsia="Arial" w:hAnsi="Arial"/>
                <w:sz w:val="12"/>
                <w:szCs w:val="12"/>
                <w:color w:val="auto"/>
                <w:w w:val="86"/>
              </w:rPr>
              <w:t xml:space="preserve">Other </w:t>
            </w:r>
            <w:r>
              <w:rPr>
                <w:rFonts w:ascii="MS PGothic" w:cs="MS PGothic" w:eastAsia="MS PGothic" w:hAnsi="MS PGothic"/>
                <w:sz w:val="13"/>
                <w:szCs w:val="13"/>
                <w:color w:val="auto"/>
                <w:w w:val="86"/>
              </w:rPr>
              <w:t>☐</w:t>
            </w:r>
          </w:p>
        </w:tc>
      </w:tr>
      <w:tr>
        <w:trPr>
          <w:trHeight w:val="217"/>
        </w:trPr>
        <w:tc>
          <w:tcPr>
            <w:tcW w:w="1960" w:type="dxa"/>
            <w:vAlign w:val="bottom"/>
          </w:tcPr>
          <w:p>
            <w:pPr>
              <w:spacing w:after="0"/>
              <w:rPr>
                <w:sz w:val="18"/>
                <w:szCs w:val="18"/>
                <w:color w:val="auto"/>
              </w:rPr>
            </w:pPr>
          </w:p>
        </w:tc>
        <w:tc>
          <w:tcPr>
            <w:tcW w:w="5120" w:type="dxa"/>
            <w:vAlign w:val="bottom"/>
          </w:tcPr>
          <w:p>
            <w:pPr>
              <w:jc w:val="center"/>
              <w:spacing w:after="0" w:line="150" w:lineRule="exact"/>
              <w:rPr>
                <w:sz w:val="20"/>
                <w:szCs w:val="20"/>
                <w:color w:val="auto"/>
              </w:rPr>
            </w:pPr>
            <w:r>
              <w:rPr>
                <w:rFonts w:ascii="Arial" w:cs="Arial" w:eastAsia="Arial" w:hAnsi="Arial"/>
                <w:sz w:val="12"/>
                <w:szCs w:val="12"/>
                <w:color w:val="auto"/>
                <w:w w:val="92"/>
              </w:rPr>
              <w:t xml:space="preserve">by the International Accounting Standards Board </w:t>
            </w:r>
            <w:r>
              <w:rPr>
                <w:rFonts w:ascii="MS PGothic" w:cs="MS PGothic" w:eastAsia="MS PGothic" w:hAnsi="MS PGothic"/>
                <w:sz w:val="13"/>
                <w:szCs w:val="13"/>
                <w:color w:val="auto"/>
                <w:w w:val="92"/>
              </w:rPr>
              <w:t>☐</w:t>
            </w:r>
          </w:p>
        </w:tc>
        <w:tc>
          <w:tcPr>
            <w:tcW w:w="1700" w:type="dxa"/>
            <w:vAlign w:val="bottom"/>
          </w:tcPr>
          <w:p>
            <w:pPr>
              <w:spacing w:after="0"/>
              <w:rPr>
                <w:sz w:val="18"/>
                <w:szCs w:val="18"/>
                <w:color w:val="auto"/>
              </w:rPr>
            </w:pPr>
          </w:p>
        </w:tc>
      </w:tr>
    </w:tbl>
    <w:p>
      <w:pPr>
        <w:spacing w:after="0" w:line="3" w:lineRule="exact"/>
        <w:rPr>
          <w:sz w:val="24"/>
          <w:szCs w:val="24"/>
          <w:color w:val="auto"/>
        </w:rPr>
      </w:pPr>
    </w:p>
    <w:p>
      <w:pPr>
        <w:spacing w:after="0"/>
        <w:rPr>
          <w:sz w:val="20"/>
          <w:szCs w:val="20"/>
          <w:color w:val="auto"/>
        </w:rPr>
      </w:pPr>
      <w:r>
        <w:rPr>
          <w:rFonts w:ascii="Arial" w:cs="Arial" w:eastAsia="Arial" w:hAnsi="Arial"/>
          <w:sz w:val="12"/>
          <w:szCs w:val="12"/>
          <w:color w:val="auto"/>
        </w:rPr>
        <w:t>If “Other” has been checked in response to the previous question, indicate by check mark which financial statement item the registrant has elected to follow.</w:t>
      </w:r>
    </w:p>
    <w:p>
      <w:pPr>
        <w:spacing w:after="0" w:line="28" w:lineRule="exact"/>
        <w:rPr>
          <w:sz w:val="24"/>
          <w:szCs w:val="24"/>
          <w:color w:val="auto"/>
        </w:rPr>
      </w:pPr>
    </w:p>
    <w:p>
      <w:pPr>
        <w:ind w:left="5240" w:hanging="201"/>
        <w:spacing w:after="0" w:line="150" w:lineRule="exact"/>
        <w:tabs>
          <w:tab w:leader="none" w:pos="5240" w:val="left"/>
        </w:tabs>
        <w:numPr>
          <w:ilvl w:val="0"/>
          <w:numId w:val="8"/>
        </w:numPr>
        <w:rPr>
          <w:rFonts w:ascii="MS PGothic" w:cs="MS PGothic" w:eastAsia="MS PGothic" w:hAnsi="MS PGothic"/>
          <w:sz w:val="14"/>
          <w:szCs w:val="14"/>
          <w:color w:val="auto"/>
        </w:rPr>
      </w:pPr>
      <w:r>
        <w:rPr>
          <w:rFonts w:ascii="Arial" w:cs="Arial" w:eastAsia="Arial" w:hAnsi="Arial"/>
          <w:sz w:val="12"/>
          <w:szCs w:val="12"/>
          <w:color w:val="auto"/>
        </w:rPr>
        <w:t xml:space="preserve">Item 17 </w:t>
      </w:r>
      <w:r>
        <w:rPr>
          <w:rFonts w:ascii="MS PGothic" w:cs="MS PGothic" w:eastAsia="MS PGothic" w:hAnsi="MS PGothic"/>
          <w:sz w:val="13"/>
          <w:szCs w:val="13"/>
          <w:color w:val="auto"/>
        </w:rPr>
        <w:t>☐</w:t>
      </w:r>
      <w:r>
        <w:rPr>
          <w:rFonts w:ascii="Arial" w:cs="Arial" w:eastAsia="Arial" w:hAnsi="Arial"/>
          <w:sz w:val="12"/>
          <w:szCs w:val="12"/>
          <w:color w:val="auto"/>
        </w:rPr>
        <w:t xml:space="preserve"> Item 18</w:t>
      </w:r>
    </w:p>
    <w:p>
      <w:pPr>
        <w:spacing w:after="0" w:line="88" w:lineRule="exact"/>
        <w:rPr>
          <w:sz w:val="24"/>
          <w:szCs w:val="24"/>
          <w:color w:val="auto"/>
        </w:rPr>
      </w:pPr>
    </w:p>
    <w:p>
      <w:pPr>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28" w:lineRule="exact"/>
        <w:rPr>
          <w:sz w:val="24"/>
          <w:szCs w:val="24"/>
          <w:color w:val="auto"/>
        </w:rPr>
      </w:pPr>
    </w:p>
    <w:p>
      <w:pPr>
        <w:ind w:left="5440" w:hanging="189"/>
        <w:spacing w:after="0" w:line="150" w:lineRule="exact"/>
        <w:tabs>
          <w:tab w:leader="none" w:pos="5440" w:val="left"/>
        </w:tabs>
        <w:numPr>
          <w:ilvl w:val="0"/>
          <w:numId w:val="9"/>
        </w:numPr>
        <w:rPr>
          <w:rFonts w:ascii="MS PGothic" w:cs="MS PGothic" w:eastAsia="MS PGothic" w:hAnsi="MS PGothic"/>
          <w:sz w:val="14"/>
          <w:szCs w:val="14"/>
          <w:color w:val="auto"/>
        </w:rPr>
      </w:pPr>
      <w:r>
        <w:rPr>
          <w:rFonts w:ascii="Arial" w:cs="Arial" w:eastAsia="Arial" w:hAnsi="Arial"/>
          <w:sz w:val="12"/>
          <w:szCs w:val="12"/>
          <w:color w:val="auto"/>
        </w:rPr>
        <w:t xml:space="preserve">Yes </w:t>
      </w:r>
      <w:r>
        <w:rPr>
          <w:rFonts w:ascii="MS PGothic" w:cs="MS PGothic" w:eastAsia="MS PGothic" w:hAnsi="MS PGothic"/>
          <w:sz w:val="13"/>
          <w:szCs w:val="13"/>
          <w:color w:val="auto"/>
        </w:rPr>
        <w:t>☒</w:t>
      </w:r>
      <w:r>
        <w:rPr>
          <w:rFonts w:ascii="Arial" w:cs="Arial" w:eastAsia="Arial" w:hAnsi="Arial"/>
          <w:sz w:val="12"/>
          <w:szCs w:val="12"/>
          <w:color w:val="auto"/>
        </w:rPr>
        <w:t xml:space="preserve"> No</w:t>
      </w:r>
    </w:p>
    <w:p>
      <w:pPr>
        <w:spacing w:after="0" w:line="88" w:lineRule="exact"/>
        <w:rPr>
          <w:rFonts w:ascii="MS PGothic" w:cs="MS PGothic" w:eastAsia="MS PGothic" w:hAnsi="MS PGothic"/>
          <w:sz w:val="14"/>
          <w:szCs w:val="14"/>
          <w:color w:val="auto"/>
        </w:rPr>
      </w:pPr>
    </w:p>
    <w:p>
      <w:pPr>
        <w:spacing w:after="0"/>
        <w:rPr>
          <w:rFonts w:ascii="MS PGothic" w:cs="MS PGothic" w:eastAsia="MS PGothic" w:hAnsi="MS PGothic"/>
          <w:sz w:val="14"/>
          <w:szCs w:val="14"/>
          <w:color w:val="auto"/>
        </w:rPr>
      </w:pPr>
      <w:r>
        <w:rPr>
          <w:rFonts w:ascii="Arial" w:cs="Arial" w:eastAsia="Arial" w:hAnsi="Arial"/>
          <w:sz w:val="12"/>
          <w:szCs w:val="12"/>
          <w:color w:val="auto"/>
        </w:rPr>
        <w:t>(APPLICABLE ONLY TO ISSUERS INVOLVED IN BANKRUPTCY PROCEEDINGS DURING THE PAST FIVE YEARS)</w:t>
      </w:r>
    </w:p>
    <w:p>
      <w:pPr>
        <w:spacing w:after="0" w:line="57" w:lineRule="exact"/>
        <w:rPr>
          <w:sz w:val="24"/>
          <w:szCs w:val="24"/>
          <w:color w:val="auto"/>
        </w:rPr>
      </w:pPr>
    </w:p>
    <w:p>
      <w:pPr>
        <w:ind w:right="320"/>
        <w:spacing w:after="0" w:line="239" w:lineRule="auto"/>
        <w:rPr>
          <w:sz w:val="20"/>
          <w:szCs w:val="20"/>
          <w:color w:val="auto"/>
        </w:rPr>
      </w:pPr>
      <w:r>
        <w:rPr>
          <w:rFonts w:ascii="Arial" w:cs="Arial" w:eastAsia="Arial" w:hAnsi="Arial"/>
          <w:sz w:val="12"/>
          <w:szCs w:val="12"/>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 w:lineRule="exact"/>
        <w:rPr>
          <w:sz w:val="24"/>
          <w:szCs w:val="24"/>
          <w:color w:val="auto"/>
        </w:rPr>
      </w:pPr>
    </w:p>
    <w:p>
      <w:pPr>
        <w:ind w:left="5420" w:hanging="169"/>
        <w:spacing w:after="0" w:line="150" w:lineRule="exact"/>
        <w:tabs>
          <w:tab w:leader="none" w:pos="5420" w:val="left"/>
        </w:tabs>
        <w:numPr>
          <w:ilvl w:val="1"/>
          <w:numId w:val="10"/>
        </w:numPr>
        <w:rPr>
          <w:rFonts w:ascii="MS PGothic" w:cs="MS PGothic" w:eastAsia="MS PGothic" w:hAnsi="MS PGothic"/>
          <w:sz w:val="14"/>
          <w:szCs w:val="14"/>
          <w:color w:val="auto"/>
        </w:rPr>
      </w:pPr>
      <w:r>
        <w:rPr>
          <w:rFonts w:ascii="Arial" w:cs="Arial" w:eastAsia="Arial" w:hAnsi="Arial"/>
          <w:sz w:val="12"/>
          <w:szCs w:val="12"/>
          <w:color w:val="auto"/>
        </w:rPr>
        <w:t xml:space="preserve">Yes </w:t>
      </w:r>
      <w:r>
        <w:rPr>
          <w:rFonts w:ascii="MS PGothic" w:cs="MS PGothic" w:eastAsia="MS PGothic" w:hAnsi="MS PGothic"/>
          <w:sz w:val="13"/>
          <w:szCs w:val="13"/>
          <w:color w:val="auto"/>
        </w:rPr>
        <w:t>☒</w:t>
      </w:r>
      <w:r>
        <w:rPr>
          <w:rFonts w:ascii="Arial" w:cs="Arial" w:eastAsia="Arial" w:hAnsi="Arial"/>
          <w:sz w:val="12"/>
          <w:szCs w:val="12"/>
          <w:color w:val="auto"/>
        </w:rPr>
        <w:t xml:space="preserve"> No</w:t>
      </w:r>
    </w:p>
    <w:p>
      <w:pPr>
        <w:spacing w:after="0" w:line="173" w:lineRule="exact"/>
        <w:rPr>
          <w:rFonts w:ascii="MS PGothic" w:cs="MS PGothic" w:eastAsia="MS PGothic" w:hAnsi="MS PGothic"/>
          <w:sz w:val="14"/>
          <w:szCs w:val="14"/>
          <w:color w:val="auto"/>
        </w:rPr>
      </w:pPr>
    </w:p>
    <w:p>
      <w:pPr>
        <w:ind w:firstLine="4"/>
        <w:spacing w:after="0" w:line="296" w:lineRule="auto"/>
        <w:tabs>
          <w:tab w:leader="none" w:pos="59" w:val="left"/>
        </w:tabs>
        <w:numPr>
          <w:ilvl w:val="0"/>
          <w:numId w:val="10"/>
        </w:numPr>
        <w:rPr>
          <w:rFonts w:ascii="Arial" w:cs="Arial" w:eastAsia="Arial" w:hAnsi="Arial"/>
          <w:sz w:val="7"/>
          <w:szCs w:val="7"/>
          <w:color w:val="auto"/>
        </w:rPr>
      </w:pPr>
      <w:r>
        <w:rPr>
          <w:rFonts w:ascii="Arial" w:cs="Arial" w:eastAsia="Arial" w:hAnsi="Arial"/>
          <w:sz w:val="11"/>
          <w:szCs w:val="11"/>
          <w:color w:val="auto"/>
        </w:rPr>
        <w:t>Of the 25,574,443 Class A ordinary shares as of December 31, 2019, (i) 1,472,480 were held by Arda Holdings Limited underlying the options granted but not yet exercised (whether or not they are vested) and the options reserved for issuance under our 2018 Share Incentive Plan, and (ii) 231,936 were held by JPMorgan Chase Bank N.A., our depositary, underlying the unvested restricted share units under our Post-IPO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2519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8255"/>
                    </a:xfrm>
                    <a:prstGeom prst="rect">
                      <a:avLst/>
                    </a:prstGeom>
                    <a:noFill/>
                  </pic:spPr>
                </pic:pic>
              </a:graphicData>
            </a:graphic>
          </wp:anchor>
        </w:drawing>
      </w:r>
    </w:p>
    <w:p>
      <w:pPr>
        <w:ind w:left="100" w:hanging="96"/>
        <w:spacing w:after="0"/>
        <w:tabs>
          <w:tab w:leader="none" w:pos="100" w:val="left"/>
        </w:tabs>
        <w:numPr>
          <w:ilvl w:val="0"/>
          <w:numId w:val="11"/>
        </w:numPr>
        <w:rPr>
          <w:rFonts w:ascii="Arial" w:cs="Arial" w:eastAsia="Arial" w:hAnsi="Arial"/>
          <w:sz w:val="8"/>
          <w:szCs w:val="8"/>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137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78105</wp:posOffset>
            </wp:positionV>
            <wp:extent cx="7137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210185</wp:posOffset>
            </wp:positionV>
            <wp:extent cx="715391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63" w:right="339" w:bottom="26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1020" w:type="dxa"/>
            <w:vAlign w:val="bottom"/>
          </w:tcPr>
          <w:p>
            <w:pPr>
              <w:spacing w:after="0"/>
              <w:rPr>
                <w:sz w:val="19"/>
                <w:szCs w:val="19"/>
                <w:color w:val="auto"/>
              </w:rPr>
            </w:pPr>
          </w:p>
        </w:tc>
        <w:tc>
          <w:tcPr>
            <w:tcW w:w="8860" w:type="dxa"/>
            <w:vAlign w:val="bottom"/>
          </w:tcPr>
          <w:p>
            <w:pPr>
              <w:ind w:left="3820"/>
              <w:spacing w:after="0"/>
              <w:rPr>
                <w:sz w:val="20"/>
                <w:szCs w:val="20"/>
                <w:color w:val="auto"/>
              </w:rPr>
            </w:pPr>
            <w:r>
              <w:rPr>
                <w:rFonts w:ascii="Arial" w:cs="Arial" w:eastAsia="Arial" w:hAnsi="Arial"/>
                <w:sz w:val="17"/>
                <w:szCs w:val="17"/>
                <w:b w:val="1"/>
                <w:bCs w:val="1"/>
                <w:color w:val="auto"/>
              </w:rPr>
              <w:t>TABLE OF CONTENTS</w:t>
            </w:r>
          </w:p>
        </w:tc>
        <w:tc>
          <w:tcPr>
            <w:tcW w:w="1380" w:type="dxa"/>
            <w:vAlign w:val="bottom"/>
          </w:tcPr>
          <w:p>
            <w:pPr>
              <w:spacing w:after="0"/>
              <w:rPr>
                <w:sz w:val="19"/>
                <w:szCs w:val="19"/>
                <w:color w:val="auto"/>
              </w:rPr>
            </w:pPr>
          </w:p>
        </w:tc>
      </w:tr>
      <w:tr>
        <w:trPr>
          <w:trHeight w:val="234"/>
        </w:trPr>
        <w:tc>
          <w:tcPr>
            <w:tcW w:w="1020" w:type="dxa"/>
            <w:vAlign w:val="bottom"/>
          </w:tcPr>
          <w:p>
            <w:pPr>
              <w:ind w:left="40"/>
              <w:spacing w:after="0"/>
              <w:rPr>
                <w:sz w:val="20"/>
                <w:szCs w:val="20"/>
                <w:color w:val="auto"/>
              </w:rPr>
            </w:pPr>
            <w:r>
              <w:rPr>
                <w:rFonts w:ascii="Arial" w:cs="Arial" w:eastAsia="Arial" w:hAnsi="Arial"/>
                <w:sz w:val="17"/>
                <w:szCs w:val="17"/>
                <w:b w:val="1"/>
                <w:bCs w:val="1"/>
                <w:color w:val="auto"/>
              </w:rPr>
              <w:t>PART I</w:t>
            </w:r>
          </w:p>
        </w:tc>
        <w:tc>
          <w:tcPr>
            <w:tcW w:w="88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9"/>
        </w:trPr>
        <w:tc>
          <w:tcPr>
            <w:tcW w:w="1020" w:type="dxa"/>
            <w:vAlign w:val="bottom"/>
          </w:tcPr>
          <w:p>
            <w:pPr>
              <w:ind w:left="40"/>
              <w:spacing w:after="0"/>
              <w:rPr>
                <w:sz w:val="20"/>
                <w:szCs w:val="20"/>
                <w:color w:val="auto"/>
              </w:rPr>
            </w:pPr>
            <w:r>
              <w:rPr>
                <w:rFonts w:ascii="Arial" w:cs="Arial" w:eastAsia="Arial" w:hAnsi="Arial"/>
                <w:sz w:val="17"/>
                <w:szCs w:val="17"/>
                <w:color w:val="auto"/>
              </w:rPr>
              <w:t>ITEM 1.</w:t>
            </w:r>
          </w:p>
        </w:tc>
        <w:tc>
          <w:tcPr>
            <w:tcW w:w="8860" w:type="dxa"/>
            <w:vAlign w:val="bottom"/>
          </w:tcPr>
          <w:p>
            <w:pPr>
              <w:ind w:left="18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IDENTITY OF DIRECTORS, SENIOR MANAGEMENT AND ADVISERS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2.</w:t>
            </w:r>
          </w:p>
        </w:tc>
        <w:tc>
          <w:tcPr>
            <w:tcW w:w="8860" w:type="dxa"/>
            <w:vAlign w:val="bottom"/>
          </w:tcPr>
          <w:p>
            <w:pPr>
              <w:ind w:left="18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OFFER STATISTICS AND EXPECTED TIMETABLE</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3.</w:t>
            </w:r>
          </w:p>
        </w:tc>
        <w:tc>
          <w:tcPr>
            <w:tcW w:w="8860" w:type="dxa"/>
            <w:vAlign w:val="bottom"/>
          </w:tcPr>
          <w:p>
            <w:pPr>
              <w:ind w:left="18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KEY INFORMATION</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4.</w:t>
            </w:r>
          </w:p>
        </w:tc>
        <w:tc>
          <w:tcPr>
            <w:tcW w:w="8860" w:type="dxa"/>
            <w:vAlign w:val="bottom"/>
          </w:tcPr>
          <w:p>
            <w:pPr>
              <w:ind w:left="180"/>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INFORMATION ON THE COMPANY</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4A</w:t>
            </w:r>
          </w:p>
        </w:tc>
        <w:tc>
          <w:tcPr>
            <w:tcW w:w="8860" w:type="dxa"/>
            <w:vAlign w:val="bottom"/>
          </w:tcPr>
          <w:p>
            <w:pPr>
              <w:ind w:left="180"/>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UNRESOLVED STAFF COMMENTS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5.</w:t>
            </w:r>
          </w:p>
        </w:tc>
        <w:tc>
          <w:tcPr>
            <w:tcW w:w="8860" w:type="dxa"/>
            <w:vAlign w:val="bottom"/>
          </w:tcPr>
          <w:p>
            <w:pPr>
              <w:ind w:left="180"/>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OPERATING AND FINANCIAL REVIEW AND PROSPECTS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6.</w:t>
            </w:r>
          </w:p>
        </w:tc>
        <w:tc>
          <w:tcPr>
            <w:tcW w:w="8860" w:type="dxa"/>
            <w:vAlign w:val="bottom"/>
          </w:tcPr>
          <w:p>
            <w:pPr>
              <w:ind w:left="180"/>
              <w:spacing w:after="0"/>
              <w:rPr>
                <w:rFonts w:ascii="Arial" w:cs="Arial" w:eastAsia="Arial" w:hAnsi="Arial"/>
                <w:sz w:val="17"/>
                <w:szCs w:val="17"/>
                <w:u w:val="single" w:color="auto"/>
                <w:color w:val="0000EE"/>
              </w:rPr>
            </w:pPr>
            <w:hyperlink w:anchor="page105">
              <w:r>
                <w:rPr>
                  <w:rFonts w:ascii="Arial" w:cs="Arial" w:eastAsia="Arial" w:hAnsi="Arial"/>
                  <w:sz w:val="17"/>
                  <w:szCs w:val="17"/>
                  <w:u w:val="single" w:color="auto"/>
                  <w:color w:val="0000EE"/>
                </w:rPr>
                <w:t>DIRECTORS, SENIOR MANAGEMENT AND EMPLOYEES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7.</w:t>
            </w:r>
          </w:p>
        </w:tc>
        <w:tc>
          <w:tcPr>
            <w:tcW w:w="8860" w:type="dxa"/>
            <w:vAlign w:val="bottom"/>
          </w:tcPr>
          <w:p>
            <w:pPr>
              <w:ind w:left="180"/>
              <w:spacing w:after="0"/>
              <w:rPr>
                <w:rFonts w:ascii="Arial" w:cs="Arial" w:eastAsia="Arial" w:hAnsi="Arial"/>
                <w:sz w:val="17"/>
                <w:szCs w:val="17"/>
                <w:u w:val="single" w:color="auto"/>
                <w:color w:val="0000EE"/>
              </w:rPr>
            </w:pPr>
            <w:hyperlink w:anchor="page115">
              <w:r>
                <w:rPr>
                  <w:rFonts w:ascii="Arial" w:cs="Arial" w:eastAsia="Arial" w:hAnsi="Arial"/>
                  <w:sz w:val="17"/>
                  <w:szCs w:val="17"/>
                  <w:u w:val="single" w:color="auto"/>
                  <w:color w:val="0000EE"/>
                </w:rPr>
                <w:t>MAJOR SHAREHOLDERS AND RELATED PARTY TRANSACTIONS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8.</w:t>
            </w:r>
          </w:p>
        </w:tc>
        <w:tc>
          <w:tcPr>
            <w:tcW w:w="8860" w:type="dxa"/>
            <w:vAlign w:val="bottom"/>
          </w:tcPr>
          <w:p>
            <w:pPr>
              <w:ind w:left="180"/>
              <w:spacing w:after="0"/>
              <w:rPr>
                <w:rFonts w:ascii="Arial" w:cs="Arial" w:eastAsia="Arial" w:hAnsi="Arial"/>
                <w:sz w:val="17"/>
                <w:szCs w:val="17"/>
                <w:u w:val="single" w:color="auto"/>
                <w:color w:val="0000EE"/>
              </w:rPr>
            </w:pPr>
            <w:hyperlink w:anchor="page116">
              <w:r>
                <w:rPr>
                  <w:rFonts w:ascii="Arial" w:cs="Arial" w:eastAsia="Arial" w:hAnsi="Arial"/>
                  <w:sz w:val="17"/>
                  <w:szCs w:val="17"/>
                  <w:u w:val="single" w:color="auto"/>
                  <w:color w:val="0000EE"/>
                </w:rPr>
                <w:t>FINANCIAL INFORMATION</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9.</w:t>
            </w:r>
          </w:p>
        </w:tc>
        <w:tc>
          <w:tcPr>
            <w:tcW w:w="8860" w:type="dxa"/>
            <w:vAlign w:val="bottom"/>
          </w:tcPr>
          <w:p>
            <w:pPr>
              <w:ind w:left="180"/>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THE OFFER AND LISTING</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10.</w:t>
            </w:r>
          </w:p>
        </w:tc>
        <w:tc>
          <w:tcPr>
            <w:tcW w:w="8860" w:type="dxa"/>
            <w:vAlign w:val="bottom"/>
          </w:tcPr>
          <w:p>
            <w:pPr>
              <w:ind w:left="180"/>
              <w:spacing w:after="0"/>
              <w:rPr>
                <w:rFonts w:ascii="Arial" w:cs="Arial" w:eastAsia="Arial" w:hAnsi="Arial"/>
                <w:sz w:val="17"/>
                <w:szCs w:val="17"/>
                <w:u w:val="single" w:color="auto"/>
                <w:color w:val="0000EE"/>
              </w:rPr>
            </w:pPr>
            <w:hyperlink w:anchor="page118">
              <w:r>
                <w:rPr>
                  <w:rFonts w:ascii="Arial" w:cs="Arial" w:eastAsia="Arial" w:hAnsi="Arial"/>
                  <w:sz w:val="17"/>
                  <w:szCs w:val="17"/>
                  <w:u w:val="single" w:color="auto"/>
                  <w:color w:val="0000EE"/>
                </w:rPr>
                <w:t>ADDITIONAL INFORMATION</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11.</w:t>
            </w:r>
          </w:p>
        </w:tc>
        <w:tc>
          <w:tcPr>
            <w:tcW w:w="8860" w:type="dxa"/>
            <w:vAlign w:val="bottom"/>
          </w:tcPr>
          <w:p>
            <w:pPr>
              <w:ind w:left="180"/>
              <w:spacing w:after="0"/>
              <w:rPr>
                <w:rFonts w:ascii="Arial" w:cs="Arial" w:eastAsia="Arial" w:hAnsi="Arial"/>
                <w:sz w:val="17"/>
                <w:szCs w:val="17"/>
                <w:u w:val="single" w:color="auto"/>
                <w:color w:val="0000EE"/>
              </w:rPr>
            </w:pPr>
            <w:hyperlink w:anchor="page127">
              <w:r>
                <w:rPr>
                  <w:rFonts w:ascii="Arial" w:cs="Arial" w:eastAsia="Arial" w:hAnsi="Arial"/>
                  <w:sz w:val="17"/>
                  <w:szCs w:val="17"/>
                  <w:u w:val="single" w:color="auto"/>
                  <w:color w:val="0000EE"/>
                </w:rPr>
                <w:t>QUANTITATIVE AND QUALITATIVE DISCLOSURES ABOUT MARKET RISK</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2"/>
        </w:trPr>
        <w:tc>
          <w:tcPr>
            <w:tcW w:w="1020" w:type="dxa"/>
            <w:vAlign w:val="bottom"/>
          </w:tcPr>
          <w:p>
            <w:pPr>
              <w:ind w:left="40"/>
              <w:spacing w:after="0"/>
              <w:rPr>
                <w:sz w:val="20"/>
                <w:szCs w:val="20"/>
                <w:color w:val="auto"/>
              </w:rPr>
            </w:pPr>
            <w:r>
              <w:rPr>
                <w:rFonts w:ascii="Arial" w:cs="Arial" w:eastAsia="Arial" w:hAnsi="Arial"/>
                <w:sz w:val="17"/>
                <w:szCs w:val="17"/>
                <w:color w:val="auto"/>
              </w:rPr>
              <w:t>ITEM 12.</w:t>
            </w:r>
          </w:p>
        </w:tc>
        <w:tc>
          <w:tcPr>
            <w:tcW w:w="8860" w:type="dxa"/>
            <w:vAlign w:val="bottom"/>
          </w:tcPr>
          <w:p>
            <w:pPr>
              <w:ind w:left="180"/>
              <w:spacing w:after="0"/>
              <w:rPr>
                <w:rFonts w:ascii="Arial" w:cs="Arial" w:eastAsia="Arial" w:hAnsi="Arial"/>
                <w:sz w:val="17"/>
                <w:szCs w:val="17"/>
                <w:u w:val="single" w:color="auto"/>
                <w:color w:val="0000EE"/>
              </w:rPr>
            </w:pPr>
            <w:hyperlink w:anchor="page128">
              <w:r>
                <w:rPr>
                  <w:rFonts w:ascii="Arial" w:cs="Arial" w:eastAsia="Arial" w:hAnsi="Arial"/>
                  <w:sz w:val="17"/>
                  <w:szCs w:val="17"/>
                  <w:u w:val="single" w:color="auto"/>
                  <w:color w:val="0000EE"/>
                </w:rPr>
                <w:t>DESCRIPTION OF SECURITIES OTHER THAN EQUITY SECURITIES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27"/>
        </w:trPr>
        <w:tc>
          <w:tcPr>
            <w:tcW w:w="1020" w:type="dxa"/>
            <w:vAlign w:val="bottom"/>
          </w:tcPr>
          <w:p>
            <w:pPr>
              <w:ind w:left="40"/>
              <w:spacing w:after="0"/>
              <w:rPr>
                <w:sz w:val="20"/>
                <w:szCs w:val="20"/>
                <w:color w:val="auto"/>
              </w:rPr>
            </w:pPr>
            <w:r>
              <w:rPr>
                <w:rFonts w:ascii="Arial" w:cs="Arial" w:eastAsia="Arial" w:hAnsi="Arial"/>
                <w:sz w:val="17"/>
                <w:szCs w:val="17"/>
                <w:b w:val="1"/>
                <w:bCs w:val="1"/>
                <w:color w:val="auto"/>
              </w:rPr>
              <w:t>PART II</w:t>
            </w:r>
          </w:p>
        </w:tc>
        <w:tc>
          <w:tcPr>
            <w:tcW w:w="8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9"/>
        </w:trPr>
        <w:tc>
          <w:tcPr>
            <w:tcW w:w="1020" w:type="dxa"/>
            <w:vAlign w:val="bottom"/>
          </w:tcPr>
          <w:p>
            <w:pPr>
              <w:ind w:left="40"/>
              <w:spacing w:after="0"/>
              <w:rPr>
                <w:sz w:val="20"/>
                <w:szCs w:val="20"/>
                <w:color w:val="auto"/>
              </w:rPr>
            </w:pPr>
            <w:r>
              <w:rPr>
                <w:rFonts w:ascii="Arial" w:cs="Arial" w:eastAsia="Arial" w:hAnsi="Arial"/>
                <w:sz w:val="17"/>
                <w:szCs w:val="17"/>
                <w:color w:val="auto"/>
              </w:rPr>
              <w:t>ITEM 13.</w:t>
            </w:r>
          </w:p>
        </w:tc>
        <w:tc>
          <w:tcPr>
            <w:tcW w:w="8860" w:type="dxa"/>
            <w:vAlign w:val="bottom"/>
          </w:tcPr>
          <w:p>
            <w:pPr>
              <w:ind w:left="180"/>
              <w:spacing w:after="0"/>
              <w:rPr>
                <w:rFonts w:ascii="Arial" w:cs="Arial" w:eastAsia="Arial" w:hAnsi="Arial"/>
                <w:sz w:val="17"/>
                <w:szCs w:val="17"/>
                <w:u w:val="single" w:color="auto"/>
                <w:color w:val="0000EE"/>
              </w:rPr>
            </w:pPr>
            <w:hyperlink w:anchor="page130">
              <w:r>
                <w:rPr>
                  <w:rFonts w:ascii="Arial" w:cs="Arial" w:eastAsia="Arial" w:hAnsi="Arial"/>
                  <w:sz w:val="17"/>
                  <w:szCs w:val="17"/>
                  <w:u w:val="single" w:color="auto"/>
                  <w:color w:val="0000EE"/>
                </w:rPr>
                <w:t>DEFAULTS, DIVIDEND ARREARAGES AND DELINQUENCIES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14.</w:t>
            </w:r>
          </w:p>
        </w:tc>
        <w:tc>
          <w:tcPr>
            <w:tcW w:w="8860" w:type="dxa"/>
            <w:vAlign w:val="bottom"/>
          </w:tcPr>
          <w:p>
            <w:pPr>
              <w:ind w:left="180"/>
              <w:spacing w:after="0"/>
              <w:rPr>
                <w:rFonts w:ascii="Arial" w:cs="Arial" w:eastAsia="Arial" w:hAnsi="Arial"/>
                <w:sz w:val="17"/>
                <w:szCs w:val="17"/>
                <w:u w:val="single" w:color="auto"/>
                <w:color w:val="0000EE"/>
              </w:rPr>
            </w:pPr>
            <w:hyperlink w:anchor="page130">
              <w:r>
                <w:rPr>
                  <w:rFonts w:ascii="Arial" w:cs="Arial" w:eastAsia="Arial" w:hAnsi="Arial"/>
                  <w:sz w:val="17"/>
                  <w:szCs w:val="17"/>
                  <w:u w:val="single" w:color="auto"/>
                  <w:color w:val="0000EE"/>
                </w:rPr>
                <w:t>MATERIAL MODIFICATIONS TO THE RIGHTS OF SECURITY HOLDERS AND USE OF PROCEEDS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15.</w:t>
            </w:r>
          </w:p>
        </w:tc>
        <w:tc>
          <w:tcPr>
            <w:tcW w:w="8860" w:type="dxa"/>
            <w:vAlign w:val="bottom"/>
          </w:tcPr>
          <w:p>
            <w:pPr>
              <w:ind w:left="180"/>
              <w:spacing w:after="0"/>
              <w:rPr>
                <w:rFonts w:ascii="Arial" w:cs="Arial" w:eastAsia="Arial" w:hAnsi="Arial"/>
                <w:sz w:val="17"/>
                <w:szCs w:val="17"/>
                <w:u w:val="single" w:color="auto"/>
                <w:color w:val="0000EE"/>
              </w:rPr>
            </w:pPr>
            <w:hyperlink w:anchor="page130">
              <w:r>
                <w:rPr>
                  <w:rFonts w:ascii="Arial" w:cs="Arial" w:eastAsia="Arial" w:hAnsi="Arial"/>
                  <w:sz w:val="17"/>
                  <w:szCs w:val="17"/>
                  <w:u w:val="single" w:color="auto"/>
                  <w:color w:val="0000EE"/>
                </w:rPr>
                <w:t>CONTROLS AND PROCEDURES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16A.</w:t>
            </w:r>
          </w:p>
        </w:tc>
        <w:tc>
          <w:tcPr>
            <w:tcW w:w="8860" w:type="dxa"/>
            <w:vAlign w:val="bottom"/>
          </w:tcPr>
          <w:p>
            <w:pPr>
              <w:ind w:left="180"/>
              <w:spacing w:after="0"/>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AUDIT COMMITTEE FINANCIAL EXPERT</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16B.</w:t>
            </w:r>
          </w:p>
        </w:tc>
        <w:tc>
          <w:tcPr>
            <w:tcW w:w="8860" w:type="dxa"/>
            <w:vAlign w:val="bottom"/>
          </w:tcPr>
          <w:p>
            <w:pPr>
              <w:ind w:left="180"/>
              <w:spacing w:after="0"/>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CODE OF ETHICS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16C.</w:t>
            </w:r>
          </w:p>
        </w:tc>
        <w:tc>
          <w:tcPr>
            <w:tcW w:w="8860" w:type="dxa"/>
            <w:vAlign w:val="bottom"/>
          </w:tcPr>
          <w:p>
            <w:pPr>
              <w:ind w:left="180"/>
              <w:spacing w:after="0"/>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PRINCIPAL ACCOUNTANT FEES AND SERVICES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16D.</w:t>
            </w:r>
          </w:p>
        </w:tc>
        <w:tc>
          <w:tcPr>
            <w:tcW w:w="8860" w:type="dxa"/>
            <w:vAlign w:val="bottom"/>
          </w:tcPr>
          <w:p>
            <w:pPr>
              <w:ind w:left="180"/>
              <w:spacing w:after="0"/>
              <w:rPr>
                <w:rFonts w:ascii="Arial" w:cs="Arial" w:eastAsia="Arial" w:hAnsi="Arial"/>
                <w:sz w:val="17"/>
                <w:szCs w:val="17"/>
                <w:u w:val="single" w:color="auto"/>
                <w:color w:val="0000EE"/>
              </w:rPr>
            </w:pPr>
            <w:hyperlink w:anchor="page132">
              <w:r>
                <w:rPr>
                  <w:rFonts w:ascii="Arial" w:cs="Arial" w:eastAsia="Arial" w:hAnsi="Arial"/>
                  <w:sz w:val="17"/>
                  <w:szCs w:val="17"/>
                  <w:u w:val="single" w:color="auto"/>
                  <w:color w:val="0000EE"/>
                </w:rPr>
                <w:t>EXEMPTIONS FROM THE LISTING STANDARDS FOR AUDIT COMMITTEES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16E.</w:t>
            </w:r>
          </w:p>
        </w:tc>
        <w:tc>
          <w:tcPr>
            <w:tcW w:w="8860" w:type="dxa"/>
            <w:vAlign w:val="bottom"/>
          </w:tcPr>
          <w:p>
            <w:pPr>
              <w:ind w:left="180"/>
              <w:spacing w:after="0"/>
              <w:rPr>
                <w:rFonts w:ascii="Arial" w:cs="Arial" w:eastAsia="Arial" w:hAnsi="Arial"/>
                <w:sz w:val="17"/>
                <w:szCs w:val="17"/>
                <w:u w:val="single" w:color="auto"/>
                <w:color w:val="0000EE"/>
              </w:rPr>
            </w:pPr>
            <w:hyperlink w:anchor="page132">
              <w:r>
                <w:rPr>
                  <w:rFonts w:ascii="Arial" w:cs="Arial" w:eastAsia="Arial" w:hAnsi="Arial"/>
                  <w:sz w:val="17"/>
                  <w:szCs w:val="17"/>
                  <w:u w:val="single" w:color="auto"/>
                  <w:color w:val="0000EE"/>
                </w:rPr>
                <w:t>PURCHASES OF EQUITY SECURITIES BY THE ISSUER AND AFFILIATED PURCHASERS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16F.</w:t>
            </w:r>
          </w:p>
        </w:tc>
        <w:tc>
          <w:tcPr>
            <w:tcW w:w="8860" w:type="dxa"/>
            <w:vAlign w:val="bottom"/>
          </w:tcPr>
          <w:p>
            <w:pPr>
              <w:ind w:left="180"/>
              <w:spacing w:after="0"/>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CHANGE IN REGISTRANT’S CERTIFYING ACCOUNTANT</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16G.</w:t>
            </w:r>
          </w:p>
        </w:tc>
        <w:tc>
          <w:tcPr>
            <w:tcW w:w="8860" w:type="dxa"/>
            <w:vAlign w:val="bottom"/>
          </w:tcPr>
          <w:p>
            <w:pPr>
              <w:ind w:left="180"/>
              <w:spacing w:after="0"/>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CORPORATE GOVERNANCE</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02"/>
        </w:trPr>
        <w:tc>
          <w:tcPr>
            <w:tcW w:w="1020" w:type="dxa"/>
            <w:vAlign w:val="bottom"/>
          </w:tcPr>
          <w:p>
            <w:pPr>
              <w:ind w:left="40"/>
              <w:spacing w:after="0"/>
              <w:rPr>
                <w:sz w:val="20"/>
                <w:szCs w:val="20"/>
                <w:color w:val="auto"/>
              </w:rPr>
            </w:pPr>
            <w:r>
              <w:rPr>
                <w:rFonts w:ascii="Arial" w:cs="Arial" w:eastAsia="Arial" w:hAnsi="Arial"/>
                <w:sz w:val="17"/>
                <w:szCs w:val="17"/>
                <w:color w:val="auto"/>
              </w:rPr>
              <w:t>ITEM 16H.</w:t>
            </w:r>
          </w:p>
        </w:tc>
        <w:tc>
          <w:tcPr>
            <w:tcW w:w="8860" w:type="dxa"/>
            <w:vAlign w:val="bottom"/>
          </w:tcPr>
          <w:p>
            <w:pPr>
              <w:ind w:left="180"/>
              <w:spacing w:after="0"/>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MINE SAFETY DISCLOSURE</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27"/>
        </w:trPr>
        <w:tc>
          <w:tcPr>
            <w:tcW w:w="1020" w:type="dxa"/>
            <w:vAlign w:val="bottom"/>
          </w:tcPr>
          <w:p>
            <w:pPr>
              <w:ind w:left="40"/>
              <w:spacing w:after="0"/>
              <w:rPr>
                <w:sz w:val="20"/>
                <w:szCs w:val="20"/>
                <w:color w:val="auto"/>
              </w:rPr>
            </w:pPr>
            <w:r>
              <w:rPr>
                <w:rFonts w:ascii="Arial" w:cs="Arial" w:eastAsia="Arial" w:hAnsi="Arial"/>
                <w:sz w:val="17"/>
                <w:szCs w:val="17"/>
                <w:b w:val="1"/>
                <w:bCs w:val="1"/>
                <w:color w:val="auto"/>
              </w:rPr>
              <w:t>PART III</w:t>
            </w:r>
          </w:p>
        </w:tc>
        <w:tc>
          <w:tcPr>
            <w:tcW w:w="88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9"/>
        </w:trPr>
        <w:tc>
          <w:tcPr>
            <w:tcW w:w="1020" w:type="dxa"/>
            <w:vAlign w:val="bottom"/>
          </w:tcPr>
          <w:p>
            <w:pPr>
              <w:ind w:left="40"/>
              <w:spacing w:after="0"/>
              <w:rPr>
                <w:sz w:val="20"/>
                <w:szCs w:val="20"/>
                <w:color w:val="auto"/>
              </w:rPr>
            </w:pPr>
            <w:r>
              <w:rPr>
                <w:rFonts w:ascii="Arial" w:cs="Arial" w:eastAsia="Arial" w:hAnsi="Arial"/>
                <w:sz w:val="17"/>
                <w:szCs w:val="17"/>
                <w:color w:val="auto"/>
              </w:rPr>
              <w:t>ITEM 17.</w:t>
            </w:r>
          </w:p>
        </w:tc>
        <w:tc>
          <w:tcPr>
            <w:tcW w:w="8860" w:type="dxa"/>
            <w:vAlign w:val="bottom"/>
          </w:tcPr>
          <w:p>
            <w:pPr>
              <w:ind w:left="180"/>
              <w:spacing w:after="0"/>
              <w:rPr>
                <w:rFonts w:ascii="Arial" w:cs="Arial" w:eastAsia="Arial" w:hAnsi="Arial"/>
                <w:sz w:val="17"/>
                <w:szCs w:val="17"/>
                <w:u w:val="single" w:color="auto"/>
                <w:color w:val="0000EE"/>
              </w:rPr>
            </w:pPr>
            <w:hyperlink w:anchor="page134">
              <w:r>
                <w:rPr>
                  <w:rFonts w:ascii="Arial" w:cs="Arial" w:eastAsia="Arial" w:hAnsi="Arial"/>
                  <w:sz w:val="17"/>
                  <w:szCs w:val="17"/>
                  <w:u w:val="single" w:color="auto"/>
                  <w:color w:val="0000EE"/>
                </w:rPr>
                <w:t>FINANCIAL STATEMENTS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08"/>
        </w:trPr>
        <w:tc>
          <w:tcPr>
            <w:tcW w:w="1020" w:type="dxa"/>
            <w:vAlign w:val="bottom"/>
          </w:tcPr>
          <w:p>
            <w:pPr>
              <w:ind w:left="40"/>
              <w:spacing w:after="0"/>
              <w:rPr>
                <w:sz w:val="20"/>
                <w:szCs w:val="20"/>
                <w:color w:val="auto"/>
              </w:rPr>
            </w:pPr>
            <w:r>
              <w:rPr>
                <w:rFonts w:ascii="Arial" w:cs="Arial" w:eastAsia="Arial" w:hAnsi="Arial"/>
                <w:sz w:val="17"/>
                <w:szCs w:val="17"/>
                <w:color w:val="auto"/>
              </w:rPr>
              <w:t>ITEM 18.</w:t>
            </w:r>
          </w:p>
        </w:tc>
        <w:tc>
          <w:tcPr>
            <w:tcW w:w="8860" w:type="dxa"/>
            <w:vAlign w:val="bottom"/>
          </w:tcPr>
          <w:p>
            <w:pPr>
              <w:ind w:left="180"/>
              <w:spacing w:after="0"/>
              <w:rPr>
                <w:rFonts w:ascii="Arial" w:cs="Arial" w:eastAsia="Arial" w:hAnsi="Arial"/>
                <w:sz w:val="17"/>
                <w:szCs w:val="17"/>
                <w:u w:val="single" w:color="auto"/>
                <w:color w:val="0000EE"/>
              </w:rPr>
            </w:pPr>
            <w:hyperlink w:anchor="page134">
              <w:r>
                <w:rPr>
                  <w:rFonts w:ascii="Arial" w:cs="Arial" w:eastAsia="Arial" w:hAnsi="Arial"/>
                  <w:sz w:val="17"/>
                  <w:szCs w:val="17"/>
                  <w:u w:val="single" w:color="auto"/>
                  <w:color w:val="0000EE"/>
                </w:rPr>
                <w:t>FINANCIAL STATEMENTS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21"/>
        </w:trPr>
        <w:tc>
          <w:tcPr>
            <w:tcW w:w="1020" w:type="dxa"/>
            <w:vAlign w:val="bottom"/>
          </w:tcPr>
          <w:p>
            <w:pPr>
              <w:ind w:left="40"/>
              <w:spacing w:after="0"/>
              <w:rPr>
                <w:sz w:val="20"/>
                <w:szCs w:val="20"/>
                <w:color w:val="auto"/>
              </w:rPr>
            </w:pPr>
            <w:r>
              <w:rPr>
                <w:rFonts w:ascii="Arial" w:cs="Arial" w:eastAsia="Arial" w:hAnsi="Arial"/>
                <w:sz w:val="17"/>
                <w:szCs w:val="17"/>
                <w:color w:val="auto"/>
              </w:rPr>
              <w:t>ITEM 19.</w:t>
            </w:r>
          </w:p>
        </w:tc>
        <w:tc>
          <w:tcPr>
            <w:tcW w:w="8860" w:type="dxa"/>
            <w:vAlign w:val="bottom"/>
          </w:tcPr>
          <w:p>
            <w:pPr>
              <w:ind w:left="180"/>
              <w:spacing w:after="0"/>
              <w:rPr>
                <w:rFonts w:ascii="Arial" w:cs="Arial" w:eastAsia="Arial" w:hAnsi="Arial"/>
                <w:sz w:val="17"/>
                <w:szCs w:val="17"/>
                <w:u w:val="single" w:color="auto"/>
                <w:color w:val="0000EE"/>
              </w:rPr>
            </w:pPr>
            <w:hyperlink w:anchor="page134">
              <w:r>
                <w:rPr>
                  <w:rFonts w:ascii="Arial" w:cs="Arial" w:eastAsia="Arial" w:hAnsi="Arial"/>
                  <w:sz w:val="17"/>
                  <w:szCs w:val="17"/>
                  <w:u w:val="single" w:color="auto"/>
                  <w:color w:val="0000EE"/>
                </w:rPr>
                <w:t>EXHIBITS</w:t>
              </w:r>
            </w:hyperlink>
          </w:p>
        </w:tc>
        <w:tc>
          <w:tcPr>
            <w:tcW w:w="138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891"/>
        </w:trPr>
        <w:tc>
          <w:tcPr>
            <w:tcW w:w="102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CONVENTIONS THAT APPLY TO THIS ANNUAL REPORT</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Unless otherwise indicated and except where the context otherwise requires, references in this annual report to:</w:t>
      </w:r>
    </w:p>
    <w:p>
      <w:pPr>
        <w:spacing w:after="0" w:line="117" w:lineRule="exact"/>
        <w:rPr>
          <w:sz w:val="20"/>
          <w:szCs w:val="20"/>
          <w:color w:val="auto"/>
        </w:rPr>
      </w:pPr>
    </w:p>
    <w:p>
      <w:pPr>
        <w:jc w:val="both"/>
        <w:ind w:left="1020" w:right="20" w:hanging="509"/>
        <w:spacing w:after="0" w:line="27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68"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“ADSs” refers to our American depositary shares. Two ADSs represent one Class A ordinary share;</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“China” or “PRC” refers to the People’s Republic of China, excluding, for the purposes of this annual report only, Hong Kong, Macau and Taiwan;</w:t>
      </w:r>
    </w:p>
    <w:p>
      <w:pPr>
        <w:spacing w:after="0" w:line="139" w:lineRule="exact"/>
        <w:rPr>
          <w:rFonts w:ascii="Arial" w:cs="Arial" w:eastAsia="Arial" w:hAnsi="Arial"/>
          <w:sz w:val="15"/>
          <w:szCs w:val="15"/>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“direct marketer clients” refers to marketers that have direct contractual relationship with us;</w:t>
      </w:r>
    </w:p>
    <w:p>
      <w:pPr>
        <w:spacing w:after="0" w:line="116" w:lineRule="exact"/>
        <w:rPr>
          <w:rFonts w:ascii="Arial" w:cs="Arial" w:eastAsia="Arial" w:hAnsi="Arial"/>
          <w:sz w:val="17"/>
          <w:szCs w:val="17"/>
          <w:color w:val="auto"/>
        </w:rPr>
      </w:pPr>
    </w:p>
    <w:p>
      <w:pPr>
        <w:ind w:left="1020" w:right="380" w:hanging="509"/>
        <w:spacing w:after="0" w:line="28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“end marketers,” or “marketers” refers to marketers that we serve, either directly or through marketing agencies, regardless if they have direct contractual relationship with us;</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“HK$” or “Hong Kong dollars” refers to the legal currency of Hong Kong;</w:t>
      </w:r>
    </w:p>
    <w:p>
      <w:pPr>
        <w:spacing w:after="0" w:line="116" w:lineRule="exact"/>
        <w:rPr>
          <w:rFonts w:ascii="Arial" w:cs="Arial" w:eastAsia="Arial" w:hAnsi="Arial"/>
          <w:sz w:val="17"/>
          <w:szCs w:val="17"/>
          <w:color w:val="auto"/>
        </w:rPr>
      </w:pPr>
    </w:p>
    <w:p>
      <w:pPr>
        <w:ind w:left="1020" w:hanging="509"/>
        <w:spacing w:after="0" w:line="28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“marketing solutions” refers to mobile marketing solutions and other marketing solutions;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16" w:lineRule="exact"/>
        <w:rPr>
          <w:rFonts w:ascii="Arial" w:cs="Arial" w:eastAsia="Arial" w:hAnsi="Arial"/>
          <w:sz w:val="17"/>
          <w:szCs w:val="17"/>
          <w:color w:val="auto"/>
        </w:rPr>
      </w:pPr>
    </w:p>
    <w:p>
      <w:pPr>
        <w:ind w:left="1020" w:right="60" w:hanging="509"/>
        <w:spacing w:after="0" w:line="28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“multinational companies” refer to companies that own or control production of goods or provision of services in one or more countries other than their home countries;</w:t>
      </w:r>
    </w:p>
    <w:p>
      <w:pPr>
        <w:spacing w:after="0" w:line="54" w:lineRule="exact"/>
        <w:rPr>
          <w:rFonts w:ascii="Arial" w:cs="Arial" w:eastAsia="Arial" w:hAnsi="Arial"/>
          <w:sz w:val="17"/>
          <w:szCs w:val="17"/>
          <w:color w:val="auto"/>
        </w:rPr>
      </w:pPr>
    </w:p>
    <w:p>
      <w:pPr>
        <w:ind w:left="1020" w:right="780" w:hanging="509"/>
        <w:spacing w:after="0" w:line="28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“online marketing technology platforms” refers to online marketing platforms which, through a combination of marketing strategies and technologies, assist marketers in optimizing their marketing resources;</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“ordinary shares” refer to our Class A and Class B ordinary shares, par value US$0.001 per share;</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clients” refers to entities which enter into sales contracts with us and incur spending during the relevant period;</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“RMB” or “Renminbi” refers to the legal currency of China;</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“us,” “our company” and “our” refer to iClick Interactive Asia Group Limited; and</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“US$,” “dollars” or “U.S. dollars” refers to the legal currency of the United States.</w:t>
      </w:r>
    </w:p>
    <w:p>
      <w:pPr>
        <w:spacing w:after="0" w:line="221" w:lineRule="exact"/>
        <w:rPr>
          <w:sz w:val="20"/>
          <w:szCs w:val="20"/>
          <w:color w:val="auto"/>
        </w:rPr>
      </w:pPr>
    </w:p>
    <w:p>
      <w:pPr>
        <w:ind w:right="40" w:firstLine="513"/>
        <w:spacing w:after="0" w:line="279" w:lineRule="auto"/>
        <w:rPr>
          <w:sz w:val="20"/>
          <w:szCs w:val="20"/>
          <w:color w:val="auto"/>
        </w:rPr>
      </w:pPr>
      <w:r>
        <w:rPr>
          <w:rFonts w:ascii="Arial" w:cs="Arial" w:eastAsia="Arial" w:hAnsi="Arial"/>
          <w:sz w:val="16"/>
          <w:szCs w:val="16"/>
          <w:color w:val="auto"/>
        </w:rPr>
        <w:t>Our financial statements are expressed in the U.S. dollar, which is our reporting currency. Certain of our financial data in this annual report on Form 20-F are translated into U.S. dollars solely for the reader’s convenience. Unless otherwise noted, all convenience translations from Renminbi to U.S. dollars, and from Hong Kong dollars to U.S. dollars, in this annual report on Form 20-F were made at a rate of RMB6.9618 to US$1.00, and HKD7.7894 to US$1.00, respectively, which were the exchange rates set forth in the H.10 statistical release of the Board of Governors of the Federal Reserve System on December 31, 2019. We make no representation that any Renminbi/ Hong Kong dollar or U.S. dollar amounts could have been, or could be, converted into U.S. dollars or Renminbi/ Hong Kong dollar, as the case may be, at any particular rate, at the respective rate stated above, or at all. Any discrepancies in any table between the amounts identified as total amounts and the sum of the amounts listed therein are due to rounding.</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7"/>
          <w:szCs w:val="17"/>
          <w:b w:val="1"/>
          <w:bCs w:val="1"/>
          <w:color w:val="auto"/>
        </w:rPr>
        <w:t>FORWARD-LOOKING STATEMENTS</w:t>
      </w:r>
    </w:p>
    <w:p>
      <w:pPr>
        <w:spacing w:after="0" w:line="227" w:lineRule="exact"/>
        <w:rPr>
          <w:sz w:val="20"/>
          <w:szCs w:val="20"/>
          <w:color w:val="auto"/>
        </w:rPr>
      </w:pPr>
    </w:p>
    <w:p>
      <w:pPr>
        <w:ind w:firstLine="513"/>
        <w:spacing w:after="0" w:line="265" w:lineRule="auto"/>
        <w:rPr>
          <w:sz w:val="20"/>
          <w:szCs w:val="20"/>
          <w:color w:val="auto"/>
        </w:rPr>
      </w:pPr>
      <w:r>
        <w:rPr>
          <w:rFonts w:ascii="Arial" w:cs="Arial" w:eastAsia="Arial" w:hAnsi="Arial"/>
          <w:sz w:val="17"/>
          <w:szCs w:val="17"/>
          <w:color w:val="auto"/>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77" w:lineRule="exact"/>
        <w:rPr>
          <w:sz w:val="20"/>
          <w:szCs w:val="20"/>
          <w:color w:val="auto"/>
        </w:rPr>
      </w:pPr>
    </w:p>
    <w:p>
      <w:pPr>
        <w:jc w:val="both"/>
        <w:ind w:firstLine="513"/>
        <w:spacing w:after="0" w:line="265" w:lineRule="auto"/>
        <w:rPr>
          <w:sz w:val="20"/>
          <w:szCs w:val="20"/>
          <w:color w:val="auto"/>
        </w:rPr>
      </w:pPr>
      <w:r>
        <w:rPr>
          <w:rFonts w:ascii="Arial" w:cs="Arial" w:eastAsia="Arial" w:hAnsi="Arial"/>
          <w:sz w:val="17"/>
          <w:szCs w:val="17"/>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73" w:lineRule="exact"/>
        <w:rPr>
          <w:sz w:val="20"/>
          <w:szCs w:val="20"/>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goals and strategies;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maintain and enhance our mobile capabilities;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future business development, financial condition and results of operations;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expected growth of online marketing industry, including online marketing technology industry in China;</w:t>
      </w:r>
    </w:p>
    <w:p>
      <w:pPr>
        <w:spacing w:after="0" w:line="116" w:lineRule="exact"/>
        <w:rPr>
          <w:rFonts w:ascii="Arial" w:cs="Arial" w:eastAsia="Arial" w:hAnsi="Arial"/>
          <w:sz w:val="17"/>
          <w:szCs w:val="17"/>
          <w:color w:val="auto"/>
        </w:rPr>
      </w:pPr>
    </w:p>
    <w:p>
      <w:pPr>
        <w:ind w:left="1020" w:right="40" w:hanging="509"/>
        <w:spacing w:after="0" w:line="286"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expectations regarding demand for and market acceptance of our products and services, including online marketing technology and enterprise solutions;</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expectations regarding our clients and other marketers and marketing agencies;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integrate and realize synergies from acquisitions and investments;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plans to invest in our platform, solutions, data analytics capabilities, technology and technology infrastructure;</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relationships with our content distribution channel partners;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competition in our industry;</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economic and business condition in China and elsewhere;</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relevant government policies and regulations relating to our industry; and</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duration of the COVID-19 outbreak and its potential impact on our business and financial performance.</w:t>
      </w:r>
    </w:p>
    <w:p>
      <w:pPr>
        <w:spacing w:after="0" w:line="221" w:lineRule="exact"/>
        <w:rPr>
          <w:sz w:val="20"/>
          <w:szCs w:val="20"/>
          <w:color w:val="auto"/>
        </w:rPr>
      </w:pPr>
    </w:p>
    <w:p>
      <w:pPr>
        <w:ind w:right="40" w:firstLine="513"/>
        <w:spacing w:after="0" w:line="261" w:lineRule="auto"/>
        <w:rPr>
          <w:sz w:val="20"/>
          <w:szCs w:val="20"/>
          <w:color w:val="auto"/>
        </w:rPr>
      </w:pPr>
      <w:r>
        <w:rPr>
          <w:rFonts w:ascii="Arial" w:cs="Arial" w:eastAsia="Arial" w:hAnsi="Arial"/>
          <w:sz w:val="17"/>
          <w:szCs w:val="17"/>
          <w:color w:val="auto"/>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2" w:lineRule="exact"/>
        <w:rPr>
          <w:sz w:val="20"/>
          <w:szCs w:val="20"/>
          <w:color w:val="auto"/>
        </w:rPr>
      </w:pPr>
    </w:p>
    <w:p>
      <w:pPr>
        <w:ind w:right="200" w:firstLine="513"/>
        <w:spacing w:after="0" w:line="265" w:lineRule="auto"/>
        <w:rPr>
          <w:sz w:val="20"/>
          <w:szCs w:val="20"/>
          <w:color w:val="auto"/>
        </w:rPr>
      </w:pPr>
      <w:r>
        <w:rPr>
          <w:rFonts w:ascii="Arial" w:cs="Arial" w:eastAsia="Arial" w:hAnsi="Arial"/>
          <w:sz w:val="17"/>
          <w:szCs w:val="17"/>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160"/>
          </w:cols>
          <w:pgMar w:left="320" w:top="342" w:right="4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1.IDENTITY OF DIRECTORS, SENIOR MANAGEMENT ANDADVISERS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2.OFFER STATISTICS AND EXPECTED TIMETABLE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3.KEY INFORMATION</w:t>
      </w:r>
    </w:p>
    <w:p>
      <w:pPr>
        <w:spacing w:after="0" w:line="123" w:lineRule="exact"/>
        <w:rPr>
          <w:sz w:val="20"/>
          <w:szCs w:val="20"/>
          <w:color w:val="auto"/>
        </w:rPr>
      </w:pPr>
    </w:p>
    <w:p>
      <w:pPr>
        <w:ind w:left="520" w:hanging="516"/>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Selected Financial Data</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Selected Consolidated Financial Data</w:t>
      </w:r>
    </w:p>
    <w:p>
      <w:pPr>
        <w:spacing w:after="0" w:line="123" w:lineRule="exact"/>
        <w:rPr>
          <w:sz w:val="20"/>
          <w:szCs w:val="20"/>
          <w:color w:val="auto"/>
        </w:rPr>
      </w:pPr>
    </w:p>
    <w:p>
      <w:pPr>
        <w:ind w:firstLine="513"/>
        <w:spacing w:after="0" w:line="260" w:lineRule="auto"/>
        <w:rPr>
          <w:sz w:val="20"/>
          <w:szCs w:val="20"/>
          <w:color w:val="auto"/>
        </w:rPr>
      </w:pPr>
      <w:r>
        <w:rPr>
          <w:rFonts w:ascii="Arial" w:cs="Arial" w:eastAsia="Arial" w:hAnsi="Arial"/>
          <w:sz w:val="17"/>
          <w:szCs w:val="17"/>
          <w:color w:val="auto"/>
        </w:rPr>
        <w:t>The following selected consolidated statements of comprehensive loss data for the years ended December 31, 2017, 2018 and 2019, selected consolidated balance sheet data as of December 31, 2018 and 2019 and selected consolidated cash flow data for the years ended December 31, 2017, 2018 and 2019 have been derived from our audited consolidated financial statements included elsewhere in this annual report. The selected consolidated statements of comprehensive loss data for the years ended December 31, 2015 and 2016, selected consolidated balance sheet data as of December 31, 2015, 2016 and 2017 and the selected consolidated cash flow data for the years ended December 31, 2015 and 2016 have been derived from our consolidated financial statements that are not included in this annual report. Our consolidated financial statements are prepared and presented in accordance with generally accepted accounting principles in the United States, or U.S. GAAP.</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5" w:name="page6"/>
    <w:bookmarkEnd w:id="5"/>
    <w:p>
      <w:pPr>
        <w:ind w:right="200" w:firstLine="513"/>
        <w:spacing w:after="0" w:line="270" w:lineRule="auto"/>
        <w:rPr>
          <w:sz w:val="20"/>
          <w:szCs w:val="20"/>
          <w:color w:val="auto"/>
        </w:rPr>
      </w:pPr>
      <w:r>
        <w:rPr>
          <w:rFonts w:ascii="Arial" w:cs="Arial" w:eastAsia="Arial" w:hAnsi="Arial"/>
          <w:sz w:val="17"/>
          <w:szCs w:val="17"/>
          <w:color w:val="auto"/>
        </w:rPr>
        <w:t>You should read the selected consolidated financial information in conjunction with our consolidated financial statements and related notes and “Item 5. Operating and Financial Review and Prospects” included elsewhere in this annual report. Our historical results are not necessarily indicative of our results expected for future periods.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center"/>
              <w:ind w:left="795"/>
              <w:spacing w:after="0"/>
              <w:rPr>
                <w:sz w:val="20"/>
                <w:szCs w:val="20"/>
                <w:color w:val="auto"/>
              </w:rPr>
            </w:pPr>
            <w:r>
              <w:rPr>
                <w:rFonts w:ascii="Arial" w:cs="Arial" w:eastAsia="Arial" w:hAnsi="Arial"/>
                <w:sz w:val="14"/>
                <w:szCs w:val="14"/>
                <w:b w:val="1"/>
                <w:bCs w:val="1"/>
                <w:color w:val="auto"/>
                <w:w w:val="89"/>
              </w:rPr>
              <w:t>Year Ended December 31,</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0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5"/>
              <w:spacing w:after="0" w:line="14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94"/>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8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(US$ in thousands, except for per share and share data)</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Selected Consolidated Statements of Comprehensive Loss: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7"/>
                <w:szCs w:val="17"/>
                <w:color w:val="auto"/>
              </w:rPr>
              <w:t>Net revenues</w:t>
            </w:r>
            <w:r>
              <w:rPr>
                <w:rFonts w:ascii="Arial" w:cs="Arial" w:eastAsia="Arial" w:hAnsi="Arial"/>
                <w:sz w:val="14"/>
                <w:szCs w:val="14"/>
                <w:color w:val="auto"/>
              </w:rPr>
              <w:t>(1)</w:t>
            </w:r>
          </w:p>
        </w:tc>
        <w:tc>
          <w:tcPr>
            <w:tcW w:w="1000" w:type="dxa"/>
            <w:vAlign w:val="bottom"/>
          </w:tcPr>
          <w:p>
            <w:pPr>
              <w:jc w:val="right"/>
              <w:spacing w:after="0"/>
              <w:rPr>
                <w:sz w:val="20"/>
                <w:szCs w:val="20"/>
                <w:color w:val="auto"/>
              </w:rPr>
            </w:pPr>
            <w:r>
              <w:rPr>
                <w:rFonts w:ascii="Arial" w:cs="Arial" w:eastAsia="Arial" w:hAnsi="Arial"/>
                <w:sz w:val="17"/>
                <w:szCs w:val="17"/>
                <w:color w:val="auto"/>
              </w:rPr>
              <w:t>65,242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95,357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125,258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160,017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199,408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r>
              <w:rPr>
                <w:rFonts w:ascii="Arial" w:cs="Arial" w:eastAsia="Arial" w:hAnsi="Arial"/>
                <w:sz w:val="14"/>
                <w:szCs w:val="14"/>
                <w:color w:val="auto"/>
              </w:rPr>
              <w:t>(1)</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(34,531)</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(61,048)</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(95,733)</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(120,897)</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(142,703)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Gross profit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30,711</w:t>
            </w:r>
          </w:p>
        </w:tc>
        <w:tc>
          <w:tcPr>
            <w:tcW w:w="2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34,309</w:t>
            </w:r>
          </w:p>
        </w:tc>
        <w:tc>
          <w:tcPr>
            <w:tcW w:w="2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29,525</w:t>
            </w:r>
          </w:p>
        </w:tc>
        <w:tc>
          <w:tcPr>
            <w:tcW w:w="2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39,120</w:t>
            </w:r>
          </w:p>
        </w:tc>
        <w:tc>
          <w:tcPr>
            <w:tcW w:w="22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56,705</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Research and development expenses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(8,106)</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(8,584)</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(5,778)</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(10,737)</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Sales and marketing expenses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(31,385)</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(28,266)</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(25,935)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(32,080)</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(42,968)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General and administrative expenses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(12,745)</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(26,767)</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(12,983)</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(23,757)</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(20,304)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operating expenses</w:t>
            </w: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(52,236)</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(63,617)</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(44,696)</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(66,574)</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(68,846)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Operating loss</w:t>
            </w: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vMerge w:val="continue"/>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(21,525)</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(29,308)</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(15,171)</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(27,454)</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(12,141)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income</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(107)</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(713)</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(551)</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(773)</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gains/(losses), net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(1,082)</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Fair value (losses)/gains on derivative liabilities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(19,390)</w:t>
            </w:r>
          </w:p>
        </w:tc>
        <w:tc>
          <w:tcPr>
            <w:tcW w:w="1000" w:type="dxa"/>
            <w:vAlign w:val="bottom"/>
          </w:tcPr>
          <w:p>
            <w:pPr>
              <w:jc w:val="right"/>
              <w:spacing w:after="0"/>
              <w:rPr>
                <w:sz w:val="20"/>
                <w:szCs w:val="20"/>
                <w:color w:val="auto"/>
              </w:rPr>
            </w:pPr>
            <w:r>
              <w:rPr>
                <w:rFonts w:ascii="Arial" w:cs="Arial" w:eastAsia="Arial" w:hAnsi="Arial"/>
                <w:sz w:val="17"/>
                <w:szCs w:val="17"/>
                <w:color w:val="auto"/>
              </w:rPr>
              <w:t>3,995</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(10,190)</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Fair value (losses)/gains on convertible notes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(4,837)</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Loss before income tax expense</w:t>
            </w: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vMerge w:val="continue"/>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(40,231)</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(27,108)</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(24,071)</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(31,956)</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Income tax benefit/(expenses)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(222)</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(548)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(655)</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Share of losses from an equity investee</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(39,714)</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(27,330)</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(24,619)</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(32,611)</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loss attributable to noncontrolling interests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20" w:type="dxa"/>
            <w:vAlign w:val="bottom"/>
            <w:vMerge w:val="continue"/>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202</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Net loss attributable to iClick Interactive Asia</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Group Limited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(39,714)</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(27,330)</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(24,619)</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(32,409)</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7"/>
                <w:szCs w:val="17"/>
                <w:color w:val="auto"/>
              </w:rPr>
              <w:t>Accretion to convertible redeemable preferred shares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140"/>
              <w:spacing w:after="0"/>
              <w:rPr>
                <w:sz w:val="20"/>
                <w:szCs w:val="20"/>
                <w:color w:val="auto"/>
              </w:rPr>
            </w:pPr>
            <w:r>
              <w:rPr>
                <w:rFonts w:ascii="Arial" w:cs="Arial" w:eastAsia="Arial" w:hAnsi="Arial"/>
                <w:sz w:val="17"/>
                <w:szCs w:val="17"/>
                <w:color w:val="auto"/>
              </w:rPr>
              <w:t>redemption value</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(2,692)</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(773)</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(1,662)</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Accretion to redeemable ordinary shares redemption</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value</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(1,982)</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(1,556)</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(3,650)</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7"/>
                <w:szCs w:val="17"/>
                <w:color w:val="auto"/>
              </w:rPr>
              <w:t>Deemed contribution from Series B-1 preferred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140"/>
              <w:spacing w:after="0"/>
              <w:rPr>
                <w:sz w:val="20"/>
                <w:szCs w:val="20"/>
                <w:color w:val="auto"/>
              </w:rPr>
            </w:pPr>
            <w:r>
              <w:rPr>
                <w:rFonts w:ascii="Arial" w:cs="Arial" w:eastAsia="Arial" w:hAnsi="Arial"/>
                <w:sz w:val="17"/>
                <w:szCs w:val="17"/>
                <w:color w:val="auto"/>
              </w:rPr>
              <w:t>shareholders</w:t>
            </w:r>
          </w:p>
        </w:tc>
        <w:tc>
          <w:tcPr>
            <w:tcW w:w="1000" w:type="dxa"/>
            <w:vAlign w:val="bottom"/>
          </w:tcPr>
          <w:p>
            <w:pPr>
              <w:jc w:val="right"/>
              <w:spacing w:after="0"/>
              <w:rPr>
                <w:sz w:val="20"/>
                <w:szCs w:val="20"/>
                <w:color w:val="auto"/>
              </w:rPr>
            </w:pPr>
            <w:r>
              <w:rPr>
                <w:rFonts w:ascii="Arial" w:cs="Arial" w:eastAsia="Arial" w:hAnsi="Arial"/>
                <w:sz w:val="17"/>
                <w:szCs w:val="17"/>
                <w:color w:val="auto"/>
              </w:rPr>
              <w:t>2,591</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attributable to iClick Interactive Asia Group</w:t>
            </w: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Limited’s ordinary shareholders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(41,797)</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(29,659)</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(29,931)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(32,409)</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Net loss</w:t>
            </w: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vMerge w:val="continue"/>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(39,714)</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(27,330)</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(24,619)</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(32,611)</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40"/>
              <w:spacing w:after="0"/>
              <w:rPr>
                <w:sz w:val="20"/>
                <w:szCs w:val="20"/>
                <w:color w:val="auto"/>
              </w:rPr>
            </w:pPr>
            <w:r>
              <w:rPr>
                <w:rFonts w:ascii="Arial" w:cs="Arial" w:eastAsia="Arial" w:hAnsi="Arial"/>
                <w:sz w:val="17"/>
                <w:szCs w:val="17"/>
                <w:color w:val="auto"/>
              </w:rPr>
              <w:t>Foreign currency translation adjustment, net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380"/>
              <w:spacing w:after="0"/>
              <w:rPr>
                <w:sz w:val="20"/>
                <w:szCs w:val="20"/>
                <w:color w:val="auto"/>
              </w:rPr>
            </w:pPr>
            <w:r>
              <w:rPr>
                <w:rFonts w:ascii="Arial" w:cs="Arial" w:eastAsia="Arial" w:hAnsi="Arial"/>
                <w:sz w:val="17"/>
                <w:szCs w:val="17"/>
                <w:color w:val="auto"/>
              </w:rPr>
              <w:t>of US$nil tax</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(139)</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(2,547)</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Comprehensive loss</w:t>
            </w: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(39,843)</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(27,469)</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(24,698)</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(35,158)</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7"/>
                <w:szCs w:val="17"/>
                <w:color w:val="auto"/>
              </w:rPr>
              <w:t>Comprehensive loss attributable to noncontrolling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140"/>
              <w:spacing w:after="0"/>
              <w:rPr>
                <w:sz w:val="20"/>
                <w:szCs w:val="20"/>
                <w:color w:val="auto"/>
              </w:rPr>
            </w:pPr>
            <w:r>
              <w:rPr>
                <w:rFonts w:ascii="Arial" w:cs="Arial" w:eastAsia="Arial" w:hAnsi="Arial"/>
                <w:sz w:val="17"/>
                <w:szCs w:val="17"/>
                <w:color w:val="auto"/>
              </w:rPr>
              <w:t>interests</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Comprehensive loss attributable to iClick</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Interactive Asia Group Limited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(39,843)</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(27,469)</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(24,698)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(34,956)</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loss per share attributable to iClick Interactive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2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140"/>
              <w:spacing w:after="0"/>
              <w:rPr>
                <w:sz w:val="20"/>
                <w:szCs w:val="20"/>
                <w:color w:val="auto"/>
              </w:rPr>
            </w:pPr>
            <w:r>
              <w:rPr>
                <w:rFonts w:ascii="Arial" w:cs="Arial" w:eastAsia="Arial" w:hAnsi="Arial"/>
                <w:sz w:val="17"/>
                <w:szCs w:val="17"/>
                <w:color w:val="auto"/>
              </w:rPr>
              <w:t>Asia Group Limited</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(3.58)</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(2.26)</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(2.15)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(1.23)</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Diluted</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(3.58)</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(2.26)</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(2.15)</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(1.23)</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number of ordinary shares used in</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per share calculation</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Basic</w:t>
            </w:r>
          </w:p>
        </w:tc>
        <w:tc>
          <w:tcPr>
            <w:tcW w:w="1000" w:type="dxa"/>
            <w:vAlign w:val="bottom"/>
          </w:tcPr>
          <w:p>
            <w:pPr>
              <w:jc w:val="right"/>
              <w:spacing w:after="0"/>
              <w:rPr>
                <w:sz w:val="20"/>
                <w:szCs w:val="20"/>
                <w:color w:val="auto"/>
              </w:rPr>
            </w:pPr>
            <w:r>
              <w:rPr>
                <w:rFonts w:ascii="Arial" w:cs="Arial" w:eastAsia="Arial" w:hAnsi="Arial"/>
                <w:sz w:val="17"/>
                <w:szCs w:val="17"/>
                <w:color w:val="auto"/>
              </w:rPr>
              <w:t>11,661,049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13,151,063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13,931,503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26,452,409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28,583,548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Diluted</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11,661,049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13,151,063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13,931,503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26,452,409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28,583,548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7"/>
        </w:trPr>
        <w:tc>
          <w:tcPr>
            <w:tcW w:w="522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556"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7"/>
              </w:rPr>
              <w:t>As of December 31,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220" w:type="dxa"/>
            <w:vAlign w:val="bottom"/>
          </w:tcPr>
          <w:p>
            <w:pPr>
              <w:spacing w:after="0"/>
              <w:rPr>
                <w:sz w:val="12"/>
                <w:szCs w:val="12"/>
                <w:color w:val="auto"/>
              </w:rPr>
            </w:pPr>
          </w:p>
        </w:tc>
        <w:tc>
          <w:tcPr>
            <w:tcW w:w="1000" w:type="dxa"/>
            <w:vAlign w:val="bottom"/>
            <w:tcBorders>
              <w:bottom w:val="single" w:sz="8" w:color="auto"/>
            </w:tcBorders>
          </w:tcPr>
          <w:p>
            <w:pPr>
              <w:jc w:val="right"/>
              <w:ind w:right="275"/>
              <w:spacing w:after="0" w:line="149"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5"/>
              <w:spacing w:after="0" w:line="149"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17"/>
              <w:spacing w:after="0" w:line="149"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95"/>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9"/>
        </w:trPr>
        <w:tc>
          <w:tcPr>
            <w:tcW w:w="5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(US$ in thousands)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Selected Consolidated Balance Sheet Data:</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7"/>
                <w:szCs w:val="17"/>
                <w:color w:val="auto"/>
              </w:rPr>
              <w:t>Current assets: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10,395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27,280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19,401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39,828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36,854</w:t>
            </w:r>
          </w:p>
        </w:tc>
        <w:tc>
          <w:tcPr>
            <w:tcW w:w="100" w:type="dxa"/>
            <w:vAlign w:val="bottom"/>
            <w:shd w:val="clear" w:color="auto" w:fill="CFF0FC"/>
          </w:tcPr>
          <w:p>
            <w:pPr>
              <w:spacing w:after="0"/>
              <w:rPr>
                <w:sz w:val="19"/>
                <w:szCs w:val="19"/>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Time deposit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25,000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9"/>
                <w:szCs w:val="19"/>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Restricted cash</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23,852</w:t>
            </w:r>
          </w:p>
        </w:tc>
        <w:tc>
          <w:tcPr>
            <w:tcW w:w="100" w:type="dxa"/>
            <w:vAlign w:val="bottom"/>
            <w:shd w:val="clear" w:color="auto" w:fill="CFF0FC"/>
          </w:tcPr>
          <w:p>
            <w:pPr>
              <w:spacing w:after="0"/>
              <w:rPr>
                <w:sz w:val="19"/>
                <w:szCs w:val="19"/>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Short-term investment</w:t>
            </w:r>
          </w:p>
        </w:tc>
        <w:tc>
          <w:tcPr>
            <w:tcW w:w="1000" w:type="dxa"/>
            <w:vAlign w:val="bottom"/>
          </w:tcPr>
          <w:p>
            <w:pPr>
              <w:jc w:val="right"/>
              <w:spacing w:after="0"/>
              <w:rPr>
                <w:sz w:val="20"/>
                <w:szCs w:val="20"/>
                <w:color w:val="auto"/>
              </w:rPr>
            </w:pPr>
            <w:r>
              <w:rPr>
                <w:rFonts w:ascii="Arial" w:cs="Arial" w:eastAsia="Arial" w:hAnsi="Arial"/>
                <w:sz w:val="17"/>
                <w:szCs w:val="17"/>
                <w:color w:val="auto"/>
              </w:rPr>
              <w:t>1,552</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17,427</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receivable, net of allowance for doubtful</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52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receivables of US$1,733, US$1,693, US$1,478,</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52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US$1,507 and US$3,469 as of December 31,</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52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2015, 2016, 2017, 2018 and 2019, respectively</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28,423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30,694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40,798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65,627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143,971</w:t>
            </w:r>
          </w:p>
        </w:tc>
        <w:tc>
          <w:tcPr>
            <w:tcW w:w="100" w:type="dxa"/>
            <w:vAlign w:val="bottom"/>
            <w:shd w:val="clear" w:color="auto" w:fill="CFF0FC"/>
          </w:tcPr>
          <w:p>
            <w:pPr>
              <w:spacing w:after="0"/>
              <w:rPr>
                <w:sz w:val="19"/>
                <w:szCs w:val="19"/>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Rebates receivable</w:t>
            </w:r>
          </w:p>
        </w:tc>
        <w:tc>
          <w:tcPr>
            <w:tcW w:w="1000" w:type="dxa"/>
            <w:vAlign w:val="bottom"/>
          </w:tcPr>
          <w:p>
            <w:pPr>
              <w:jc w:val="right"/>
              <w:spacing w:after="0"/>
              <w:rPr>
                <w:sz w:val="20"/>
                <w:szCs w:val="20"/>
                <w:color w:val="auto"/>
              </w:rPr>
            </w:pPr>
            <w:r>
              <w:rPr>
                <w:rFonts w:ascii="Arial" w:cs="Arial" w:eastAsia="Arial" w:hAnsi="Arial"/>
                <w:sz w:val="17"/>
                <w:szCs w:val="17"/>
                <w:color w:val="auto"/>
              </w:rPr>
              <w:t>3,642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2,250</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1,334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4,067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5,603</w:t>
            </w:r>
          </w:p>
        </w:tc>
        <w:tc>
          <w:tcPr>
            <w:tcW w:w="100" w:type="dxa"/>
            <w:vAlign w:val="bottom"/>
          </w:tcPr>
          <w:p>
            <w:pPr>
              <w:spacing w:after="0"/>
              <w:rPr>
                <w:sz w:val="19"/>
                <w:szCs w:val="19"/>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Prepaid media cost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24,793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34,409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37,784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19,107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25,565</w:t>
            </w:r>
          </w:p>
        </w:tc>
        <w:tc>
          <w:tcPr>
            <w:tcW w:w="100" w:type="dxa"/>
            <w:vAlign w:val="bottom"/>
            <w:shd w:val="clear" w:color="auto" w:fill="CFF0FC"/>
          </w:tcPr>
          <w:p>
            <w:pPr>
              <w:spacing w:after="0"/>
              <w:rPr>
                <w:sz w:val="19"/>
                <w:szCs w:val="19"/>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7"/>
                <w:szCs w:val="17"/>
                <w:color w:val="auto"/>
              </w:rPr>
              <w:t>Non-current assets: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Intangible assets, net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19,095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14,804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10,600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4,418</w:t>
            </w:r>
          </w:p>
        </w:tc>
        <w:tc>
          <w:tcPr>
            <w:tcW w:w="100" w:type="dxa"/>
            <w:vAlign w:val="bottom"/>
            <w:shd w:val="clear" w:color="auto" w:fill="CFF0FC"/>
          </w:tcPr>
          <w:p>
            <w:pPr>
              <w:spacing w:after="0"/>
              <w:rPr>
                <w:sz w:val="19"/>
                <w:szCs w:val="19"/>
                <w:color w:val="auto"/>
              </w:rPr>
            </w:pPr>
          </w:p>
        </w:tc>
      </w:tr>
      <w:tr>
        <w:trPr>
          <w:trHeight w:val="221"/>
        </w:trPr>
        <w:tc>
          <w:tcPr>
            <w:tcW w:w="5220" w:type="dxa"/>
            <w:vAlign w:val="bottom"/>
          </w:tcPr>
          <w:p>
            <w:pPr>
              <w:ind w:left="240"/>
              <w:spacing w:after="0"/>
              <w:rPr>
                <w:sz w:val="20"/>
                <w:szCs w:val="20"/>
                <w:color w:val="auto"/>
              </w:rPr>
            </w:pPr>
            <w:r>
              <w:rPr>
                <w:rFonts w:ascii="Arial" w:cs="Arial" w:eastAsia="Arial" w:hAnsi="Arial"/>
                <w:sz w:val="17"/>
                <w:szCs w:val="17"/>
                <w:color w:val="auto"/>
              </w:rPr>
              <w:t>Goodwill</w:t>
            </w:r>
            <w:r>
              <w:rPr>
                <w:rFonts w:ascii="Arial" w:cs="Arial" w:eastAsia="Arial" w:hAnsi="Arial"/>
                <w:sz w:val="14"/>
                <w:szCs w:val="14"/>
                <w:color w:val="auto"/>
              </w:rPr>
              <w:t>(5)</w:t>
            </w:r>
          </w:p>
        </w:tc>
        <w:tc>
          <w:tcPr>
            <w:tcW w:w="1000" w:type="dxa"/>
            <w:vAlign w:val="bottom"/>
          </w:tcPr>
          <w:p>
            <w:pPr>
              <w:jc w:val="right"/>
              <w:spacing w:after="0"/>
              <w:rPr>
                <w:sz w:val="20"/>
                <w:szCs w:val="20"/>
                <w:color w:val="auto"/>
              </w:rPr>
            </w:pPr>
            <w:r>
              <w:rPr>
                <w:rFonts w:ascii="Arial" w:cs="Arial" w:eastAsia="Arial" w:hAnsi="Arial"/>
                <w:sz w:val="17"/>
                <w:szCs w:val="17"/>
                <w:color w:val="auto"/>
              </w:rPr>
              <w:t>48,496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48,496</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48,496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48,496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65,710</w:t>
            </w:r>
          </w:p>
        </w:tc>
        <w:tc>
          <w:tcPr>
            <w:tcW w:w="100" w:type="dxa"/>
            <w:vAlign w:val="bottom"/>
          </w:tcPr>
          <w:p>
            <w:pPr>
              <w:spacing w:after="0"/>
              <w:rPr>
                <w:sz w:val="19"/>
                <w:szCs w:val="19"/>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Total assets</w:t>
            </w:r>
            <w:r>
              <w:rPr>
                <w:rFonts w:ascii="Arial" w:cs="Arial" w:eastAsia="Arial" w:hAnsi="Arial"/>
                <w:sz w:val="14"/>
                <w:szCs w:val="14"/>
                <w:color w:val="auto"/>
              </w:rPr>
              <w:t>(2) (5)</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146,110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169,640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188,822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207,258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321,516</w:t>
            </w:r>
          </w:p>
        </w:tc>
        <w:tc>
          <w:tcPr>
            <w:tcW w:w="100" w:type="dxa"/>
            <w:vAlign w:val="bottom"/>
            <w:shd w:val="clear" w:color="auto" w:fill="CFF0FC"/>
          </w:tcPr>
          <w:p>
            <w:pPr>
              <w:spacing w:after="0"/>
              <w:rPr>
                <w:sz w:val="19"/>
                <w:szCs w:val="19"/>
                <w:color w:val="auto"/>
              </w:rPr>
            </w:pPr>
          </w:p>
        </w:tc>
      </w:tr>
      <w:tr>
        <w:trPr>
          <w:trHeight w:val="202"/>
        </w:trPr>
        <w:tc>
          <w:tcPr>
            <w:tcW w:w="5220" w:type="dxa"/>
            <w:vAlign w:val="bottom"/>
          </w:tcPr>
          <w:p>
            <w:pPr>
              <w:spacing w:after="0"/>
              <w:rPr>
                <w:sz w:val="20"/>
                <w:szCs w:val="20"/>
                <w:color w:val="auto"/>
              </w:rPr>
            </w:pPr>
            <w:r>
              <w:rPr>
                <w:rFonts w:ascii="Arial" w:cs="Arial" w:eastAsia="Arial" w:hAnsi="Arial"/>
                <w:sz w:val="17"/>
                <w:szCs w:val="17"/>
                <w:color w:val="auto"/>
              </w:rPr>
              <w:t>Liabilities, mezzanine equity and shareholders’</w:t>
            </w: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220" w:type="dxa"/>
            <w:vAlign w:val="bottom"/>
          </w:tcPr>
          <w:p>
            <w:pPr>
              <w:ind w:left="140"/>
              <w:spacing w:after="0"/>
              <w:rPr>
                <w:sz w:val="20"/>
                <w:szCs w:val="20"/>
                <w:color w:val="auto"/>
              </w:rPr>
            </w:pPr>
            <w:r>
              <w:rPr>
                <w:rFonts w:ascii="Arial" w:cs="Arial" w:eastAsia="Arial" w:hAnsi="Arial"/>
                <w:sz w:val="17"/>
                <w:szCs w:val="17"/>
                <w:color w:val="auto"/>
              </w:rPr>
              <w:t>deficit: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r>
              <w:rPr>
                <w:rFonts w:ascii="Arial" w:cs="Arial" w:eastAsia="Arial" w:hAnsi="Arial"/>
                <w:sz w:val="14"/>
                <w:szCs w:val="14"/>
                <w:color w:val="auto"/>
              </w:rPr>
              <w:t>(2)/(3)</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114,063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126,572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65,679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97,151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203,940</w:t>
            </w:r>
          </w:p>
        </w:tc>
        <w:tc>
          <w:tcPr>
            <w:tcW w:w="100" w:type="dxa"/>
            <w:vAlign w:val="bottom"/>
            <w:shd w:val="clear" w:color="auto" w:fill="CFF0FC"/>
          </w:tcPr>
          <w:p>
            <w:pPr>
              <w:spacing w:after="0"/>
              <w:rPr>
                <w:sz w:val="19"/>
                <w:szCs w:val="19"/>
                <w:color w:val="auto"/>
              </w:rPr>
            </w:pPr>
          </w:p>
        </w:tc>
      </w:tr>
      <w:tr>
        <w:trPr>
          <w:trHeight w:val="221"/>
        </w:trPr>
        <w:tc>
          <w:tcPr>
            <w:tcW w:w="52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Non-current liabilities</w:t>
            </w:r>
            <w:r>
              <w:rPr>
                <w:rFonts w:ascii="Arial" w:cs="Arial" w:eastAsia="Arial" w:hAnsi="Arial"/>
                <w:sz w:val="14"/>
                <w:szCs w:val="14"/>
                <w:color w:val="auto"/>
              </w:rPr>
              <w:t>(2)/(3)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4,766</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3,467</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w:t>
            </w:r>
          </w:p>
        </w:tc>
        <w:tc>
          <w:tcPr>
            <w:tcW w:w="100" w:type="dxa"/>
            <w:vAlign w:val="bottom"/>
            <w:tcBorders>
              <w:bottom w:val="single" w:sz="8" w:color="CFF0FC"/>
            </w:tcBorders>
          </w:tcPr>
          <w:p>
            <w:pPr>
              <w:spacing w:after="0"/>
              <w:rPr>
                <w:sz w:val="19"/>
                <w:szCs w:val="19"/>
                <w:color w:val="auto"/>
              </w:rPr>
            </w:pPr>
          </w:p>
        </w:tc>
      </w:tr>
      <w:tr>
        <w:trPr>
          <w:trHeight w:val="214"/>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118,829</w:t>
            </w:r>
          </w:p>
        </w:tc>
        <w:tc>
          <w:tcPr>
            <w:tcW w:w="2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129,569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68,838</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100,618</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206,960</w:t>
            </w:r>
          </w:p>
        </w:tc>
        <w:tc>
          <w:tcPr>
            <w:tcW w:w="100" w:type="dxa"/>
            <w:vAlign w:val="bottom"/>
            <w:shd w:val="clear" w:color="auto" w:fill="CFF0FC"/>
          </w:tcPr>
          <w:p>
            <w:pPr>
              <w:spacing w:after="0"/>
              <w:rPr>
                <w:sz w:val="18"/>
                <w:szCs w:val="18"/>
                <w:color w:val="auto"/>
              </w:rPr>
            </w:pPr>
          </w:p>
        </w:tc>
      </w:tr>
      <w:tr>
        <w:trPr>
          <w:trHeight w:val="214"/>
        </w:trPr>
        <w:tc>
          <w:tcPr>
            <w:tcW w:w="5220" w:type="dxa"/>
            <w:vAlign w:val="bottom"/>
          </w:tcPr>
          <w:p>
            <w:pPr>
              <w:spacing w:after="0"/>
              <w:rPr>
                <w:sz w:val="20"/>
                <w:szCs w:val="20"/>
                <w:color w:val="auto"/>
              </w:rPr>
            </w:pPr>
            <w:r>
              <w:rPr>
                <w:rFonts w:ascii="Arial" w:cs="Arial" w:eastAsia="Arial" w:hAnsi="Arial"/>
                <w:sz w:val="17"/>
                <w:szCs w:val="17"/>
                <w:color w:val="auto"/>
              </w:rPr>
              <w:t>Total mezzanine equity</w:t>
            </w:r>
          </w:p>
        </w:tc>
        <w:tc>
          <w:tcPr>
            <w:tcW w:w="1000" w:type="dxa"/>
            <w:vAlign w:val="bottom"/>
          </w:tcPr>
          <w:p>
            <w:pPr>
              <w:jc w:val="right"/>
              <w:spacing w:after="0"/>
              <w:rPr>
                <w:sz w:val="20"/>
                <w:szCs w:val="20"/>
                <w:color w:val="auto"/>
              </w:rPr>
            </w:pPr>
            <w:r>
              <w:rPr>
                <w:rFonts w:ascii="Arial" w:cs="Arial" w:eastAsia="Arial" w:hAnsi="Arial"/>
                <w:sz w:val="17"/>
                <w:szCs w:val="17"/>
                <w:color w:val="auto"/>
              </w:rPr>
              <w:t>83,210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104,383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Ordinary shares (13,104,300, 13,609,208, 26,059,433,</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27,986,700 and 28,690,635 shares issued and</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outstanding as of December 31, 2015, 2016, 2017,</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2018 and 2019, respectively)</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FF0FC"/>
          </w:tcPr>
          <w:p>
            <w:pPr>
              <w:spacing w:after="0"/>
              <w:rPr>
                <w:sz w:val="19"/>
                <w:szCs w:val="19"/>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7"/>
                <w:szCs w:val="17"/>
                <w:color w:val="auto"/>
              </w:rPr>
              <w:t>Total (deficit)/equity</w:t>
            </w:r>
            <w:r>
              <w:rPr>
                <w:rFonts w:ascii="Arial" w:cs="Arial" w:eastAsia="Arial" w:hAnsi="Arial"/>
                <w:sz w:val="14"/>
                <w:szCs w:val="14"/>
                <w:color w:val="auto"/>
              </w:rPr>
              <w:t>(5)</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(55,929)</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(64,312)</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119,984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106,640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114,556</w:t>
            </w:r>
          </w:p>
        </w:tc>
        <w:tc>
          <w:tcPr>
            <w:tcW w:w="100" w:type="dxa"/>
            <w:vAlign w:val="bottom"/>
          </w:tcPr>
          <w:p>
            <w:pPr>
              <w:spacing w:after="0"/>
              <w:rPr>
                <w:sz w:val="19"/>
                <w:szCs w:val="19"/>
                <w:color w:val="auto"/>
              </w:rPr>
            </w:pPr>
          </w:p>
        </w:tc>
      </w:tr>
      <w:tr>
        <w:trPr>
          <w:trHeight w:val="202"/>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mezzanine equity and shareholders’</w:t>
            </w: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1"/>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deficit/equity</w:t>
            </w:r>
            <w:r>
              <w:rPr>
                <w:rFonts w:ascii="Arial" w:cs="Arial" w:eastAsia="Arial" w:hAnsi="Arial"/>
                <w:sz w:val="11"/>
                <w:szCs w:val="11"/>
                <w:color w:val="auto"/>
              </w:rPr>
              <w:t>(5)</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146,110</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169,640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188,822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207,258</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321,516</w:t>
            </w:r>
          </w:p>
        </w:tc>
        <w:tc>
          <w:tcPr>
            <w:tcW w:w="100" w:type="dxa"/>
            <w:vAlign w:val="bottom"/>
            <w:shd w:val="clear" w:color="auto" w:fill="CFF0FC"/>
          </w:tcPr>
          <w:p>
            <w:pPr>
              <w:spacing w:after="0"/>
              <w:rPr>
                <w:sz w:val="19"/>
                <w:szCs w:val="19"/>
                <w:color w:val="auto"/>
              </w:rPr>
            </w:pPr>
          </w:p>
        </w:tc>
      </w:tr>
      <w:tr>
        <w:trPr>
          <w:trHeight w:val="435"/>
        </w:trPr>
        <w:tc>
          <w:tcPr>
            <w:tcW w:w="52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715"/>
              <w:spacing w:after="0"/>
              <w:rPr>
                <w:sz w:val="20"/>
                <w:szCs w:val="20"/>
                <w:color w:val="auto"/>
              </w:rPr>
            </w:pPr>
            <w:r>
              <w:rPr>
                <w:rFonts w:ascii="Arial" w:cs="Arial" w:eastAsia="Arial" w:hAnsi="Arial"/>
                <w:sz w:val="14"/>
                <w:szCs w:val="14"/>
                <w:b w:val="1"/>
                <w:bCs w:val="1"/>
                <w:color w:val="auto"/>
                <w:w w:val="89"/>
              </w:rPr>
              <w:t>Year Ended December 31,</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5220" w:type="dxa"/>
            <w:vAlign w:val="bottom"/>
          </w:tcPr>
          <w:p>
            <w:pPr>
              <w:spacing w:after="0"/>
              <w:rPr>
                <w:sz w:val="12"/>
                <w:szCs w:val="12"/>
                <w:color w:val="auto"/>
              </w:rPr>
            </w:pPr>
          </w:p>
        </w:tc>
        <w:tc>
          <w:tcPr>
            <w:tcW w:w="1000" w:type="dxa"/>
            <w:vAlign w:val="bottom"/>
            <w:tcBorders>
              <w:bottom w:val="single" w:sz="8" w:color="auto"/>
            </w:tcBorders>
          </w:tcPr>
          <w:p>
            <w:pPr>
              <w:jc w:val="right"/>
              <w:ind w:right="275"/>
              <w:spacing w:after="0" w:line="149"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75"/>
              <w:spacing w:after="0" w:line="149"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17"/>
              <w:spacing w:after="0" w:line="149"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95"/>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9"/>
        </w:trPr>
        <w:tc>
          <w:tcPr>
            <w:tcW w:w="5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(US$ in thousands)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Selected Consolidated Cash Flow Data:</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7"/>
                <w:szCs w:val="17"/>
                <w:color w:val="auto"/>
              </w:rPr>
              <w:t>Net cash used in operating activities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(9,797)</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(3,907)</w:t>
            </w: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(13,881)</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(15,416)</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(30,294)</w:t>
            </w:r>
          </w:p>
        </w:tc>
      </w:tr>
      <w:tr>
        <w:trPr>
          <w:trHeight w:val="234"/>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in)/provided by investing activities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(18,787)</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w:t>
            </w:r>
          </w:p>
        </w:tc>
        <w:tc>
          <w:tcPr>
            <w:tcW w:w="12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(25,165)</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8,395</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6,762</w:t>
            </w:r>
          </w:p>
        </w:tc>
        <w:tc>
          <w:tcPr>
            <w:tcW w:w="100" w:type="dxa"/>
            <w:vAlign w:val="bottom"/>
            <w:shd w:val="clear" w:color="auto" w:fill="CFF0FC"/>
          </w:tcPr>
          <w:p>
            <w:pPr>
              <w:spacing w:after="0"/>
              <w:rPr>
                <w:sz w:val="20"/>
                <w:szCs w:val="20"/>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7"/>
                <w:szCs w:val="17"/>
                <w:color w:val="auto"/>
              </w:rPr>
              <w:t>Net cash (used in)/provided by financing activities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(2,612)</w:t>
            </w:r>
          </w:p>
        </w:tc>
        <w:tc>
          <w:tcPr>
            <w:tcW w:w="1000" w:type="dxa"/>
            <w:vAlign w:val="bottom"/>
          </w:tcPr>
          <w:p>
            <w:pPr>
              <w:jc w:val="right"/>
              <w:spacing w:after="0"/>
              <w:rPr>
                <w:sz w:val="20"/>
                <w:szCs w:val="20"/>
                <w:color w:val="auto"/>
              </w:rPr>
            </w:pPr>
            <w:r>
              <w:rPr>
                <w:rFonts w:ascii="Arial" w:cs="Arial" w:eastAsia="Arial" w:hAnsi="Arial"/>
                <w:sz w:val="17"/>
                <w:szCs w:val="17"/>
                <w:color w:val="auto"/>
              </w:rPr>
              <w:t>24,564</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25,546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27,775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44,804</w:t>
            </w:r>
          </w:p>
        </w:tc>
        <w:tc>
          <w:tcPr>
            <w:tcW w:w="100" w:type="dxa"/>
            <w:vAlign w:val="bottom"/>
          </w:tcPr>
          <w:p>
            <w:pPr>
              <w:spacing w:after="0"/>
              <w:rPr>
                <w:sz w:val="19"/>
                <w:szCs w:val="19"/>
                <w:color w:val="auto"/>
              </w:rPr>
            </w:pPr>
          </w:p>
        </w:tc>
      </w:tr>
      <w:tr>
        <w:trPr>
          <w:trHeight w:val="209"/>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Effect on exchange rate changes on cash and cash</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equivalents and restricted cash</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FF0FC"/>
          </w:tcPr>
          <w:p>
            <w:pPr>
              <w:spacing w:after="0"/>
              <w:rPr>
                <w:sz w:val="19"/>
                <w:szCs w:val="19"/>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7"/>
                <w:szCs w:val="17"/>
                <w:color w:val="auto"/>
              </w:rPr>
              <w:t>Net (decrease)/increase in cash and cash equivalents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220" w:type="dxa"/>
            <w:vAlign w:val="bottom"/>
          </w:tcPr>
          <w:p>
            <w:pPr>
              <w:ind w:left="140"/>
              <w:spacing w:after="0"/>
              <w:rPr>
                <w:sz w:val="20"/>
                <w:szCs w:val="20"/>
                <w:color w:val="auto"/>
              </w:rPr>
            </w:pPr>
            <w:r>
              <w:rPr>
                <w:rFonts w:ascii="Arial" w:cs="Arial" w:eastAsia="Arial" w:hAnsi="Arial"/>
                <w:sz w:val="17"/>
                <w:szCs w:val="17"/>
                <w:color w:val="auto"/>
              </w:rPr>
              <w:t>and restricted cash</w:t>
            </w:r>
          </w:p>
        </w:tc>
        <w:tc>
          <w:tcPr>
            <w:tcW w:w="1000" w:type="dxa"/>
            <w:vAlign w:val="bottom"/>
          </w:tcPr>
          <w:p>
            <w:pPr>
              <w:jc w:val="right"/>
              <w:spacing w:after="0"/>
              <w:rPr>
                <w:sz w:val="20"/>
                <w:szCs w:val="20"/>
                <w:color w:val="auto"/>
              </w:rPr>
            </w:pPr>
            <w:r>
              <w:rPr>
                <w:rFonts w:ascii="Arial" w:cs="Arial" w:eastAsia="Arial" w:hAnsi="Arial"/>
                <w:sz w:val="17"/>
                <w:szCs w:val="17"/>
                <w:color w:val="auto"/>
              </w:rPr>
              <w:t>(31,196)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21,181</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(13,500)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20,754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21,272</w:t>
            </w:r>
          </w:p>
        </w:tc>
        <w:tc>
          <w:tcPr>
            <w:tcW w:w="100" w:type="dxa"/>
            <w:vAlign w:val="bottom"/>
          </w:tcPr>
          <w:p>
            <w:pPr>
              <w:spacing w:after="0"/>
              <w:rPr>
                <w:sz w:val="19"/>
                <w:szCs w:val="19"/>
                <w:color w:val="auto"/>
              </w:rPr>
            </w:pPr>
          </w:p>
        </w:tc>
      </w:tr>
      <w:tr>
        <w:trPr>
          <w:trHeight w:val="208"/>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and restricted cash at the</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52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beginning of year</w:t>
            </w:r>
            <w:r>
              <w:rPr>
                <w:rFonts w:ascii="Arial" w:cs="Arial" w:eastAsia="Arial" w:hAnsi="Arial"/>
                <w:sz w:val="14"/>
                <w:szCs w:val="14"/>
                <w:color w:val="auto"/>
              </w:rPr>
              <w:t>(4)</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42,823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11,395</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32,514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19,401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39,828</w:t>
            </w:r>
          </w:p>
        </w:tc>
        <w:tc>
          <w:tcPr>
            <w:tcW w:w="100" w:type="dxa"/>
            <w:vAlign w:val="bottom"/>
            <w:shd w:val="clear" w:color="auto" w:fill="CFF0FC"/>
          </w:tcPr>
          <w:p>
            <w:pPr>
              <w:spacing w:after="0"/>
              <w:rPr>
                <w:sz w:val="19"/>
                <w:szCs w:val="19"/>
                <w:color w:val="auto"/>
              </w:rPr>
            </w:pPr>
          </w:p>
        </w:tc>
      </w:tr>
      <w:tr>
        <w:trPr>
          <w:trHeight w:val="208"/>
        </w:trPr>
        <w:tc>
          <w:tcPr>
            <w:tcW w:w="5220" w:type="dxa"/>
            <w:vAlign w:val="bottom"/>
          </w:tcPr>
          <w:p>
            <w:pPr>
              <w:spacing w:after="0"/>
              <w:rPr>
                <w:sz w:val="20"/>
                <w:szCs w:val="20"/>
                <w:color w:val="auto"/>
              </w:rPr>
            </w:pPr>
            <w:r>
              <w:rPr>
                <w:rFonts w:ascii="Arial" w:cs="Arial" w:eastAsia="Arial" w:hAnsi="Arial"/>
                <w:sz w:val="17"/>
                <w:szCs w:val="17"/>
                <w:color w:val="auto"/>
              </w:rPr>
              <w:t>Cash and cash equivalents and restricted cash at the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220" w:type="dxa"/>
            <w:vAlign w:val="bottom"/>
          </w:tcPr>
          <w:p>
            <w:pPr>
              <w:ind w:left="140"/>
              <w:spacing w:after="0"/>
              <w:rPr>
                <w:sz w:val="20"/>
                <w:szCs w:val="20"/>
                <w:color w:val="auto"/>
              </w:rPr>
            </w:pPr>
            <w:r>
              <w:rPr>
                <w:rFonts w:ascii="Arial" w:cs="Arial" w:eastAsia="Arial" w:hAnsi="Arial"/>
                <w:sz w:val="17"/>
                <w:szCs w:val="17"/>
                <w:color w:val="auto"/>
              </w:rPr>
              <w:t>end of the year</w:t>
            </w: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7"/>
                <w:szCs w:val="17"/>
                <w:color w:val="auto"/>
              </w:rPr>
              <w:t>11,395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32,514</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19,401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39,828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60,706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1883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3410" cy="8255"/>
                    </a:xfrm>
                    <a:prstGeom prst="rect">
                      <a:avLst/>
                    </a:prstGeom>
                    <a:noFill/>
                  </pic:spPr>
                </pic:pic>
              </a:graphicData>
            </a:graphic>
          </wp:anchor>
        </w:drawing>
      </w:r>
    </w:p>
    <w:p>
      <w:pPr>
        <w:spacing w:after="0" w:line="111" w:lineRule="exact"/>
        <w:rPr>
          <w:sz w:val="20"/>
          <w:szCs w:val="20"/>
          <w:color w:val="auto"/>
        </w:rPr>
      </w:pPr>
    </w:p>
    <w:p>
      <w:pPr>
        <w:jc w:val="both"/>
        <w:ind w:left="1020" w:right="140" w:hanging="509"/>
        <w:spacing w:after="0" w:line="270"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January 1, 2018, we adopted ASC 606 “Revenue from Contracts with Customers” using the modified retrospective method. The adoption did not have any impact to the accumulated deficit as of January 1, 2018. As a result of the adoption, certain rebates to marketers are presented net of revenues, as opposed to being included in cost of revenues in prior periods.</w:t>
      </w:r>
    </w:p>
    <w:p>
      <w:pPr>
        <w:spacing w:after="0" w:line="68" w:lineRule="exact"/>
        <w:rPr>
          <w:rFonts w:ascii="Arial" w:cs="Arial" w:eastAsia="Arial" w:hAnsi="Arial"/>
          <w:sz w:val="17"/>
          <w:szCs w:val="17"/>
          <w:color w:val="auto"/>
        </w:rPr>
      </w:pPr>
    </w:p>
    <w:p>
      <w:pPr>
        <w:ind w:left="1020" w:right="60" w:hanging="509"/>
        <w:spacing w:after="0" w:line="265"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adopted the new leasing guidance (ASU 2016-02) started from January 1, 2019, which requires that a lessee recognize the assets and liabilities that arise from operating leases. We recognized a right-of-use asset and a liability relating to lease payments (the Lease Liability) in the consolidated balance sheets for lease contracts having terms beyond 12 months period. The consolidated financial information related to periods prior to January 1, 2019 was not restated, and continues to be reported under ASC Topic 840—Leases.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7" w:name="page8"/>
    <w:bookmarkEnd w:id="7"/>
    <w:p>
      <w:pPr>
        <w:ind w:left="1020" w:right="220" w:hanging="509"/>
        <w:spacing w:after="0" w:line="286" w:lineRule="auto"/>
        <w:tabs>
          <w:tab w:leader="none" w:pos="10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balance as of December 31, 2015 and 2016 reflects the impact of the retrospective adjustment for the reclassification of current deferred tax liabilities to non-current liabilities following the adoption of ASU No. 2015-17 on January 1, 2017.</w:t>
      </w:r>
    </w:p>
    <w:p>
      <w:pPr>
        <w:spacing w:after="0" w:line="54" w:lineRule="exact"/>
        <w:rPr>
          <w:rFonts w:ascii="Arial" w:cs="Arial" w:eastAsia="Arial" w:hAnsi="Arial"/>
          <w:sz w:val="17"/>
          <w:szCs w:val="17"/>
          <w:color w:val="auto"/>
        </w:rPr>
      </w:pPr>
    </w:p>
    <w:p>
      <w:pPr>
        <w:ind w:left="1020" w:right="400" w:hanging="509"/>
        <w:spacing w:after="0" w:line="270" w:lineRule="auto"/>
        <w:tabs>
          <w:tab w:leader="none" w:pos="10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amounts for the years ended December 31, 2015, 2016 and 2017 reflect the impact of the retrospective adjustment for the presentation of restricted cash with cash and cash equivalents when reconciling the beginning-of-period and end-of-period total amounts in the consolidated statements of cash flows following the adoption of ASU No. 2016-18 on January 1, 2018.</w:t>
      </w:r>
    </w:p>
    <w:p>
      <w:pPr>
        <w:spacing w:after="0" w:line="68" w:lineRule="exact"/>
        <w:rPr>
          <w:rFonts w:ascii="Arial" w:cs="Arial" w:eastAsia="Arial" w:hAnsi="Arial"/>
          <w:sz w:val="17"/>
          <w:szCs w:val="17"/>
          <w:color w:val="auto"/>
        </w:rPr>
      </w:pPr>
    </w:p>
    <w:p>
      <w:pPr>
        <w:ind w:left="1020" w:hanging="509"/>
        <w:spacing w:after="0" w:line="281" w:lineRule="auto"/>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balance sheet amounts reflect an entry that was made to increase goodwill and non-controlling interests as of December 31, 2019 in the amount of US$10.6 million to measure non-controlling interests at fair value upon initial recognition on January 1, 2019, being the acquisition date of our subsidiary, Changyi (Shanghai) Information Technology Ltd. The entry was made after we issued our press release to announce 2019 results as furnished Form 6-K on March 31, 2020. The same entry is applicable to the amounts of goodwill and non-controlling interests as of March 31, 2019, June 30, 2019 and September 30, 2019, respectively, as previously disclosed in our press releases to announce 2019 quarterly results as furnished on the Form 6-K on May 29, 2019, August 26, 2019 and November 26, 2019, respectively.</w:t>
      </w:r>
    </w:p>
    <w:p>
      <w:pPr>
        <w:spacing w:after="0" w:line="268" w:lineRule="exact"/>
        <w:rPr>
          <w:rFonts w:ascii="Arial" w:cs="Arial" w:eastAsia="Arial" w:hAnsi="Arial"/>
          <w:sz w:val="16"/>
          <w:szCs w:val="16"/>
          <w:color w:val="auto"/>
        </w:rPr>
      </w:pPr>
    </w:p>
    <w:p>
      <w:pPr>
        <w:ind w:left="520" w:right="8520" w:hanging="516"/>
        <w:spacing w:after="0" w:line="454" w:lineRule="auto"/>
        <w:tabs>
          <w:tab w:leader="none" w:pos="515"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 xml:space="preserve">Capitalization and Indebtedness </w:t>
      </w:r>
      <w:r>
        <w:rPr>
          <w:rFonts w:ascii="Arial" w:cs="Arial" w:eastAsia="Arial" w:hAnsi="Arial"/>
          <w:sz w:val="16"/>
          <w:szCs w:val="16"/>
          <w:color w:val="auto"/>
        </w:rPr>
        <w:t>Not Applicable.</w:t>
      </w:r>
    </w:p>
    <w:p>
      <w:pPr>
        <w:spacing w:after="0" w:line="136" w:lineRule="exact"/>
        <w:rPr>
          <w:rFonts w:ascii="Arial" w:cs="Arial" w:eastAsia="Arial" w:hAnsi="Arial"/>
          <w:sz w:val="16"/>
          <w:szCs w:val="16"/>
          <w:color w:val="auto"/>
        </w:rPr>
      </w:pPr>
    </w:p>
    <w:p>
      <w:pPr>
        <w:ind w:left="520" w:right="7800" w:hanging="516"/>
        <w:spacing w:after="0" w:line="414" w:lineRule="auto"/>
        <w:tabs>
          <w:tab w:leader="none" w:pos="51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 xml:space="preserve">Reasons for the Offer and Use of Proceeds </w:t>
      </w:r>
      <w:r>
        <w:rPr>
          <w:rFonts w:ascii="Arial" w:cs="Arial" w:eastAsia="Arial" w:hAnsi="Arial"/>
          <w:sz w:val="17"/>
          <w:szCs w:val="17"/>
          <w:color w:val="auto"/>
        </w:rPr>
        <w:t>Not Applicable.</w:t>
      </w:r>
    </w:p>
    <w:p>
      <w:pPr>
        <w:spacing w:after="0" w:line="158" w:lineRule="exact"/>
        <w:rPr>
          <w:rFonts w:ascii="Arial" w:cs="Arial" w:eastAsia="Arial" w:hAnsi="Arial"/>
          <w:sz w:val="17"/>
          <w:szCs w:val="17"/>
          <w:color w:val="auto"/>
        </w:rPr>
      </w:pPr>
    </w:p>
    <w:p>
      <w:pPr>
        <w:ind w:left="520" w:hanging="516"/>
        <w:spacing w:after="0"/>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Risk Factors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fluctuations in growth in recent periods, and our historical growth rates may not be indicative of our future growth.</w:t>
      </w:r>
    </w:p>
    <w:p>
      <w:pPr>
        <w:spacing w:after="0" w:line="117" w:lineRule="exact"/>
        <w:rPr>
          <w:sz w:val="20"/>
          <w:szCs w:val="20"/>
          <w:color w:val="auto"/>
        </w:rPr>
      </w:pPr>
    </w:p>
    <w:p>
      <w:pPr>
        <w:ind w:right="60" w:firstLine="513"/>
        <w:spacing w:after="0" w:line="261" w:lineRule="auto"/>
        <w:rPr>
          <w:sz w:val="20"/>
          <w:szCs w:val="20"/>
          <w:color w:val="auto"/>
        </w:rPr>
      </w:pPr>
      <w:r>
        <w:rPr>
          <w:rFonts w:ascii="Arial" w:cs="Arial" w:eastAsia="Arial" w:hAnsi="Arial"/>
          <w:sz w:val="17"/>
          <w:szCs w:val="17"/>
          <w:color w:val="auto"/>
        </w:rPr>
        <w:t>We have experienced fluctuations in growth in recent periods. We may not be able to sustain our historical growth rates, or at all. You should not consider our historical growth in gross billing and net revenues as indicative of our future performance. Our recent growth was driven by an increase in gross billing from mobile marketing solutions as a result of our strategic focus shifting to capture more market demand in mobile marketing solutions, as well as our newly launched enterprise solutions. In future periods, our gross billing and net revenues could decline or grow more slowly than we expect and the client base optimization may not achieve the benefits as we expected. We believe our business, prospects and results of operations depend on a number of factors, some of which are described in more detail in this section, including our ability to:</w:t>
      </w:r>
    </w:p>
    <w:p>
      <w:pPr>
        <w:spacing w:after="0" w:line="77" w:lineRule="exact"/>
        <w:rPr>
          <w:sz w:val="20"/>
          <w:szCs w:val="20"/>
          <w:color w:val="auto"/>
        </w:rPr>
      </w:pPr>
    </w:p>
    <w:p>
      <w:pPr>
        <w:ind w:left="1020" w:hanging="509"/>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successfully execute our mobile strategy in the increasingly competitive mobile online marketing segment;</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successfully integrate our core marketing solutions with our newly launched enterprise solutions;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retain existing clients while continuing to optimize our client base;</w:t>
      </w:r>
    </w:p>
    <w:p>
      <w:pPr>
        <w:spacing w:after="0" w:line="116" w:lineRule="exact"/>
        <w:rPr>
          <w:rFonts w:ascii="Arial" w:cs="Arial" w:eastAsia="Arial" w:hAnsi="Arial"/>
          <w:sz w:val="17"/>
          <w:szCs w:val="17"/>
          <w:color w:val="auto"/>
        </w:rPr>
      </w:pPr>
    </w:p>
    <w:p>
      <w:pPr>
        <w:ind w:left="1020" w:right="220" w:hanging="509"/>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attract new clients and further diversify our client base, including more clients to use our solutions on a self-serve basis and marketers from new industries and geographic regions;</w:t>
      </w:r>
    </w:p>
    <w:p>
      <w:pPr>
        <w:spacing w:after="0" w:line="54" w:lineRule="exact"/>
        <w:rPr>
          <w:rFonts w:ascii="Arial" w:cs="Arial" w:eastAsia="Arial" w:hAnsi="Arial"/>
          <w:sz w:val="17"/>
          <w:szCs w:val="17"/>
          <w:color w:val="auto"/>
        </w:rPr>
      </w:pPr>
    </w:p>
    <w:p>
      <w:pPr>
        <w:ind w:left="1020" w:right="280" w:hanging="509"/>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54" w:lineRule="exact"/>
        <w:rPr>
          <w:rFonts w:ascii="Arial" w:cs="Arial" w:eastAsia="Arial" w:hAnsi="Arial"/>
          <w:sz w:val="17"/>
          <w:szCs w:val="17"/>
          <w:color w:val="auto"/>
        </w:rPr>
      </w:pPr>
    </w:p>
    <w:p>
      <w:pPr>
        <w:ind w:left="1020" w:right="160" w:hanging="509"/>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adapt our solutions and service offerings to meet evolving business needs, including to address market trends such as the migration of consumers from PCs to mobile devices;</w:t>
      </w:r>
    </w:p>
    <w:p>
      <w:pPr>
        <w:spacing w:after="0" w:line="54" w:lineRule="exact"/>
        <w:rPr>
          <w:rFonts w:ascii="Arial" w:cs="Arial" w:eastAsia="Arial" w:hAnsi="Arial"/>
          <w:sz w:val="17"/>
          <w:szCs w:val="17"/>
          <w:color w:val="auto"/>
        </w:rPr>
      </w:pPr>
    </w:p>
    <w:p>
      <w:pPr>
        <w:ind w:left="1020" w:right="340" w:hanging="509"/>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leverage our data assets and experience and expertise in online marketing to extend our solutions beyond online marketing and achieve market acceptance;</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the proper functioning of our technology architecture as our business continues to grow;</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and grow our data assets in order to help marketers identify, engage and convert their audience;</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a high level of customer satisfaction;</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adapt to a changing regulatory landscape governing privacy matters;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8" w:name="page9"/>
    <w:bookmarkEnd w:id="8"/>
    <w:p>
      <w:pPr>
        <w:ind w:left="1020" w:hanging="509"/>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acquire or invest in businesses, products and technologies and to integrate and realize synergies from acquisitions and strategic investments;</w:t>
      </w:r>
    </w:p>
    <w:p>
      <w:pPr>
        <w:spacing w:after="0" w:line="128" w:lineRule="exact"/>
        <w:rPr>
          <w:rFonts w:ascii="Arial" w:cs="Arial" w:eastAsia="Arial" w:hAnsi="Arial"/>
          <w:sz w:val="16"/>
          <w:szCs w:val="16"/>
          <w:color w:val="auto"/>
        </w:rPr>
      </w:pPr>
    </w:p>
    <w:p>
      <w:pPr>
        <w:ind w:left="1020" w:hanging="509"/>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 awareness of our brand among marketers on a global basis in a cost-effective manner; and</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attract and retain employees.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cannot assure you that we will be able to successfully accomplish any of these objectives.</w:t>
      </w:r>
    </w:p>
    <w:p>
      <w:pPr>
        <w:spacing w:after="0" w:line="3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face intense competition for our mobile marketing solutions, and if we fail to maintain and enhance our mobile capabilities, our results of operations could be materially and adversely affected.</w:t>
      </w:r>
    </w:p>
    <w:p>
      <w:pPr>
        <w:spacing w:after="0" w:line="54" w:lineRule="exact"/>
        <w:rPr>
          <w:sz w:val="20"/>
          <w:szCs w:val="20"/>
          <w:color w:val="auto"/>
        </w:rPr>
      </w:pPr>
    </w:p>
    <w:p>
      <w:pPr>
        <w:ind w:right="140" w:firstLine="513"/>
        <w:spacing w:after="0" w:line="263" w:lineRule="auto"/>
        <w:rPr>
          <w:sz w:val="20"/>
          <w:szCs w:val="20"/>
          <w:color w:val="auto"/>
        </w:rPr>
      </w:pPr>
      <w:r>
        <w:rPr>
          <w:rFonts w:ascii="Arial" w:cs="Arial" w:eastAsia="Arial" w:hAnsi="Arial"/>
          <w:sz w:val="17"/>
          <w:szCs w:val="17"/>
          <w:color w:val="auto"/>
        </w:rPr>
        <w:t>Our recent growth was primarily driven by our expansion since 2014 into mobile channels to identify, engage and convert mobile marketing. We have experienced and expect to continue to face intense competition in respect of our mobile marketing solutions. To deliver, maintain and enhance our mobile capabilities, it is important that we further integrate with a wider range of mobile technologies, systems, networks and standards that we do not control. We may not be successful in developing solutions that operate effectively with these technologies, systems, networks or standards. Any of these could have a material adverse effect on our business, prospects and results of operations.</w:t>
      </w:r>
    </w:p>
    <w:p>
      <w:pPr>
        <w:spacing w:after="0" w:line="178" w:lineRule="exact"/>
        <w:rPr>
          <w:sz w:val="20"/>
          <w:szCs w:val="20"/>
          <w:color w:val="auto"/>
        </w:rPr>
      </w:pPr>
    </w:p>
    <w:p>
      <w:pPr>
        <w:ind w:right="40" w:firstLine="513"/>
        <w:spacing w:after="0" w:line="278" w:lineRule="auto"/>
        <w:rPr>
          <w:sz w:val="20"/>
          <w:szCs w:val="20"/>
          <w:color w:val="auto"/>
        </w:rPr>
      </w:pPr>
      <w:r>
        <w:rPr>
          <w:rFonts w:ascii="Arial" w:cs="Arial" w:eastAsia="Arial" w:hAnsi="Arial"/>
          <w:sz w:val="16"/>
          <w:szCs w:val="16"/>
          <w:color w:val="auto"/>
        </w:rPr>
        <w:t>While marketing via non-mobile online channels has been established for several years, marketing via mobile channels, in particular via mobile apps, is a relatively new phenomenon.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marketing solutions. Net revenues from our mobile marketing solutions increased significantly, which amounted to US$101.4 million, US$140.4 million and US$171.1 million in 2017, 2018 and 2019, respectively. However, gross margin for our mobile marketing solutions remained relatively low and was 10.4%, 14.6% and 18.7% in 2017, 2018 and 2019, respectively. In addition, the gross margin for our mobile marketing solutions may fluctuate in future. As we continue to prioritize the execution of our mobile strategy and face increasing competition and pricing pressure for our mobile marketing solutions, our profit margin could be materially and adversely affected.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net losses in the past and may not achieve profitability in the future.</w:t>
      </w:r>
    </w:p>
    <w:p>
      <w:pPr>
        <w:spacing w:after="0" w:line="117" w:lineRule="exact"/>
        <w:rPr>
          <w:sz w:val="20"/>
          <w:szCs w:val="20"/>
          <w:color w:val="auto"/>
        </w:rPr>
      </w:pPr>
    </w:p>
    <w:p>
      <w:pPr>
        <w:ind w:right="60" w:firstLine="513"/>
        <w:spacing w:after="0" w:line="300" w:lineRule="auto"/>
        <w:rPr>
          <w:sz w:val="20"/>
          <w:szCs w:val="20"/>
          <w:color w:val="auto"/>
        </w:rPr>
      </w:pPr>
      <w:r>
        <w:rPr>
          <w:rFonts w:ascii="Arial" w:cs="Arial" w:eastAsia="Arial" w:hAnsi="Arial"/>
          <w:sz w:val="15"/>
          <w:szCs w:val="15"/>
          <w:color w:val="auto"/>
        </w:rPr>
        <w:t>We incurred net losses of US$24.6 million in 2017, US$32.6 million in 2018 and US$10.8 million in 2019. As of December 31, 2019, we had an accumulated deficit of US$191.0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in this annual report, and unforeseen expenses, difficulties, complications and delays and other unknown events. If we are unable to achieve or sustain profitability, the market price of our ADSs may significantly decrease.</w:t>
      </w:r>
    </w:p>
    <w:p>
      <w:pPr>
        <w:spacing w:after="0" w:line="260"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b w:val="1"/>
          <w:bCs w:val="1"/>
          <w:i w:val="1"/>
          <w:iCs w:val="1"/>
          <w:color w:val="auto"/>
        </w:rPr>
        <w:t>Our newly launched business, including our enterprise solutions, may not be successful, and we may not successfully integrate our new solutions with existing solutions.</w:t>
      </w:r>
    </w:p>
    <w:p>
      <w:pPr>
        <w:spacing w:after="0" w:line="54" w:lineRule="exact"/>
        <w:rPr>
          <w:sz w:val="20"/>
          <w:szCs w:val="20"/>
          <w:color w:val="auto"/>
        </w:rPr>
      </w:pPr>
    </w:p>
    <w:p>
      <w:pPr>
        <w:ind w:firstLine="513"/>
        <w:spacing w:after="0" w:line="296" w:lineRule="auto"/>
        <w:rPr>
          <w:sz w:val="20"/>
          <w:szCs w:val="20"/>
          <w:color w:val="auto"/>
        </w:rPr>
      </w:pPr>
      <w:r>
        <w:rPr>
          <w:rFonts w:ascii="Arial" w:cs="Arial" w:eastAsia="Arial" w:hAnsi="Arial"/>
          <w:sz w:val="15"/>
          <w:szCs w:val="15"/>
          <w:color w:val="auto"/>
        </w:rPr>
        <w:t>We have been leveraging our data assets and experience and expertise to extend our solutions beyond our core online marketing business. For example, in May 2018, we started to offer enterprise solutions and in January 2019, we made a controlling investment in Changyi (Shanghai) Information Technology Co., Ltd., or Changyi, which further enhances our enterprise solution capabilities. We may not be successful in our newly launched business lines, including enterprise solutions. For example, our data assets and experience and expertise in online marketing may not prove successful for enterprise solutions, and there can be no assurance that we will successfully integrate, utilize and leverage Changyi’s enterprise solution capabilities. In addition, in February 2020, we agreed to make a controlling investment in Optimal Power Limited, a subsidiary wholly owned by Creative Big Limited. As of the date of this annual report, we are still in the process of negotiating and finalizing the terms of a definitive agreement for this investment, and we expect to complete the investment in the second quarter of 2020. As part of the transaction, Creative Big Limited will inject certain premium media licensing assets into Optimal Power Limited covering a number of jurisdictions in Asia-Pacific. While we believe this investment will broaden our content distribution channels and enrich offerings of our online marketing solutions, we cannot assure you that this strategy will be successful or that our online marketing solutions’ financial performance would be improved. If we are unable to successfully, fully integrate any business, product or technology we acquire, our business, financial condition and results of operations may suffer.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9" w:name="page10"/>
    <w:bookmarkEnd w:id="9"/>
    <w:p>
      <w:pPr>
        <w:ind w:right="120" w:firstLine="513"/>
        <w:spacing w:after="0" w:line="306" w:lineRule="auto"/>
        <w:rPr>
          <w:sz w:val="20"/>
          <w:szCs w:val="20"/>
          <w:color w:val="auto"/>
        </w:rPr>
      </w:pPr>
      <w:r>
        <w:rPr>
          <w:rFonts w:ascii="Arial" w:cs="Arial" w:eastAsia="Arial" w:hAnsi="Arial"/>
          <w:sz w:val="15"/>
          <w:szCs w:val="15"/>
          <w:color w:val="auto"/>
        </w:rPr>
        <w:t>Our enterprise solutions are currently primarily established on our cooperation with Tencent Holdings Limited, or Tencent. For example, we help our clients put in place data-management platforms which are currently built primarily on Tencent Cloud and Enterprise WeChat Work. As a result, we rely on the functionality and stability of Tencent’s cloud and Wechat’s infrastructure in providing our enterprise solutions. In addition, we rely on Tencent’s proprietary API connections to gather and analyze customer data and create consumer profiles. Any disruption or termination of this cooperative relationship could deteriorate our ability to operate our newly launched enterprise solutions, which could negatively affect our business, financial condition and results of operations.</w:t>
      </w:r>
    </w:p>
    <w:p>
      <w:pPr>
        <w:spacing w:after="0" w:line="149" w:lineRule="exact"/>
        <w:rPr>
          <w:sz w:val="20"/>
          <w:szCs w:val="20"/>
          <w:color w:val="auto"/>
        </w:rPr>
      </w:pPr>
    </w:p>
    <w:p>
      <w:pPr>
        <w:ind w:firstLine="513"/>
        <w:spacing w:after="0" w:line="263" w:lineRule="auto"/>
        <w:rPr>
          <w:sz w:val="20"/>
          <w:szCs w:val="20"/>
          <w:color w:val="auto"/>
        </w:rPr>
      </w:pPr>
      <w:r>
        <w:rPr>
          <w:rFonts w:ascii="Arial" w:cs="Arial" w:eastAsia="Arial" w:hAnsi="Arial"/>
          <w:sz w:val="17"/>
          <w:szCs w:val="17"/>
          <w:color w:val="auto"/>
        </w:rPr>
        <w:t>In addition, we may face increased competition as we expand into the enterprise solution market. We may face competitions from local companies that are working on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If we fail to upgrade our technologies and differentiate our enterprise solutions to effectively identify and address clients’ needs, our business, results of operations and prospects could be materially and adversely affected.</w:t>
      </w:r>
    </w:p>
    <w:p>
      <w:pPr>
        <w:spacing w:after="0" w:line="178" w:lineRule="exact"/>
        <w:rPr>
          <w:sz w:val="20"/>
          <w:szCs w:val="20"/>
          <w:color w:val="auto"/>
        </w:rPr>
      </w:pPr>
    </w:p>
    <w:p>
      <w:pPr>
        <w:ind w:firstLine="513"/>
        <w:spacing w:after="0" w:line="261" w:lineRule="auto"/>
        <w:rPr>
          <w:sz w:val="20"/>
          <w:szCs w:val="20"/>
          <w:color w:val="auto"/>
        </w:rPr>
      </w:pPr>
      <w:r>
        <w:rPr>
          <w:rFonts w:ascii="Arial" w:cs="Arial" w:eastAsia="Arial" w:hAnsi="Arial"/>
          <w:sz w:val="17"/>
          <w:szCs w:val="17"/>
          <w:color w:val="auto"/>
        </w:rPr>
        <w:t>We have been making efforts to promote our newly launched enterprise solutions to clients in industries including new retail, online education, real estate and other sectors, including through cross-selling or upselling to existing clients and referral from existing clients. We cannot assure you that these promotion and marketing efforts will be successful. As a result, the success of our enterprise solutions depends on the continued growth of these sectors. In addition, to the extent businesses do not find our enterprise solutions an effective or efficient way of customer management and to the extent there are any potential new developments in their sectors, our enterprise solutions may be less attractive to clients, and our results of operations and business growth prospects may be adversely affected.</w:t>
      </w:r>
    </w:p>
    <w:p>
      <w:pPr>
        <w:spacing w:after="0" w:line="182" w:lineRule="exact"/>
        <w:rPr>
          <w:sz w:val="20"/>
          <w:szCs w:val="20"/>
          <w:color w:val="auto"/>
        </w:rPr>
      </w:pPr>
    </w:p>
    <w:p>
      <w:pPr>
        <w:ind w:right="20" w:firstLine="513"/>
        <w:spacing w:after="0" w:line="265" w:lineRule="auto"/>
        <w:rPr>
          <w:sz w:val="20"/>
          <w:szCs w:val="20"/>
          <w:color w:val="auto"/>
        </w:rPr>
      </w:pPr>
      <w:r>
        <w:rPr>
          <w:rFonts w:ascii="Arial" w:cs="Arial" w:eastAsia="Arial" w:hAnsi="Arial"/>
          <w:sz w:val="17"/>
          <w:szCs w:val="17"/>
          <w:color w:val="auto"/>
        </w:rPr>
        <w:t>We may also face unexpected new risks as we continue to launch new businesses. As a result, we cannot assure you that we will be successful in this new business. If we cannot successfully address new challenges and compete effectively, we may not be able to develop a sufficient client base, recover costs incurred for developing and marketing our new business, and eventually achieve profitability from our new business, and, consequently, our future results of operations and growth prospects may be materially and adversely affected.</w:t>
      </w:r>
    </w:p>
    <w:p>
      <w:pPr>
        <w:spacing w:after="0" w:line="2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69" w:lineRule="exact"/>
        <w:rPr>
          <w:sz w:val="20"/>
          <w:szCs w:val="20"/>
          <w:color w:val="auto"/>
        </w:rPr>
      </w:pPr>
    </w:p>
    <w:p>
      <w:pPr>
        <w:ind w:right="20" w:firstLine="513"/>
        <w:spacing w:after="0" w:line="260" w:lineRule="auto"/>
        <w:rPr>
          <w:sz w:val="20"/>
          <w:szCs w:val="20"/>
          <w:color w:val="auto"/>
        </w:rPr>
      </w:pPr>
      <w:r>
        <w:rPr>
          <w:rFonts w:ascii="Arial" w:cs="Arial" w:eastAsia="Arial" w:hAnsi="Arial"/>
          <w:sz w:val="17"/>
          <w:szCs w:val="17"/>
          <w:color w:val="auto"/>
        </w:rPr>
        <w:t>As the development cycle on enterprise solutions is subject to the complexity of the clients’ needs and requirements, industries, scale of operation, etc., we may face greater costs, longer sales cycles and less predictability in completing some of our sales. In this market segment, clients’ decision to use our services may be an enterprise-wide decision and, if so, these types of sales would require us to provide greater levels of education regarding the use and benefits of our services, as well as education regarding privacy and data protection laws and regulations to prospective clients with international operations. As a result of these factors, these sales opportunities may require us to devote greater development, sales support and professional services resources to individual clients, driving up costs and time required to complete the transactions, while potentially requiring us to delay revenue recognition on some of these transactions until the technical or implementation requirements have been met.</w:t>
      </w:r>
    </w:p>
    <w:p>
      <w:pPr>
        <w:spacing w:after="0" w:line="28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Our net revenues, net revenues as a percentage of gross billing, gross profit margin and the comparability of our financial results may be affected by our revenue models.</w:t>
      </w:r>
    </w:p>
    <w:p>
      <w:pPr>
        <w:spacing w:after="0" w:line="54" w:lineRule="exact"/>
        <w:rPr>
          <w:sz w:val="20"/>
          <w:szCs w:val="20"/>
          <w:color w:val="auto"/>
        </w:rPr>
      </w:pPr>
    </w:p>
    <w:p>
      <w:pPr>
        <w:ind w:right="120" w:firstLine="513"/>
        <w:spacing w:after="0" w:line="259" w:lineRule="auto"/>
        <w:rPr>
          <w:sz w:val="20"/>
          <w:szCs w:val="20"/>
          <w:color w:val="auto"/>
        </w:rPr>
      </w:pPr>
      <w:r>
        <w:rPr>
          <w:rFonts w:ascii="Arial" w:cs="Arial" w:eastAsia="Arial" w:hAnsi="Arial"/>
          <w:sz w:val="17"/>
          <w:szCs w:val="17"/>
          <w:color w:val="auto"/>
        </w:rPr>
        <w:t>We derive revenue primarily from four sources and report them on either a net or gross basis: (i) revenue from incentives earned from the website publishers for which we act as a sales agent for their content distribution opportunities, or the sales agency arrangement, which is reported on a net basis, (ii) revenue from performing cost-plus marketing campaigns, which is reported on a net basis; (iii) revenue from performing specified actions marketing campaigns (i.e., a CPM, CPC, CPA, CPS, CPL or ROI basis), which is reported on the gross basis, and (iv) revenue from SaaS products offering under our enterprise solutions business, which is reported on a gross basis and a net basis. Please see “Item 5. Operating and Financial Review and Prospects—A. Operating Results —Key Components of Results of Operations—Net Revenues”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w:t>
      </w:r>
    </w:p>
    <w:p>
      <w:pPr>
        <w:spacing w:after="0" w:line="186" w:lineRule="exact"/>
        <w:rPr>
          <w:sz w:val="20"/>
          <w:szCs w:val="20"/>
          <w:color w:val="auto"/>
        </w:rPr>
      </w:pPr>
    </w:p>
    <w:p>
      <w:pPr>
        <w:ind w:right="80" w:firstLine="513"/>
        <w:spacing w:after="0" w:line="279" w:lineRule="auto"/>
        <w:rPr>
          <w:sz w:val="20"/>
          <w:szCs w:val="20"/>
          <w:color w:val="auto"/>
        </w:rPr>
      </w:pPr>
      <w:r>
        <w:rPr>
          <w:rFonts w:ascii="Arial" w:cs="Arial" w:eastAsia="Arial" w:hAnsi="Arial"/>
          <w:sz w:val="16"/>
          <w:szCs w:val="16"/>
          <w:color w:val="auto"/>
        </w:rPr>
        <w:t>Consequently, an increase in the percentage of gross billing recognized as net revenues from performing specified actions marketing campaigns will have a positive impact on our net revenues and a negative impact on our gross profit margin. On the other hand, an increase in the percentage of gross billing recognized as net revenues from our sales agency arrangement and from performing cost- 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 changes from time to time, the relative proportions of gross billing recognized as net revenues on a gross basis and a net basis also fluctuate, which would consequently impact our net revenues and gross profit margin. Our mobile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0" w:name="page11"/>
    <w:bookmarkEnd w:id="10"/>
    <w:p>
      <w:pPr>
        <w:ind w:right="20"/>
        <w:spacing w:after="0" w:line="281" w:lineRule="auto"/>
        <w:rPr>
          <w:sz w:val="20"/>
          <w:szCs w:val="20"/>
          <w:color w:val="auto"/>
        </w:rPr>
      </w:pPr>
      <w:r>
        <w:rPr>
          <w:rFonts w:ascii="Arial" w:cs="Arial" w:eastAsia="Arial" w:hAnsi="Arial"/>
          <w:sz w:val="16"/>
          <w:szCs w:val="16"/>
          <w:color w:val="auto"/>
        </w:rPr>
        <w:t>marketing solutions on one hand, and other marketing solutions, on the other hand, each represent a mixture of revenue recognized on a gross basis and on a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retain existing clients or attract new ones could adversely impact our business and results of operations.</w:t>
      </w:r>
    </w:p>
    <w:p>
      <w:pPr>
        <w:spacing w:after="0" w:line="117" w:lineRule="exact"/>
        <w:rPr>
          <w:sz w:val="20"/>
          <w:szCs w:val="20"/>
          <w:color w:val="auto"/>
        </w:rPr>
      </w:pPr>
    </w:p>
    <w:p>
      <w:pPr>
        <w:ind w:right="40" w:firstLine="513"/>
        <w:spacing w:after="0" w:line="263" w:lineRule="auto"/>
        <w:rPr>
          <w:sz w:val="20"/>
          <w:szCs w:val="20"/>
          <w:color w:val="auto"/>
        </w:rPr>
      </w:pPr>
      <w:r>
        <w:rPr>
          <w:rFonts w:ascii="Arial" w:cs="Arial" w:eastAsia="Arial" w:hAnsi="Arial"/>
          <w:sz w:val="17"/>
          <w:szCs w:val="17"/>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marketers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Our ability to achieve renewals or marketing campaign contracts and new sales depends on many factors, some of which are out of our control, including:</w:t>
      </w:r>
    </w:p>
    <w:p>
      <w:pPr>
        <w:spacing w:after="0" w:line="140" w:lineRule="exact"/>
        <w:rPr>
          <w:sz w:val="20"/>
          <w:szCs w:val="20"/>
          <w:color w:val="auto"/>
        </w:rPr>
      </w:pPr>
    </w:p>
    <w:p>
      <w:pPr>
        <w:ind w:left="1020" w:hanging="509"/>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customer satisfaction with our solutions, including any new solutions that we may develop,</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competitiveness of our pricing and payment terms for our clients, which may, in turn, be constrained by our capital and financial resources,</w:t>
      </w:r>
    </w:p>
    <w:p>
      <w:pPr>
        <w:spacing w:after="0" w:line="128" w:lineRule="exact"/>
        <w:rPr>
          <w:rFonts w:ascii="Arial" w:cs="Arial" w:eastAsia="Arial" w:hAnsi="Arial"/>
          <w:sz w:val="16"/>
          <w:szCs w:val="16"/>
          <w:color w:val="auto"/>
        </w:rPr>
      </w:pPr>
    </w:p>
    <w:p>
      <w:pPr>
        <w:ind w:left="1020" w:hanging="509"/>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customer satisfaction with our account managing services,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ability to tailor our solution offerings and delivery and pricing models in accordance with the evolving needs of our clients and end marketers,</w:t>
      </w:r>
    </w:p>
    <w:p>
      <w:pPr>
        <w:spacing w:after="0" w:line="139" w:lineRule="exact"/>
        <w:rPr>
          <w:rFonts w:ascii="Arial" w:cs="Arial" w:eastAsia="Arial" w:hAnsi="Arial"/>
          <w:sz w:val="15"/>
          <w:szCs w:val="15"/>
          <w:color w:val="auto"/>
        </w:rPr>
      </w:pPr>
    </w:p>
    <w:p>
      <w:pPr>
        <w:ind w:left="1020" w:hanging="509"/>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expand our data base and solutions to serve marketers in a wider range of industries and geographic regions,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integrate with a wider range of new mobile technologies, systems, networks and standards,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mergers, acquisitions or other consolidation among marketers and marketing agencies, and</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effects of global economic conditions on spending levels of marketers generally.</w:t>
      </w:r>
    </w:p>
    <w:p>
      <w:pPr>
        <w:spacing w:after="0" w:line="221" w:lineRule="exact"/>
        <w:rPr>
          <w:sz w:val="20"/>
          <w:szCs w:val="20"/>
          <w:color w:val="auto"/>
        </w:rPr>
      </w:pPr>
    </w:p>
    <w:p>
      <w:pPr>
        <w:jc w:val="both"/>
        <w:ind w:right="180" w:firstLine="513"/>
        <w:spacing w:after="0" w:line="263" w:lineRule="auto"/>
        <w:rPr>
          <w:sz w:val="20"/>
          <w:szCs w:val="20"/>
          <w:color w:val="auto"/>
        </w:rPr>
      </w:pPr>
      <w:r>
        <w:rPr>
          <w:rFonts w:ascii="Arial" w:cs="Arial" w:eastAsia="Arial" w:hAnsi="Arial"/>
          <w:sz w:val="17"/>
          <w:szCs w:val="17"/>
          <w:color w:val="auto"/>
        </w:rPr>
        <w:t>Therefore, we cannot assure you that clients that have generated marketing spend on our platform in the past will continue to spend at similar levels or that they will continue to use our platform at all. We may not be able to replace clients which reduce or cease their usage of our platform with new clients that spend similarly on our platform. We have relied on a limited number of clients to generate a significant portion of our revenues. For example, while we did not have any client that contributed to more than 10% of our net revenues in 2017 and 2019, we had one client from the entertainment industry that contributed to 14% of our net revenues in 2018.</w:t>
      </w:r>
    </w:p>
    <w:p>
      <w:pPr>
        <w:spacing w:after="0" w:line="178" w:lineRule="exact"/>
        <w:rPr>
          <w:sz w:val="20"/>
          <w:szCs w:val="20"/>
          <w:color w:val="auto"/>
        </w:rPr>
      </w:pPr>
    </w:p>
    <w:p>
      <w:pPr>
        <w:ind w:right="80" w:firstLine="513"/>
        <w:spacing w:after="0" w:line="278" w:lineRule="auto"/>
        <w:rPr>
          <w:sz w:val="20"/>
          <w:szCs w:val="20"/>
          <w:color w:val="auto"/>
        </w:rPr>
      </w:pPr>
      <w:r>
        <w:rPr>
          <w:rFonts w:ascii="Arial" w:cs="Arial" w:eastAsia="Arial" w:hAnsi="Arial"/>
          <w:sz w:val="16"/>
          <w:szCs w:val="16"/>
          <w:color w:val="auto"/>
        </w:rPr>
        <w:t>In addition, we have started a comprehensive review of the client base especially for other marketing solutions since 2016 to focus on profitability and liquidity. For example, we terminated relationships with certain clients for our other marketing solutions as they had relatively long accounts receivable cycles and yielded relatively low operating profit margins to us. Some of these clients were large marketers and had individually accounted for more than 5% of our annual gross billing historically. As a result, gross billing from our other marketing solutions decreased by 6.6% from US$76.1 million in 2017 to US$71.0 million in 2018 and further by 8.9% to US$64.7 million in 2019. Relatedly, the total number of our marketers decreased by 3.2% from 2,561 in 2017 to 2,479 in 2018. The total number of our marketers increased by 40% from 2018 to 3,481 in 2019, primarily attributable to our increased ability to cater to the growing market demand. However, as we continue to engage in client optimization and review our client base for a more sustainable long-term growth, we cannot assure you that the increase in the total number of marketers will continue.</w:t>
      </w:r>
    </w:p>
    <w:p>
      <w:pPr>
        <w:spacing w:after="0" w:line="168" w:lineRule="exact"/>
        <w:rPr>
          <w:sz w:val="20"/>
          <w:szCs w:val="20"/>
          <w:color w:val="auto"/>
        </w:rPr>
      </w:pPr>
    </w:p>
    <w:p>
      <w:pPr>
        <w:ind w:right="40" w:firstLine="513"/>
        <w:spacing w:after="0" w:line="286" w:lineRule="auto"/>
        <w:rPr>
          <w:sz w:val="20"/>
          <w:szCs w:val="20"/>
          <w:color w:val="auto"/>
        </w:rPr>
      </w:pPr>
      <w:r>
        <w:rPr>
          <w:rFonts w:ascii="Arial" w:cs="Arial" w:eastAsia="Arial" w:hAnsi="Arial"/>
          <w:sz w:val="17"/>
          <w:szCs w:val="17"/>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any marketing agency client may materially and adversely affect our business and results of operations.</w:t>
      </w:r>
    </w:p>
    <w:p>
      <w:pPr>
        <w:spacing w:after="0" w:line="117" w:lineRule="exact"/>
        <w:rPr>
          <w:sz w:val="20"/>
          <w:szCs w:val="20"/>
          <w:color w:val="auto"/>
        </w:rPr>
      </w:pPr>
    </w:p>
    <w:p>
      <w:pPr>
        <w:ind w:right="20" w:firstLine="513"/>
        <w:spacing w:after="0" w:line="265" w:lineRule="auto"/>
        <w:rPr>
          <w:sz w:val="20"/>
          <w:szCs w:val="20"/>
          <w:color w:val="auto"/>
        </w:rPr>
      </w:pPr>
      <w:r>
        <w:rPr>
          <w:rFonts w:ascii="Arial" w:cs="Arial" w:eastAsia="Arial" w:hAnsi="Arial"/>
          <w:sz w:val="17"/>
          <w:szCs w:val="17"/>
          <w:color w:val="auto"/>
        </w:rPr>
        <w:t>We engage third-party marketing agencies to help source and serve some of our marketers. In 2019, we had 3,481 marketers. Among these marketers, 1,793 were represented by our marketing agency clients, which contributed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556" w:right="379" w:bottom="1440" w:gutter="0" w:footer="0" w:header="0"/>
        </w:sectPr>
      </w:pPr>
    </w:p>
    <w:bookmarkStart w:id="11" w:name="page12"/>
    <w:bookmarkEnd w:id="11"/>
    <w:p>
      <w:pPr>
        <w:ind w:right="300"/>
        <w:spacing w:after="0" w:line="295" w:lineRule="auto"/>
        <w:rPr>
          <w:sz w:val="20"/>
          <w:szCs w:val="20"/>
          <w:color w:val="auto"/>
        </w:rPr>
      </w:pPr>
      <w:r>
        <w:rPr>
          <w:rFonts w:ascii="Arial" w:cs="Arial" w:eastAsia="Arial" w:hAnsi="Arial"/>
          <w:sz w:val="16"/>
          <w:szCs w:val="16"/>
          <w:color w:val="auto"/>
        </w:rPr>
        <w:t>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54" w:lineRule="exact"/>
        <w:rPr>
          <w:sz w:val="20"/>
          <w:szCs w:val="20"/>
          <w:color w:val="auto"/>
        </w:rPr>
      </w:pPr>
    </w:p>
    <w:p>
      <w:pPr>
        <w:jc w:val="both"/>
        <w:ind w:right="420" w:firstLine="513"/>
        <w:spacing w:after="0" w:line="270" w:lineRule="auto"/>
        <w:rPr>
          <w:sz w:val="20"/>
          <w:szCs w:val="20"/>
          <w:color w:val="auto"/>
        </w:rPr>
      </w:pPr>
      <w:r>
        <w:rPr>
          <w:rFonts w:ascii="Arial" w:cs="Arial" w:eastAsia="Arial" w:hAnsi="Arial"/>
          <w:sz w:val="17"/>
          <w:szCs w:val="17"/>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7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54" w:lineRule="exact"/>
        <w:rPr>
          <w:sz w:val="20"/>
          <w:szCs w:val="20"/>
          <w:color w:val="auto"/>
        </w:rPr>
      </w:pPr>
    </w:p>
    <w:p>
      <w:pPr>
        <w:ind w:right="80" w:firstLine="513"/>
        <w:spacing w:after="0" w:line="278" w:lineRule="auto"/>
        <w:rPr>
          <w:sz w:val="20"/>
          <w:szCs w:val="20"/>
          <w:color w:val="auto"/>
        </w:rPr>
      </w:pPr>
      <w:r>
        <w:rPr>
          <w:rFonts w:ascii="Arial" w:cs="Arial" w:eastAsia="Arial" w:hAnsi="Arial"/>
          <w:sz w:val="16"/>
          <w:szCs w:val="16"/>
          <w:color w:val="auto"/>
        </w:rPr>
        <w:t>Our consistent access to attractive content distribution opportunities is crucial to our business. We primarily rely on third-party content distribution channels to access content distribution opportunities.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89.1%, 91.1% and 87.4% of our media costs in 2017, 2018 and 2019, respectively. Media costs for content distribution opportunities on our largest and second largest channel partners accounted for 80.8% and 6.6% of our media costs in 2019, respectively.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68" w:lineRule="exact"/>
        <w:rPr>
          <w:sz w:val="20"/>
          <w:szCs w:val="20"/>
          <w:color w:val="auto"/>
        </w:rPr>
      </w:pPr>
    </w:p>
    <w:p>
      <w:pPr>
        <w:ind w:right="200" w:firstLine="513"/>
        <w:spacing w:after="0" w:line="270" w:lineRule="auto"/>
        <w:rPr>
          <w:sz w:val="20"/>
          <w:szCs w:val="20"/>
          <w:color w:val="auto"/>
        </w:rPr>
      </w:pPr>
      <w:r>
        <w:rPr>
          <w:rFonts w:ascii="Arial" w:cs="Arial" w:eastAsia="Arial" w:hAnsi="Arial"/>
          <w:sz w:val="17"/>
          <w:szCs w:val="17"/>
          <w:color w:val="auto"/>
        </w:rPr>
        <w:t>Our ability to source content distribution opportunities from content distribution channels depends in part on our ability to continuously generate sufficient marketing spend from our clients on these channels. If our content distribution channels terminate or choose not to renew their contracts with us, our business and results of operations will be materially and adversely affected.</w:t>
      </w:r>
    </w:p>
    <w:p>
      <w:pPr>
        <w:spacing w:after="0" w:line="173" w:lineRule="exact"/>
        <w:rPr>
          <w:sz w:val="20"/>
          <w:szCs w:val="20"/>
          <w:color w:val="auto"/>
        </w:rPr>
      </w:pPr>
    </w:p>
    <w:p>
      <w:pPr>
        <w:ind w:firstLine="513"/>
        <w:spacing w:after="0" w:line="281" w:lineRule="auto"/>
        <w:rPr>
          <w:sz w:val="20"/>
          <w:szCs w:val="20"/>
          <w:color w:val="auto"/>
        </w:rPr>
      </w:pPr>
      <w:r>
        <w:rPr>
          <w:rFonts w:ascii="Arial" w:cs="Arial" w:eastAsia="Arial" w:hAnsi="Arial"/>
          <w:sz w:val="16"/>
          <w:szCs w:val="16"/>
          <w:color w:val="auto"/>
        </w:rPr>
        <w:t>In addition, we may not be able to negotiate favorable or acceptable terms once the contracts expire. For example, the written contract with a content distribution channel under our sales agency arrangement expired on December 31, 2019 and as of the date hereof, we have not yet executed and are negotiating a new written contract with this content distribution channel. Net revenues from this content distribution channel under our sales agency arrangement were US$8.3 million, US$8.7 million and US$6.6 million in 2017, 2018 and 2019, representing 6.6%, 5.4%, and 3.3% of our total net revenues for the respective years. As the contract is still being negotiated, there is no assurance that we will be able to execute the contract with terms favorable or acceptable to us or at all, which could have a material adverse impact on our financial condition and results of operations.</w:t>
      </w:r>
    </w:p>
    <w:p>
      <w:pPr>
        <w:spacing w:after="0" w:line="165" w:lineRule="exact"/>
        <w:rPr>
          <w:sz w:val="20"/>
          <w:szCs w:val="20"/>
          <w:color w:val="auto"/>
        </w:rPr>
      </w:pPr>
    </w:p>
    <w:p>
      <w:pPr>
        <w:ind w:firstLine="513"/>
        <w:spacing w:after="0" w:line="276" w:lineRule="auto"/>
        <w:rPr>
          <w:sz w:val="20"/>
          <w:szCs w:val="20"/>
          <w:color w:val="auto"/>
        </w:rPr>
      </w:pPr>
      <w:r>
        <w:rPr>
          <w:rFonts w:ascii="Arial" w:cs="Arial" w:eastAsia="Arial" w:hAnsi="Arial"/>
          <w:sz w:val="16"/>
          <w:szCs w:val="16"/>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 We are subject to ongoing obligations and continued regulatory review. If we fail to maintain or renew the value-added telecommunication license, or fail to obtain any additional licenses and permits or make any records or filings required by new laws, regulations or executive orders in a timely manner or at all, we could be subject to liabilities or penalties, and we may have to change our business models, and our operations could be adversely affected. In addition, new laws and regulations may be adopted from time to time to address new issues that come to the authorities’ attention, which may require us to obtain new license and permits, or take certain actions that may adversely affect our business operations. We may not timely obtain or maintain all the required licenses or approvals or make all the necessary filings. Nor can we assure you that we will be able to timely address all the changes in policy, failure of which may subject us to liabilities or penalties, and our operations could be adversely affected.</w:t>
      </w:r>
    </w:p>
    <w:p>
      <w:pPr>
        <w:spacing w:after="0" w:line="3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We face risks related to natural disasters, health epidemics and other outbreaks, which could significantly disrupt our operations. In particular, we could be materially and adversely affected by the outbreak of COVID-19.</w:t>
      </w:r>
    </w:p>
    <w:p>
      <w:pPr>
        <w:spacing w:after="0" w:line="133" w:lineRule="exact"/>
        <w:rPr>
          <w:sz w:val="20"/>
          <w:szCs w:val="20"/>
          <w:color w:val="auto"/>
        </w:rPr>
      </w:pPr>
    </w:p>
    <w:p>
      <w:pPr>
        <w:ind w:right="20" w:firstLine="513"/>
        <w:spacing w:after="0" w:line="283" w:lineRule="auto"/>
        <w:rPr>
          <w:sz w:val="20"/>
          <w:szCs w:val="20"/>
          <w:color w:val="auto"/>
        </w:rPr>
      </w:pPr>
      <w:r>
        <w:rPr>
          <w:rFonts w:ascii="Arial" w:cs="Arial" w:eastAsia="Arial" w:hAnsi="Arial"/>
          <w:sz w:val="16"/>
          <w:szCs w:val="16"/>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a novel strain of coronavirus, or COVID-19, Ebola virus disease, Zika virus disease, H1N1 flu, H7N9 flu, avian flu, Severe Acute Respiratory Syndrome, or SARS, or other epidemics.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452" w:right="379" w:bottom="1440" w:gutter="0" w:footer="0" w:header="0"/>
        </w:sectPr>
      </w:pPr>
    </w:p>
    <w:bookmarkStart w:id="12" w:name="page13"/>
    <w:bookmarkEnd w:id="12"/>
    <w:p>
      <w:pPr>
        <w:ind w:firstLine="513"/>
        <w:spacing w:after="0" w:line="274"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and Guangzhou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 Our business, results of operations, financial condition and prospects could be materially and adversely affected directly, as well as to the extent that the coronavirus or any other epidemic harms the Chinese economy in general. For example, since December 2019, there has been an outbreak of COVID-19 in China and around the world. COVID-19 is considered to be highly contagious and poses a serious public health threat. In March 2020, the World Health Organization declared the COVID-19 a pandemic, given its threat beyond a public health emergency of international concern that the organization had declared on January 30, 2020. The pandemic has resulted in quarantines, travel restrictions, home office policies, and the temporary closure of stores and facilities in China, Hong Kong and many other jurisdictions for the past few months. These measures have slowed down the development of the Chinese economy and adversely affected the global economic conditions and financial markets. Substantially all of our revenues and our workforce are based in China and Hong Kong. Our operations have been, and may continue to be, materially and adversely affected by potential delays in or reductions of business activities and commercial transactions and by general uncertainties surrounding the duration of the government’s extended business and travel restrictions. In addition, our business operations could be disrupted if any of our employees is suspected of contracting the coronavirus or any other epidemic disease, since it could require our employees to be quarantined and/or our offices to be disinfected.</w:t>
      </w:r>
    </w:p>
    <w:p>
      <w:pPr>
        <w:spacing w:after="0" w:line="141" w:lineRule="exact"/>
        <w:rPr>
          <w:sz w:val="20"/>
          <w:szCs w:val="20"/>
          <w:color w:val="auto"/>
        </w:rPr>
      </w:pPr>
    </w:p>
    <w:p>
      <w:pPr>
        <w:ind w:right="60" w:firstLine="513"/>
        <w:spacing w:after="0" w:line="260" w:lineRule="auto"/>
        <w:rPr>
          <w:sz w:val="20"/>
          <w:szCs w:val="20"/>
          <w:color w:val="auto"/>
        </w:rPr>
      </w:pPr>
      <w:r>
        <w:rPr>
          <w:rFonts w:ascii="Arial" w:cs="Arial" w:eastAsia="Arial" w:hAnsi="Arial"/>
          <w:sz w:val="17"/>
          <w:szCs w:val="17"/>
          <w:color w:val="auto"/>
        </w:rPr>
        <w:t>The potential downturn brought by and the duration of COVID-19 are difficult to assess or predict now. Any potential impact on our results will depend on, to a large extent, future developments and new information that may emerge regarding the duration of COVID-19 and the actions taken by governmental authorities and other entities to contain COVID-19 or treat its impact, which are mostly beyond our control. As of the date of this annual report, we believe potential impact of COVID-19 on our results of operations includes, but is not limited to: (a) our clients in industries that are adversely affected by the outbreak of COVID-19, including travel and hospitality sectors, among others, may reduce their budgets on advertising, adversely affecting our marketing solutions business; and (b) our clients may require additional time to pay us or fail to pay us at all, which could significantly increase our accounts receivable, requiring us to record additional allowances for doubtful accounts.</w:t>
      </w:r>
    </w:p>
    <w:p>
      <w:pPr>
        <w:spacing w:after="0" w:line="15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expand into the enterprise solution market, we also face increasingly intensified competition.</w:t>
      </w:r>
    </w:p>
    <w:p>
      <w:pPr>
        <w:spacing w:after="0" w:line="134" w:lineRule="exact"/>
        <w:rPr>
          <w:sz w:val="20"/>
          <w:szCs w:val="20"/>
          <w:color w:val="auto"/>
        </w:rPr>
      </w:pPr>
    </w:p>
    <w:p>
      <w:pPr>
        <w:ind w:right="420" w:firstLine="513"/>
        <w:spacing w:after="0" w:line="270" w:lineRule="auto"/>
        <w:rPr>
          <w:sz w:val="20"/>
          <w:szCs w:val="20"/>
          <w:color w:val="auto"/>
        </w:rPr>
      </w:pPr>
      <w:r>
        <w:rPr>
          <w:rFonts w:ascii="Arial" w:cs="Arial" w:eastAsia="Arial" w:hAnsi="Arial"/>
          <w:sz w:val="17"/>
          <w:szCs w:val="17"/>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134" w:lineRule="exact"/>
        <w:rPr>
          <w:sz w:val="20"/>
          <w:szCs w:val="20"/>
          <w:color w:val="auto"/>
        </w:rPr>
      </w:pPr>
    </w:p>
    <w:p>
      <w:pPr>
        <w:ind w:left="880" w:hanging="369"/>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ability to deliver return on marketing expenditure at scale;</w:t>
      </w:r>
    </w:p>
    <w:p>
      <w:pPr>
        <w:spacing w:after="0" w:line="181" w:lineRule="exact"/>
        <w:rPr>
          <w:rFonts w:ascii="Arial" w:cs="Arial" w:eastAsia="Arial" w:hAnsi="Arial"/>
          <w:sz w:val="17"/>
          <w:szCs w:val="17"/>
          <w:color w:val="auto"/>
        </w:rPr>
      </w:pPr>
    </w:p>
    <w:p>
      <w:pPr>
        <w:ind w:left="880" w:hanging="369"/>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customer trust;</w:t>
      </w:r>
    </w:p>
    <w:p>
      <w:pPr>
        <w:spacing w:after="0" w:line="181" w:lineRule="exact"/>
        <w:rPr>
          <w:rFonts w:ascii="Arial" w:cs="Arial" w:eastAsia="Arial" w:hAnsi="Arial"/>
          <w:sz w:val="17"/>
          <w:szCs w:val="17"/>
          <w:color w:val="auto"/>
        </w:rPr>
      </w:pPr>
    </w:p>
    <w:p>
      <w:pPr>
        <w:ind w:left="880" w:hanging="369"/>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geographic reach;</w:t>
      </w:r>
    </w:p>
    <w:p>
      <w:pPr>
        <w:spacing w:after="0" w:line="181" w:lineRule="exact"/>
        <w:rPr>
          <w:rFonts w:ascii="Arial" w:cs="Arial" w:eastAsia="Arial" w:hAnsi="Arial"/>
          <w:sz w:val="17"/>
          <w:szCs w:val="17"/>
          <w:color w:val="auto"/>
        </w:rPr>
      </w:pPr>
    </w:p>
    <w:p>
      <w:pPr>
        <w:ind w:left="880" w:hanging="369"/>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181" w:lineRule="exact"/>
        <w:rPr>
          <w:rFonts w:ascii="Arial" w:cs="Arial" w:eastAsia="Arial" w:hAnsi="Arial"/>
          <w:sz w:val="17"/>
          <w:szCs w:val="17"/>
          <w:color w:val="auto"/>
        </w:rPr>
      </w:pPr>
    </w:p>
    <w:p>
      <w:pPr>
        <w:ind w:left="880" w:hanging="369"/>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comprehensiveness of solutions and service offerings;</w:t>
      </w:r>
    </w:p>
    <w:p>
      <w:pPr>
        <w:spacing w:after="0" w:line="181" w:lineRule="exact"/>
        <w:rPr>
          <w:rFonts w:ascii="Arial" w:cs="Arial" w:eastAsia="Arial" w:hAnsi="Arial"/>
          <w:sz w:val="17"/>
          <w:szCs w:val="17"/>
          <w:color w:val="auto"/>
        </w:rPr>
      </w:pPr>
    </w:p>
    <w:p>
      <w:pPr>
        <w:ind w:left="880" w:hanging="369"/>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pricing structure and competitiveness;</w:t>
      </w:r>
    </w:p>
    <w:p>
      <w:pPr>
        <w:spacing w:after="0" w:line="181" w:lineRule="exact"/>
        <w:rPr>
          <w:rFonts w:ascii="Arial" w:cs="Arial" w:eastAsia="Arial" w:hAnsi="Arial"/>
          <w:sz w:val="17"/>
          <w:szCs w:val="17"/>
          <w:color w:val="auto"/>
        </w:rPr>
      </w:pPr>
    </w:p>
    <w:p>
      <w:pPr>
        <w:ind w:left="880" w:hanging="369"/>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cross-channel capabilities;</w:t>
      </w:r>
    </w:p>
    <w:p>
      <w:pPr>
        <w:spacing w:after="0" w:line="181" w:lineRule="exact"/>
        <w:rPr>
          <w:rFonts w:ascii="Arial" w:cs="Arial" w:eastAsia="Arial" w:hAnsi="Arial"/>
          <w:sz w:val="17"/>
          <w:szCs w:val="17"/>
          <w:color w:val="auto"/>
        </w:rPr>
      </w:pPr>
    </w:p>
    <w:p>
      <w:pPr>
        <w:ind w:left="880" w:hanging="369"/>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accessibility and user-friendliness of solutions; and</w:t>
      </w:r>
    </w:p>
    <w:p>
      <w:pPr>
        <w:spacing w:after="0" w:line="181" w:lineRule="exact"/>
        <w:rPr>
          <w:rFonts w:ascii="Arial" w:cs="Arial" w:eastAsia="Arial" w:hAnsi="Arial"/>
          <w:sz w:val="17"/>
          <w:szCs w:val="17"/>
          <w:color w:val="auto"/>
        </w:rPr>
      </w:pPr>
    </w:p>
    <w:p>
      <w:pPr>
        <w:ind w:left="880" w:hanging="369"/>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brand awareness.</w:t>
      </w:r>
    </w:p>
    <w:p>
      <w:pPr>
        <w:spacing w:after="0" w:line="182" w:lineRule="exact"/>
        <w:rPr>
          <w:sz w:val="20"/>
          <w:szCs w:val="20"/>
          <w:color w:val="auto"/>
        </w:rPr>
      </w:pPr>
    </w:p>
    <w:p>
      <w:pPr>
        <w:ind w:right="120" w:firstLine="513"/>
        <w:spacing w:after="0" w:line="279"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13" w:name="page14"/>
    <w:bookmarkEnd w:id="13"/>
    <w:p>
      <w:pPr>
        <w:ind w:right="20"/>
        <w:spacing w:after="0" w:line="275" w:lineRule="auto"/>
        <w:rPr>
          <w:sz w:val="20"/>
          <w:szCs w:val="20"/>
          <w:color w:val="auto"/>
        </w:rPr>
      </w:pPr>
      <w:r>
        <w:rPr>
          <w:rFonts w:ascii="Arial" w:cs="Arial" w:eastAsia="Arial" w:hAnsi="Arial"/>
          <w:sz w:val="16"/>
          <w:szCs w:val="16"/>
          <w:color w:val="auto"/>
        </w:rPr>
        <w:t>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we face indirect competition from these major players in the online marketing technology industry as they provide online marketing technology and offer services and offer solutions that help marketers achieve one or more aspects of their marketing goals in one or more phases of their online marketing cycle. These large and well-established companies control content distribution channels and may also directly compete with us to the extent we expand our solutions and footprints vertically along the online marketing technology value chain.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“Item 4. Information on the Company—B. Business Overview —Our Content Distribution Channels”.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37" w:lineRule="exact"/>
        <w:rPr>
          <w:sz w:val="20"/>
          <w:szCs w:val="20"/>
          <w:color w:val="auto"/>
        </w:rPr>
      </w:pPr>
    </w:p>
    <w:p>
      <w:pPr>
        <w:ind w:right="80" w:firstLine="513"/>
        <w:spacing w:after="0" w:line="281" w:lineRule="auto"/>
        <w:rPr>
          <w:sz w:val="20"/>
          <w:szCs w:val="20"/>
          <w:color w:val="auto"/>
        </w:rPr>
      </w:pPr>
      <w:r>
        <w:rPr>
          <w:rFonts w:ascii="Arial" w:cs="Arial" w:eastAsia="Arial" w:hAnsi="Arial"/>
          <w:sz w:val="16"/>
          <w:szCs w:val="16"/>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139" w:lineRule="exact"/>
        <w:rPr>
          <w:sz w:val="20"/>
          <w:szCs w:val="20"/>
          <w:color w:val="auto"/>
        </w:rPr>
      </w:pPr>
    </w:p>
    <w:p>
      <w:pPr>
        <w:ind w:right="80" w:firstLine="513"/>
        <w:spacing w:after="0" w:line="277" w:lineRule="auto"/>
        <w:rPr>
          <w:sz w:val="20"/>
          <w:szCs w:val="20"/>
          <w:color w:val="auto"/>
        </w:rPr>
      </w:pPr>
      <w:r>
        <w:rPr>
          <w:rFonts w:ascii="Arial" w:cs="Arial" w:eastAsia="Arial" w:hAnsi="Arial"/>
          <w:sz w:val="16"/>
          <w:szCs w:val="16"/>
          <w:color w:val="auto"/>
        </w:rPr>
        <w:t>In May 2018, we launched a strategic growth initiative beyond our core online marketing operation to provide SaaS-based enterprise solutions. Although we currently have few direct competitors in this relatively new and evolving area in China, we anticipate competition to increase based on businesses’ demands for this type of products. We may face competitions from local companies that are working on the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If we fail to upgrade our technologies and differentiate our enterprise solutions to effectively identify and address clients’ needs, our business, results of operations and prospects could be materially and adversely affected.</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If online marketing technology solutions and enterprise solutions do not achieve widespread market acceptance, our business, growth prospects and results of operations would be materially and adversely affected.</w:t>
      </w:r>
    </w:p>
    <w:p>
      <w:pPr>
        <w:spacing w:after="0" w:line="120" w:lineRule="exact"/>
        <w:rPr>
          <w:sz w:val="20"/>
          <w:szCs w:val="20"/>
          <w:color w:val="auto"/>
        </w:rPr>
      </w:pPr>
    </w:p>
    <w:p>
      <w:pPr>
        <w:ind w:firstLine="513"/>
        <w:spacing w:after="0" w:line="276" w:lineRule="auto"/>
        <w:rPr>
          <w:sz w:val="20"/>
          <w:szCs w:val="20"/>
          <w:color w:val="auto"/>
        </w:rPr>
      </w:pPr>
      <w:r>
        <w:rPr>
          <w:rFonts w:ascii="Arial" w:cs="Arial" w:eastAsia="Arial" w:hAnsi="Arial"/>
          <w:sz w:val="16"/>
          <w:szCs w:val="16"/>
          <w:color w:val="auto"/>
        </w:rPr>
        <w:t>The market for online marketing technology solutions and enterprise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44" w:lineRule="exact"/>
        <w:rPr>
          <w:sz w:val="20"/>
          <w:szCs w:val="20"/>
          <w:color w:val="auto"/>
        </w:rPr>
      </w:pPr>
    </w:p>
    <w:p>
      <w:pPr>
        <w:ind w:right="60" w:firstLine="513"/>
        <w:spacing w:after="0" w:line="283"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14" w:name="page15"/>
    <w:bookmarkEnd w:id="14"/>
    <w:p>
      <w:pPr>
        <w:ind w:right="20" w:firstLine="513"/>
        <w:spacing w:after="0" w:line="265" w:lineRule="auto"/>
        <w:rPr>
          <w:sz w:val="20"/>
          <w:szCs w:val="20"/>
          <w:color w:val="auto"/>
        </w:rPr>
      </w:pPr>
      <w:r>
        <w:rPr>
          <w:rFonts w:ascii="Arial" w:cs="Arial" w:eastAsia="Arial" w:hAnsi="Arial"/>
          <w:sz w:val="17"/>
          <w:szCs w:val="17"/>
          <w:color w:val="auto"/>
        </w:rPr>
        <w:t>Enterprise solution is a relative new data technology market in PRC. The expansion of our enterprise solutions depends on the clients’ interest and market acceptance. If we fail to obtain a widespread acceptance, our number of clients may decrease. We may also incur additional spending to further enhance our brand recognition and promotion, which could adversely impact our profitability. If our enterprise solutions fail to gain a widespread acceptance, our business, growth prospects and results of operations may also be materially and adversely affected.</w:t>
      </w:r>
    </w:p>
    <w:p>
      <w:pPr>
        <w:spacing w:after="0" w:line="13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If our algorithms and data engines for assessing and predicting potential audience behaviors are flawed or ineffective, or if our platform fails to otherwise function properly, our reputation and market share would be materially and adversely affected.</w:t>
      </w:r>
    </w:p>
    <w:p>
      <w:pPr>
        <w:spacing w:after="0" w:line="133" w:lineRule="exact"/>
        <w:rPr>
          <w:sz w:val="20"/>
          <w:szCs w:val="20"/>
          <w:color w:val="auto"/>
        </w:rPr>
      </w:pPr>
    </w:p>
    <w:p>
      <w:pPr>
        <w:ind w:firstLine="513"/>
        <w:spacing w:after="0" w:line="295" w:lineRule="auto"/>
        <w:rPr>
          <w:sz w:val="20"/>
          <w:szCs w:val="20"/>
          <w:color w:val="auto"/>
        </w:rPr>
      </w:pPr>
      <w:r>
        <w:rPr>
          <w:rFonts w:ascii="Arial" w:cs="Arial" w:eastAsia="Arial" w:hAnsi="Arial"/>
          <w:sz w:val="15"/>
          <w:szCs w:val="15"/>
          <w:color w:val="auto"/>
        </w:rPr>
        <w:t>Our ability to attract marketers to, and build trust in, our platform is significantly dependent on our ability to effectively assess and predict audience interest in, and therefore interaction with, relevant marketing content. In addition, our ability to attract businesses to use our enterprise solutions is significantly dependent on our ability to effectively identify and address their needs on customer relationship management, or CRM, and data analytics (e.g. sales data, customer data, product data, etc.).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19" w:lineRule="exact"/>
        <w:rPr>
          <w:sz w:val="20"/>
          <w:szCs w:val="20"/>
          <w:color w:val="auto"/>
        </w:rPr>
      </w:pPr>
    </w:p>
    <w:p>
      <w:pPr>
        <w:ind w:firstLine="513"/>
        <w:spacing w:after="0" w:line="261" w:lineRule="auto"/>
        <w:rPr>
          <w:sz w:val="20"/>
          <w:szCs w:val="20"/>
          <w:color w:val="auto"/>
        </w:rPr>
      </w:pPr>
      <w:r>
        <w:rPr>
          <w:rFonts w:ascii="Arial" w:cs="Arial" w:eastAsia="Arial" w:hAnsi="Arial"/>
          <w:sz w:val="17"/>
          <w:szCs w:val="17"/>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collect and use data from various sources could be restricted.</w:t>
      </w:r>
    </w:p>
    <w:p>
      <w:pPr>
        <w:spacing w:after="0" w:line="195" w:lineRule="exact"/>
        <w:rPr>
          <w:sz w:val="20"/>
          <w:szCs w:val="20"/>
          <w:color w:val="auto"/>
        </w:rPr>
      </w:pPr>
    </w:p>
    <w:p>
      <w:pPr>
        <w:ind w:right="220" w:firstLine="513"/>
        <w:spacing w:after="0" w:line="270" w:lineRule="auto"/>
        <w:rPr>
          <w:sz w:val="20"/>
          <w:szCs w:val="20"/>
          <w:color w:val="auto"/>
        </w:rPr>
      </w:pPr>
      <w:r>
        <w:rPr>
          <w:rFonts w:ascii="Arial" w:cs="Arial" w:eastAsia="Arial" w:hAnsi="Arial"/>
          <w:sz w:val="17"/>
          <w:szCs w:val="17"/>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134" w:lineRule="exact"/>
        <w:rPr>
          <w:sz w:val="20"/>
          <w:szCs w:val="20"/>
          <w:color w:val="auto"/>
        </w:rPr>
      </w:pPr>
    </w:p>
    <w:p>
      <w:pPr>
        <w:ind w:left="880" w:hanging="369"/>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consumer choices, including the blocking or deletion of cookies or modifications to privacy settings;</w:t>
      </w:r>
    </w:p>
    <w:p>
      <w:pPr>
        <w:spacing w:after="0" w:line="181" w:lineRule="exact"/>
        <w:rPr>
          <w:rFonts w:ascii="Arial" w:cs="Arial" w:eastAsia="Arial" w:hAnsi="Arial"/>
          <w:sz w:val="17"/>
          <w:szCs w:val="17"/>
          <w:color w:val="auto"/>
        </w:rPr>
      </w:pPr>
    </w:p>
    <w:p>
      <w:pPr>
        <w:ind w:left="880" w:right="80" w:hanging="369"/>
        <w:spacing w:after="0" w:line="319"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96" w:lineRule="exact"/>
        <w:rPr>
          <w:rFonts w:ascii="Arial" w:cs="Arial" w:eastAsia="Arial" w:hAnsi="Arial"/>
          <w:sz w:val="16"/>
          <w:szCs w:val="16"/>
          <w:color w:val="auto"/>
        </w:rPr>
      </w:pPr>
    </w:p>
    <w:p>
      <w:pPr>
        <w:ind w:left="880" w:hanging="369"/>
        <w:spacing w:after="0" w:line="286"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browser or device functionality and settings, and other new technologies, which could make it easier for users to prevent the placement of cookies or other tracking technologies;</w:t>
      </w:r>
    </w:p>
    <w:p>
      <w:pPr>
        <w:spacing w:after="0" w:line="119" w:lineRule="exact"/>
        <w:rPr>
          <w:rFonts w:ascii="Arial" w:cs="Arial" w:eastAsia="Arial" w:hAnsi="Arial"/>
          <w:sz w:val="17"/>
          <w:szCs w:val="17"/>
          <w:color w:val="auto"/>
        </w:rPr>
      </w:pPr>
    </w:p>
    <w:p>
      <w:pPr>
        <w:ind w:left="880" w:right="520" w:hanging="369"/>
        <w:spacing w:after="0" w:line="286"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new developments in law, regulations and industry standards on privacy and data protection regimes, including increased visibility of consent mechanisms as a result of these legal, regulatory or industry developments;</w:t>
      </w:r>
    </w:p>
    <w:p>
      <w:pPr>
        <w:spacing w:after="0" w:line="119" w:lineRule="exact"/>
        <w:rPr>
          <w:rFonts w:ascii="Arial" w:cs="Arial" w:eastAsia="Arial" w:hAnsi="Arial"/>
          <w:sz w:val="17"/>
          <w:szCs w:val="17"/>
          <w:color w:val="auto"/>
        </w:rPr>
      </w:pPr>
    </w:p>
    <w:p>
      <w:pPr>
        <w:ind w:left="880" w:hanging="369"/>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failure of our network or software systems, or the network or software systems of marketers;</w:t>
      </w:r>
    </w:p>
    <w:p>
      <w:pPr>
        <w:spacing w:after="0" w:line="181" w:lineRule="exact"/>
        <w:rPr>
          <w:rFonts w:ascii="Arial" w:cs="Arial" w:eastAsia="Arial" w:hAnsi="Arial"/>
          <w:sz w:val="17"/>
          <w:szCs w:val="17"/>
          <w:color w:val="auto"/>
        </w:rPr>
      </w:pPr>
    </w:p>
    <w:p>
      <w:pPr>
        <w:ind w:left="880" w:right="240" w:hanging="369"/>
        <w:spacing w:after="0" w:line="286"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119" w:lineRule="exact"/>
        <w:rPr>
          <w:rFonts w:ascii="Arial" w:cs="Arial" w:eastAsia="Arial" w:hAnsi="Arial"/>
          <w:sz w:val="17"/>
          <w:szCs w:val="17"/>
          <w:color w:val="auto"/>
        </w:rPr>
      </w:pPr>
    </w:p>
    <w:p>
      <w:pPr>
        <w:ind w:left="880" w:right="300" w:hanging="369"/>
        <w:spacing w:after="0" w:line="286"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relationship with our data partners or certain key data sources, including major internet companies in China, which may stop providing or be unable to provide us data on terms acceptable to us; and</w:t>
      </w:r>
    </w:p>
    <w:p>
      <w:pPr>
        <w:spacing w:after="0" w:line="119" w:lineRule="exact"/>
        <w:rPr>
          <w:rFonts w:ascii="Arial" w:cs="Arial" w:eastAsia="Arial" w:hAnsi="Arial"/>
          <w:sz w:val="17"/>
          <w:szCs w:val="17"/>
          <w:color w:val="auto"/>
        </w:rPr>
      </w:pPr>
    </w:p>
    <w:p>
      <w:pPr>
        <w:ind w:left="880" w:hanging="369"/>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interruptions, failures or defects in our data collection, mining, analysis and storage systems.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15" w:name="page16"/>
    <w:bookmarkEnd w:id="15"/>
    <w:p>
      <w:pPr>
        <w:ind w:right="280" w:firstLine="513"/>
        <w:spacing w:after="0" w:line="270" w:lineRule="auto"/>
        <w:rPr>
          <w:sz w:val="20"/>
          <w:szCs w:val="20"/>
          <w:color w:val="auto"/>
        </w:rPr>
      </w:pPr>
      <w:r>
        <w:rPr>
          <w:rFonts w:ascii="Arial" w:cs="Arial" w:eastAsia="Arial" w:hAnsi="Arial"/>
          <w:sz w:val="17"/>
          <w:szCs w:val="17"/>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13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Blocking or deletion of cookies or other modifications to privacy settings on PCs and mobile devices could impair our data collection and effectiveness of our solutions.</w:t>
      </w:r>
    </w:p>
    <w:p>
      <w:pPr>
        <w:spacing w:after="0" w:line="133" w:lineRule="exact"/>
        <w:rPr>
          <w:sz w:val="20"/>
          <w:szCs w:val="20"/>
          <w:color w:val="auto"/>
        </w:rPr>
      </w:pPr>
    </w:p>
    <w:p>
      <w:pPr>
        <w:ind w:right="40" w:firstLine="511"/>
        <w:spacing w:after="0" w:line="295" w:lineRule="auto"/>
        <w:rPr>
          <w:sz w:val="20"/>
          <w:szCs w:val="20"/>
          <w:color w:val="auto"/>
        </w:rPr>
      </w:pPr>
      <w:r>
        <w:rPr>
          <w:rFonts w:ascii="Arial" w:cs="Arial" w:eastAsia="Arial" w:hAnsi="Arial"/>
          <w:sz w:val="15"/>
          <w:szCs w:val="15"/>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19" w:lineRule="exact"/>
        <w:rPr>
          <w:sz w:val="20"/>
          <w:szCs w:val="20"/>
          <w:color w:val="auto"/>
        </w:rPr>
      </w:pPr>
    </w:p>
    <w:p>
      <w:pPr>
        <w:ind w:right="20" w:firstLine="513"/>
        <w:spacing w:after="0" w:line="283"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12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b w:val="1"/>
          <w:bCs w:val="1"/>
          <w:i w:val="1"/>
          <w:iCs w:val="1"/>
          <w:color w:val="auto"/>
        </w:rPr>
        <w:t>If we fail to maintain or renew the value-added telecommunication license, or fail to obtain other requisite license, or approvals or filings in China, the business carried out by certain consolidated entity may be materially and adversely affected.</w:t>
      </w:r>
    </w:p>
    <w:p>
      <w:pPr>
        <w:spacing w:after="0" w:line="133" w:lineRule="exact"/>
        <w:rPr>
          <w:sz w:val="20"/>
          <w:szCs w:val="20"/>
          <w:color w:val="auto"/>
        </w:rPr>
      </w:pPr>
    </w:p>
    <w:p>
      <w:pPr>
        <w:ind w:firstLine="513"/>
        <w:spacing w:after="0" w:line="278" w:lineRule="auto"/>
        <w:rPr>
          <w:sz w:val="20"/>
          <w:szCs w:val="20"/>
          <w:color w:val="auto"/>
        </w:rPr>
      </w:pPr>
      <w:r>
        <w:rPr>
          <w:rFonts w:ascii="Arial" w:cs="Arial" w:eastAsia="Arial" w:hAnsi="Arial"/>
          <w:sz w:val="16"/>
          <w:szCs w:val="16"/>
          <w:color w:val="auto"/>
        </w:rPr>
        <w:t>In November 2018, we, through OptAim Network, our variable interest entity, or VIE, made a controlling investment in Shanghai Myhayo Technology Co., Ltd., or Myhayo, a content distribution channel and a mobile content aggregator of articles and short videos in China. Myhayo presents customized feeds to users via its mobile application and allows users to earn points from their daily access to the app, which could be used to redeem cash rewards. 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“Item 4. Information on the Company—B. Business Overview—Regulations—Regulations on Value-added Telecommunication Services” and “—Regulations on Internet Content Providers.” It is unclear whether Myhayo’s business model would render it a commercial operator of value-added telecommunication service provider under the relevant PRC laws.</w:t>
      </w:r>
    </w:p>
    <w:p>
      <w:pPr>
        <w:spacing w:after="0" w:line="129" w:lineRule="exact"/>
        <w:rPr>
          <w:sz w:val="20"/>
          <w:szCs w:val="20"/>
          <w:color w:val="auto"/>
        </w:rPr>
      </w:pPr>
    </w:p>
    <w:p>
      <w:pPr>
        <w:ind w:right="40" w:firstLine="513"/>
        <w:spacing w:after="0" w:line="278" w:lineRule="auto"/>
        <w:rPr>
          <w:sz w:val="20"/>
          <w:szCs w:val="20"/>
          <w:color w:val="auto"/>
        </w:rPr>
      </w:pPr>
      <w:r>
        <w:rPr>
          <w:rFonts w:ascii="Arial" w:cs="Arial" w:eastAsia="Arial" w:hAnsi="Arial"/>
          <w:sz w:val="16"/>
          <w:szCs w:val="16"/>
          <w:color w:val="auto"/>
        </w:rPr>
        <w:t>In August 2019, Myhayo obtained the value-added telecommunication license that has a validity term of five years from the relevant local counterpart of the Ministry of Industry and Information Technology, or MIIT. We are subject to ongoing obligations and continued regulatory review. If we fail to maintain or renew the value-added telecommunication license, or fail to obtain any additional licenses and permits or make any records or filings required by new laws, regulations or executive orders in a timely manner or at all, we could be subject to liabilities or penalties, and we may have to change our business models, and our operations could be adversely affected. In addition, new laws and regulations may be adopted from time to time to address new issues that come to the authorities’ attention, which may require us to obtain new license and permits, or take certain actions that may adversely affect our business operations. We may not timely obtain or maintain all the required licenses or approvals or make all the necessary filings. Nor can we assure you that we will be able to timely address all the change in policy, failure of which may subject us to liabilities or penalties, and our operations could be adversely affected.</w:t>
      </w:r>
    </w:p>
    <w:p>
      <w:pPr>
        <w:spacing w:after="0" w:line="27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Content displayed on our platform and the mobile application may be found objectionable by PRC regulatory authorities and may subject us to penalties and other administrative actions.</w:t>
      </w:r>
    </w:p>
    <w:p>
      <w:pPr>
        <w:spacing w:after="0" w:line="54" w:lineRule="exact"/>
        <w:rPr>
          <w:sz w:val="20"/>
          <w:szCs w:val="20"/>
          <w:color w:val="auto"/>
        </w:rPr>
      </w:pPr>
    </w:p>
    <w:p>
      <w:pPr>
        <w:jc w:val="both"/>
        <w:ind w:right="220" w:firstLine="513"/>
        <w:spacing w:after="0" w:line="270" w:lineRule="auto"/>
        <w:rPr>
          <w:sz w:val="20"/>
          <w:szCs w:val="20"/>
          <w:color w:val="auto"/>
        </w:rPr>
      </w:pPr>
      <w:r>
        <w:rPr>
          <w:rFonts w:ascii="Arial" w:cs="Arial" w:eastAsia="Arial" w:hAnsi="Arial"/>
          <w:sz w:val="17"/>
          <w:szCs w:val="17"/>
          <w:color w:val="auto"/>
        </w:rPr>
        <w:t>We are subject to PRC regulations governing internet access and other forms of information over the internet. Under these regulations, internet content providers are prohibited from posting over the internet any content that, among other things, violates PRC laws and regulations, impairs the national dignity of China or the public interest, or is obscene, superstitious, frightening,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6" w:name="page17"/>
    <w:bookmarkEnd w:id="16"/>
    <w:p>
      <w:pPr>
        <w:ind w:right="60"/>
        <w:spacing w:after="0" w:line="306" w:lineRule="auto"/>
        <w:rPr>
          <w:sz w:val="20"/>
          <w:szCs w:val="20"/>
          <w:color w:val="auto"/>
        </w:rPr>
      </w:pPr>
      <w:r>
        <w:rPr>
          <w:rFonts w:ascii="Arial" w:cs="Arial" w:eastAsia="Arial" w:hAnsi="Arial"/>
          <w:sz w:val="15"/>
          <w:szCs w:val="15"/>
          <w:color w:val="auto"/>
        </w:rPr>
        <w:t>gruesome, offensive, fraudulent or defamatory. Failure to comply with these requirements may result in monetary penalties, revocation of licenses to provide internet content or other licenses, suspension of the concerned platforms and reputational harm. In addition, these laws and regulations are subject to interpretation by the relevant authorities, and it may not be possible to determine in all cases the types of content that could cause us to be held liable as a content distribution channel and a mobile content aggregator of articles and short videos in China, which presents customized feeds to users via its mobile application. For a detailed discussion, see “Item 4. Information on the Company—B. Business Overview—Regulation—Regulations on Internet Content Providers.”</w:t>
      </w:r>
    </w:p>
    <w:p>
      <w:pPr>
        <w:spacing w:after="0" w:line="149" w:lineRule="exact"/>
        <w:rPr>
          <w:sz w:val="20"/>
          <w:szCs w:val="20"/>
          <w:color w:val="auto"/>
        </w:rPr>
      </w:pPr>
    </w:p>
    <w:p>
      <w:pPr>
        <w:ind w:right="60" w:firstLine="513"/>
        <w:spacing w:after="0" w:line="261" w:lineRule="auto"/>
        <w:rPr>
          <w:sz w:val="20"/>
          <w:szCs w:val="20"/>
          <w:color w:val="auto"/>
        </w:rPr>
      </w:pPr>
      <w:r>
        <w:rPr>
          <w:rFonts w:ascii="Arial" w:cs="Arial" w:eastAsia="Arial" w:hAnsi="Arial"/>
          <w:sz w:val="17"/>
          <w:szCs w:val="17"/>
          <w:color w:val="auto"/>
        </w:rPr>
        <w:t>Internet platform operators may also be held liable for the content displayed on or linked to their platforms that is subject to certain restrictions. Our users may browse professional or user-generated content, such as articles and other content formats. Although we have adopted internal procedures to monitor the content displayed on our mobile application, due to the significant amount of content, we may not be able to identify all the content that may be illegal or otherwise objectionable. In addition, we may not be able to timely update our internal procedures to reflect the latest changes in the PRC government’s requirements for content display. Failure to identify and prevent illegal or inappropriate content from being displayed on our platform and the mobile application may subject us to liability, government sanctions or loss of licenses and/or permits.</w:t>
      </w:r>
    </w:p>
    <w:p>
      <w:pPr>
        <w:spacing w:after="0" w:line="286" w:lineRule="exact"/>
        <w:rPr>
          <w:sz w:val="20"/>
          <w:szCs w:val="20"/>
          <w:color w:val="auto"/>
        </w:rPr>
      </w:pPr>
    </w:p>
    <w:p>
      <w:pPr>
        <w:ind w:right="40"/>
        <w:spacing w:after="0" w:line="354" w:lineRule="auto"/>
        <w:rPr>
          <w:sz w:val="20"/>
          <w:szCs w:val="20"/>
          <w:color w:val="auto"/>
        </w:rPr>
      </w:pPr>
      <w:r>
        <w:rPr>
          <w:rFonts w:ascii="Arial" w:cs="Arial" w:eastAsia="Arial" w:hAnsi="Arial"/>
          <w:sz w:val="14"/>
          <w:szCs w:val="14"/>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threats of lawsuits, enforcement actions for compliance failures, result in declines in user growth or engagement, restrict portions of our business or cause us to change our technology platform or business model.</w:t>
      </w:r>
    </w:p>
    <w:p>
      <w:pPr>
        <w:spacing w:after="0" w:line="16" w:lineRule="exact"/>
        <w:rPr>
          <w:sz w:val="20"/>
          <w:szCs w:val="20"/>
          <w:color w:val="auto"/>
        </w:rPr>
      </w:pPr>
    </w:p>
    <w:p>
      <w:pPr>
        <w:ind w:right="80" w:firstLine="513"/>
        <w:spacing w:after="0" w:line="279" w:lineRule="auto"/>
        <w:rPr>
          <w:sz w:val="20"/>
          <w:szCs w:val="20"/>
          <w:color w:val="auto"/>
        </w:rPr>
      </w:pPr>
      <w:r>
        <w:rPr>
          <w:rFonts w:ascii="Arial" w:cs="Arial" w:eastAsia="Arial" w:hAnsi="Arial"/>
          <w:sz w:val="16"/>
          <w:szCs w:val="16"/>
          <w:color w:val="auto"/>
        </w:rPr>
        <w:t>Governments around the world, including the PRC, Hong Kong, U.S. and European Union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68" w:lineRule="exact"/>
        <w:rPr>
          <w:sz w:val="20"/>
          <w:szCs w:val="20"/>
          <w:color w:val="auto"/>
        </w:rPr>
      </w:pPr>
    </w:p>
    <w:p>
      <w:pPr>
        <w:ind w:right="20" w:firstLine="513"/>
        <w:spacing w:after="0" w:line="270" w:lineRule="auto"/>
        <w:rPr>
          <w:sz w:val="20"/>
          <w:szCs w:val="20"/>
          <w:color w:val="auto"/>
        </w:rPr>
      </w:pPr>
      <w:r>
        <w:rPr>
          <w:rFonts w:ascii="Arial" w:cs="Arial" w:eastAsia="Arial" w:hAnsi="Arial"/>
          <w:sz w:val="17"/>
          <w:szCs w:val="17"/>
          <w:color w:val="auto"/>
        </w:rPr>
        <w:t>We primarily target Chinese language internet users in China for our marketers from all over the world. Through our enterprise solutions, we also access and gather data of users outside China as clients adopt our enterprise solutions. As a result, we may be directly or indirectly subject to the laws and regulations on online marketing, including data and privacy laws, of multiple jurisdictions.</w:t>
      </w:r>
    </w:p>
    <w:p>
      <w:pPr>
        <w:spacing w:after="0" w:line="173" w:lineRule="exact"/>
        <w:rPr>
          <w:sz w:val="20"/>
          <w:szCs w:val="20"/>
          <w:color w:val="auto"/>
        </w:rPr>
      </w:pPr>
    </w:p>
    <w:p>
      <w:pPr>
        <w:ind w:firstLine="513"/>
        <w:spacing w:after="0" w:line="273" w:lineRule="auto"/>
        <w:rPr>
          <w:sz w:val="20"/>
          <w:szCs w:val="20"/>
          <w:color w:val="auto"/>
        </w:rPr>
      </w:pPr>
      <w:r>
        <w:rPr>
          <w:rFonts w:ascii="Arial" w:cs="Arial" w:eastAsia="Arial" w:hAnsi="Arial"/>
          <w:sz w:val="16"/>
          <w:szCs w:val="16"/>
          <w:color w:val="auto"/>
        </w:rPr>
        <w:t>In recent years, the PRC government has enacted legislation on internet use to protect personal information from any unauthorized disclosure. For example, on February 1, 2013, China’s first set of personal data protection guidelines, the Guidelines for Personal Information Protection in Information Security Technology Public and Commercial Service Systems, came into effect, which set forth detailed personal information protection requirements on data collection, data processing, data transfer and data creation. Although these guidelines are voluntary and non-binding, we believe that growing regulatory oversight of data privacy in China is inevitable. In addition, Amendment 7 to the PRC Criminal Law prohibits institutions, companies and their employees in the telecommunications and other industries from selling or otherwise illegally disclosing a citizen’s personal information obtained during the course of performing duties or providing services or obtaining such information through theft or other illegal ways. On November 7, 2016, the Standing Committee of the PRC National People’s Congress issued the Cyber Security Law of the PRC, which became effective on June 1, 2017. Pursuant to the Cyber Security Law of the PRC, providers of network products and services shall provide security maintenance for their products and services and shall comply with provisions regarding the protection of personal information as stipulated under the relevant laws and regulations. Moreover, the Provisions on Protection of Personal Information of Telecommunication and Internet Users is the specific regulation governing the collection, use, disclosure and security of personal information. Complying with these PRC laws and regulations may cause us to incur substantial costs or require us to change our business practices. Furthermore, the Personal Information Security Specification, or the China Specification, came into force on May 1, 2018. Although the China Specification is not a mandatory regulation, it nonetheless has a key implementing role in relation to China’s Cyber Security Law in respect of protecting personal information in China. It is likely that the China Specification will be relied on by Chinese government agencies as a standard to determine whether businesses have abided by China’s data protection rules. The China Specification has broadened the scope of personal sensitive information, or PSI, including but not limited to phone number, transaction record and purchase history, bank account, browse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subject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17" w:name="page18"/>
    <w:bookmarkEnd w:id="17"/>
    <w:p>
      <w:pPr>
        <w:ind w:right="140" w:firstLine="513"/>
        <w:spacing w:after="0" w:line="356" w:lineRule="auto"/>
        <w:rPr>
          <w:sz w:val="20"/>
          <w:szCs w:val="20"/>
          <w:color w:val="auto"/>
        </w:rPr>
      </w:pPr>
      <w:r>
        <w:rPr>
          <w:rFonts w:ascii="Arial" w:cs="Arial" w:eastAsia="Arial" w:hAnsi="Arial"/>
          <w:sz w:val="15"/>
          <w:szCs w:val="15"/>
          <w:color w:val="auto"/>
        </w:rPr>
        <w:t>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w:t>
      </w:r>
    </w:p>
    <w:p>
      <w:pPr>
        <w:spacing w:after="0" w:line="113" w:lineRule="exact"/>
        <w:rPr>
          <w:sz w:val="20"/>
          <w:szCs w:val="20"/>
          <w:color w:val="auto"/>
        </w:rPr>
      </w:pPr>
    </w:p>
    <w:p>
      <w:pPr>
        <w:ind w:right="200" w:firstLine="513"/>
        <w:spacing w:after="0" w:line="263" w:lineRule="auto"/>
        <w:rPr>
          <w:sz w:val="20"/>
          <w:szCs w:val="20"/>
          <w:color w:val="auto"/>
        </w:rPr>
      </w:pPr>
      <w:r>
        <w:rPr>
          <w:rFonts w:ascii="Arial" w:cs="Arial" w:eastAsia="Arial" w:hAnsi="Arial"/>
          <w:sz w:val="17"/>
          <w:szCs w:val="17"/>
          <w:color w:val="auto"/>
        </w:rPr>
        <w:t>In the U.S., all 50 states have now passed laws to regulate the actions that a business must take in the event of a data breach, such as prompt disclosure and notification to affected users and regulatory authorities. In addition to the data breach notification laws, some states have also enacted statutes and rules requiring businesses to reasonably protect certain types of personal information they hold or to otherwise comply with certain specified data security requirements for personal information. Additionally, the U.S. government has announced that it is reviewing the need for greater regulation of the collection of consumer information, including regulation aimed at restricting some targeted advertising practices.</w:t>
      </w:r>
    </w:p>
    <w:p>
      <w:pPr>
        <w:spacing w:after="0" w:line="178" w:lineRule="exact"/>
        <w:rPr>
          <w:sz w:val="20"/>
          <w:szCs w:val="20"/>
          <w:color w:val="auto"/>
        </w:rPr>
      </w:pPr>
    </w:p>
    <w:p>
      <w:pPr>
        <w:ind w:right="40" w:firstLine="513"/>
        <w:spacing w:after="0" w:line="273" w:lineRule="auto"/>
        <w:rPr>
          <w:sz w:val="20"/>
          <w:szCs w:val="20"/>
          <w:color w:val="auto"/>
        </w:rPr>
      </w:pPr>
      <w:r>
        <w:rPr>
          <w:rFonts w:ascii="Arial" w:cs="Arial" w:eastAsia="Arial" w:hAnsi="Arial"/>
          <w:sz w:val="16"/>
          <w:szCs w:val="16"/>
          <w:color w:val="auto"/>
        </w:rPr>
        <w:t>In the European Union, or EU, to the extent it is applicable to the processing operations carried out in the course of our activities, the General Data Protection Regulation, or the GDPR, which became applicable on May 25, 2018, has a broad territorial scope affecting the processing of personal data by companies outside of the EU offering goods and services to, or monitoring the behavior of, individuals in the EU. The GDPR introduces new obligations for subject companies in the area of privacy and data protection. The GDPR implements more stringent legal and operational requirements for both processors and controllers of personal data, including, for example, requiring expanded disclosures about how personal information is to be used, limitations on retention of information, new rights for data subjects with respect to their data (including by enabling them to exercise rights to erasure and data portability), mandatory data breach notification requirements, and higher standards for data controllers to demonstrate that they have obtained either valid consent or have another legal basis in place to justify their data processing activities. The GDPR further provides that EU member states may make their own additional laws and regulations in relation to certain data processing activities, which could further limit our ability to use and share personal data and could require localized changes to our operating model. Under the GDPR, fines of up to a 20 million or up to 4% of the total worldwide annual turnover of the preceding financial year, whichever is higher, may be imposed in certain cases of non-compliance. Since the GDPR has just recently become applicable, the potential risks associated with non-compliance therewith are uniquely difficult to predict. Moreover and to the extent the GDPR is applicable, the implementation of the GDPR may require amendments to our procedures and policies or the agreements we have with our service providers and clients, and these changes could impact our business by increasing its operational and compliance costs. The EU has also released a proposed Regulation on Privacy and Electronic Communications, or the e-Privacy Regulation, to replace the EU’s current Privacy and Electronic Communications Directive, or the e-Privacy Directive, to, among other things, achieve a greater harmonization among EU member states and better align the rules governing electronic communications (e.g., in relation to the use of cookies and other tracking technologies and protection against spam) with the requirements of the GDPR. While the ePrivacy Regulation was originally intended to be adopted on May 25, 2018 (alongside the GDPR), it is still going through the European legislative process and commentators now expect it to be adopted by the end of 2020. The current draft of the ePrivacy Regulation imposes strict opt-in e-marketing rules with limited exceptions to business to business communications and significantly increases fining powers to the same levels as GDPR of cookies and web beacons may lead to broader restrictions on our online activities, including efforts to understand followers’ internet usage and promote ourselves to them.</w:t>
      </w:r>
    </w:p>
    <w:p>
      <w:pPr>
        <w:spacing w:after="0" w:line="184" w:lineRule="exact"/>
        <w:rPr>
          <w:sz w:val="20"/>
          <w:szCs w:val="20"/>
          <w:color w:val="auto"/>
        </w:rPr>
      </w:pPr>
    </w:p>
    <w:p>
      <w:pPr>
        <w:ind w:right="60" w:firstLine="513"/>
        <w:spacing w:after="0" w:line="261" w:lineRule="auto"/>
        <w:rPr>
          <w:sz w:val="20"/>
          <w:szCs w:val="20"/>
          <w:color w:val="auto"/>
        </w:rPr>
      </w:pPr>
      <w:r>
        <w:rPr>
          <w:rFonts w:ascii="Arial" w:cs="Arial" w:eastAsia="Arial" w:hAnsi="Arial"/>
          <w:sz w:val="17"/>
          <w:szCs w:val="17"/>
          <w:color w:val="auto"/>
        </w:rPr>
        <w:t>Outside of the U.S. and the EU, many jurisdictions have adopted or are adopting new data privacy and data protection laws that may impose further onerous compliance requirements, such as data localization, which prohibits companies from storing outside the jurisdiction data relating to resident individuals in data centers outside the jurisdiction. The proliferation of such laws within the jurisdictions and countries in which we operate may result in conflicting and contradictory requirements, particularly in relation to evolving technologies such as cloud computing. Any failure to successfully navigate the changing regulatory landscape could result in legal liability or impairment to our reputation in the marketplace, which could have a material adverse effect on our business and operations.</w:t>
      </w:r>
    </w:p>
    <w:p>
      <w:pPr>
        <w:spacing w:after="0" w:line="182" w:lineRule="exact"/>
        <w:rPr>
          <w:sz w:val="20"/>
          <w:szCs w:val="20"/>
          <w:color w:val="auto"/>
        </w:rPr>
      </w:pPr>
    </w:p>
    <w:p>
      <w:pPr>
        <w:ind w:firstLine="513"/>
        <w:spacing w:after="0" w:line="296" w:lineRule="auto"/>
        <w:rPr>
          <w:sz w:val="20"/>
          <w:szCs w:val="20"/>
          <w:color w:val="auto"/>
        </w:rPr>
      </w:pPr>
      <w:r>
        <w:rPr>
          <w:rFonts w:ascii="Arial" w:cs="Arial" w:eastAsia="Arial" w:hAnsi="Arial"/>
          <w:sz w:val="15"/>
          <w:szCs w:val="15"/>
          <w:color w:val="auto"/>
        </w:rPr>
        <w:t>While we strive to comply with all applicable laws and regulations relating to privacy and data collection, processing, use, and disclosure applicable to us, it is possible that our practices are and will continue to be, inconsistent with certain regulatory requirements.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data protection and privacy laws or to provide adequate notice and/or obtain consent from end users. In addition, some of our content distribution channels require us to indemnify and hold them harmless from the costs or consequences of litigation resulting from using their networks. Any proceeding, claims or lawsuits initiated by governmental bodies, customers or other third parties, whether meritorious or not, or perception of concerns relating to our collection, use, disclosure, and retention of data, including our security measures applicable to the data we collect, whether or not valid, could harm our reputation, force us to spend significant amounts and time on defense of these proceedings, give rise to significant fines, liabilities and damage awards, distract our management, change our business practices, increase our costs of doing business, inhibit the use of our solutions, harm our ability to keep existing customers or attract new customers, or otherwise materially and adversely affect our business, results of operations and prospects.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18" w:name="page19"/>
    <w:bookmarkEnd w:id="18"/>
    <w:p>
      <w:pPr>
        <w:ind w:right="420"/>
        <w:spacing w:after="0" w:line="286"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54" w:lineRule="exact"/>
        <w:rPr>
          <w:sz w:val="20"/>
          <w:szCs w:val="20"/>
          <w:color w:val="auto"/>
        </w:rPr>
      </w:pPr>
    </w:p>
    <w:p>
      <w:pPr>
        <w:ind w:right="40" w:firstLine="513"/>
        <w:spacing w:after="0" w:line="287"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61" w:lineRule="exact"/>
        <w:rPr>
          <w:sz w:val="20"/>
          <w:szCs w:val="20"/>
          <w:color w:val="auto"/>
        </w:rPr>
      </w:pPr>
    </w:p>
    <w:p>
      <w:pPr>
        <w:ind w:firstLine="513"/>
        <w:spacing w:after="0" w:line="275"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76" w:lineRule="exact"/>
        <w:rPr>
          <w:sz w:val="20"/>
          <w:szCs w:val="20"/>
          <w:color w:val="auto"/>
        </w:rPr>
      </w:pPr>
    </w:p>
    <w:p>
      <w:pPr>
        <w:ind w:firstLine="513"/>
        <w:spacing w:after="0" w:line="259" w:lineRule="auto"/>
        <w:rPr>
          <w:sz w:val="20"/>
          <w:szCs w:val="20"/>
          <w:color w:val="auto"/>
        </w:rPr>
      </w:pPr>
      <w:r>
        <w:rPr>
          <w:rFonts w:ascii="Arial" w:cs="Arial" w:eastAsia="Arial" w:hAnsi="Arial"/>
          <w:sz w:val="17"/>
          <w:szCs w:val="17"/>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grow efficiently to meet our clients’ increasing needs, our operating results could be harmed.</w:t>
      </w:r>
    </w:p>
    <w:p>
      <w:pPr>
        <w:spacing w:after="0" w:line="117" w:lineRule="exact"/>
        <w:rPr>
          <w:sz w:val="20"/>
          <w:szCs w:val="20"/>
          <w:color w:val="auto"/>
        </w:rPr>
      </w:pPr>
    </w:p>
    <w:p>
      <w:pPr>
        <w:ind w:right="160" w:firstLine="513"/>
        <w:spacing w:after="0" w:line="260" w:lineRule="auto"/>
        <w:rPr>
          <w:sz w:val="20"/>
          <w:szCs w:val="20"/>
          <w:color w:val="auto"/>
        </w:rPr>
      </w:pPr>
      <w:r>
        <w:rPr>
          <w:rFonts w:ascii="Arial" w:cs="Arial" w:eastAsia="Arial" w:hAnsi="Arial"/>
          <w:sz w:val="17"/>
          <w:szCs w:val="17"/>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account services, our business and reputation may suffer.</w:t>
      </w:r>
    </w:p>
    <w:p>
      <w:pPr>
        <w:spacing w:after="0" w:line="117" w:lineRule="exact"/>
        <w:rPr>
          <w:sz w:val="20"/>
          <w:szCs w:val="20"/>
          <w:color w:val="auto"/>
        </w:rPr>
      </w:pPr>
    </w:p>
    <w:p>
      <w:pPr>
        <w:jc w:val="both"/>
        <w:ind w:right="40" w:firstLine="513"/>
        <w:spacing w:after="0" w:line="263" w:lineRule="auto"/>
        <w:rPr>
          <w:sz w:val="20"/>
          <w:szCs w:val="20"/>
          <w:color w:val="auto"/>
        </w:rPr>
      </w:pPr>
      <w:r>
        <w:rPr>
          <w:rFonts w:ascii="Arial" w:cs="Arial" w:eastAsia="Arial" w:hAnsi="Arial"/>
          <w:sz w:val="17"/>
          <w:szCs w:val="17"/>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19" w:name="page20"/>
    <w:bookmarkEnd w:id="19"/>
    <w:p>
      <w:pPr>
        <w:ind w:right="480"/>
        <w:spacing w:after="0" w:line="286" w:lineRule="auto"/>
        <w:rPr>
          <w:sz w:val="20"/>
          <w:szCs w:val="20"/>
          <w:color w:val="auto"/>
        </w:rPr>
      </w:pPr>
      <w:r>
        <w:rPr>
          <w:rFonts w:ascii="Arial" w:cs="Arial" w:eastAsia="Arial" w:hAnsi="Arial"/>
          <w:sz w:val="17"/>
          <w:szCs w:val="17"/>
          <w:b w:val="1"/>
          <w:bCs w:val="1"/>
          <w:i w:val="1"/>
          <w:iCs w:val="1"/>
          <w:color w:val="auto"/>
        </w:rPr>
        <w:t>If we fail to offer high-quality technical support services under enterprise solutions, our relationships with our clients and our financial results may be adversely affected.</w:t>
      </w:r>
    </w:p>
    <w:p>
      <w:pPr>
        <w:spacing w:after="0" w:line="54" w:lineRule="exact"/>
        <w:rPr>
          <w:sz w:val="20"/>
          <w:szCs w:val="20"/>
          <w:color w:val="auto"/>
        </w:rPr>
      </w:pPr>
    </w:p>
    <w:p>
      <w:pPr>
        <w:ind w:right="100" w:firstLine="513"/>
        <w:spacing w:after="0" w:line="261" w:lineRule="auto"/>
        <w:rPr>
          <w:sz w:val="20"/>
          <w:szCs w:val="20"/>
          <w:color w:val="auto"/>
        </w:rPr>
      </w:pPr>
      <w:r>
        <w:rPr>
          <w:rFonts w:ascii="Arial" w:cs="Arial" w:eastAsia="Arial" w:hAnsi="Arial"/>
          <w:sz w:val="17"/>
          <w:szCs w:val="17"/>
          <w:color w:val="auto"/>
        </w:rPr>
        <w:t>Our clients on enterprise solution will depend on our support organization to resolve technical issues relating to our applications. We may be unable to respond quickly enough to accommodate short-term increases in their demand for support services. Increased demand for these services, without corresponding revenues, could increase costs and adversely affect our operating results. In addition, our sales growth can be highly dependent on our applications and business reputation and on positive recommendations from clients. Any failure to maintain high-quality technical support, or a market perception that we do not maintain high-quality support, could adversely affect our reputation, our ability to sell our service offerings to existing and prospective customers, and our business, operating results and financial position.</w:t>
      </w:r>
    </w:p>
    <w:p>
      <w:pPr>
        <w:spacing w:after="0" w:line="286"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54" w:lineRule="exact"/>
        <w:rPr>
          <w:sz w:val="20"/>
          <w:szCs w:val="20"/>
          <w:color w:val="auto"/>
        </w:rPr>
      </w:pPr>
    </w:p>
    <w:p>
      <w:pPr>
        <w:ind w:right="40" w:firstLine="513"/>
        <w:spacing w:after="0" w:line="278"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firstLine="513"/>
        <w:spacing w:after="0" w:line="277" w:lineRule="auto"/>
        <w:rPr>
          <w:sz w:val="20"/>
          <w:szCs w:val="20"/>
          <w:color w:val="auto"/>
        </w:rPr>
      </w:pPr>
      <w:r>
        <w:rPr>
          <w:rFonts w:ascii="Arial" w:cs="Arial" w:eastAsia="Arial" w:hAnsi="Arial"/>
          <w:sz w:val="16"/>
          <w:szCs w:val="16"/>
          <w:color w:val="auto"/>
        </w:rPr>
        <w:t>As of December 31, 2019, we held two patents and 40 computer software copyrights in China, and 22 registered trademarks in China and Hong Kong. 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w:t>
      </w:r>
    </w:p>
    <w:p>
      <w:pPr>
        <w:spacing w:after="0" w:line="170" w:lineRule="exact"/>
        <w:rPr>
          <w:sz w:val="20"/>
          <w:szCs w:val="20"/>
          <w:color w:val="auto"/>
        </w:rPr>
      </w:pPr>
    </w:p>
    <w:p>
      <w:pPr>
        <w:ind w:right="200" w:firstLine="513"/>
        <w:spacing w:after="0" w:line="270" w:lineRule="auto"/>
        <w:rPr>
          <w:sz w:val="20"/>
          <w:szCs w:val="20"/>
          <w:color w:val="auto"/>
        </w:rPr>
      </w:pPr>
      <w:r>
        <w:rPr>
          <w:rFonts w:ascii="Arial" w:cs="Arial" w:eastAsia="Arial" w:hAnsi="Arial"/>
          <w:sz w:val="17"/>
          <w:szCs w:val="17"/>
          <w:color w:val="auto"/>
        </w:rPr>
        <w:t>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7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Our business may suffer if it is alleged or determined that our technologies or any other aspects of our business infringe on the intellectual property rights of others.</w:t>
      </w:r>
    </w:p>
    <w:p>
      <w:pPr>
        <w:spacing w:after="0" w:line="54" w:lineRule="exact"/>
        <w:rPr>
          <w:sz w:val="20"/>
          <w:szCs w:val="20"/>
          <w:color w:val="auto"/>
        </w:rPr>
      </w:pPr>
    </w:p>
    <w:p>
      <w:pPr>
        <w:ind w:right="60" w:firstLine="513"/>
        <w:spacing w:after="0" w:line="276"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20" w:name="page21"/>
    <w:bookmarkEnd w:id="20"/>
    <w:p>
      <w:pPr>
        <w:ind w:right="20" w:firstLine="513"/>
        <w:spacing w:after="0" w:line="275" w:lineRule="auto"/>
        <w:rPr>
          <w:sz w:val="20"/>
          <w:szCs w:val="20"/>
          <w:color w:val="auto"/>
        </w:rPr>
      </w:pPr>
      <w:r>
        <w:rPr>
          <w:rFonts w:ascii="Arial" w:cs="Arial" w:eastAsia="Arial" w:hAnsi="Arial"/>
          <w:sz w:val="16"/>
          <w:szCs w:val="16"/>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77"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31" w:lineRule="exact"/>
        <w:rPr>
          <w:sz w:val="20"/>
          <w:szCs w:val="20"/>
          <w:color w:val="auto"/>
        </w:rPr>
      </w:pPr>
    </w:p>
    <w:p>
      <w:pPr>
        <w:jc w:val="both"/>
        <w:ind w:right="220" w:firstLine="513"/>
        <w:spacing w:after="0" w:line="270" w:lineRule="auto"/>
        <w:rPr>
          <w:sz w:val="20"/>
          <w:szCs w:val="20"/>
          <w:color w:val="auto"/>
        </w:rPr>
      </w:pPr>
      <w:r>
        <w:rPr>
          <w:rFonts w:ascii="Arial" w:cs="Arial" w:eastAsia="Arial" w:hAnsi="Arial"/>
          <w:sz w:val="17"/>
          <w:szCs w:val="17"/>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w:t>
      </w:r>
    </w:p>
    <w:p>
      <w:pPr>
        <w:spacing w:after="0" w:line="173" w:lineRule="exact"/>
        <w:rPr>
          <w:sz w:val="20"/>
          <w:szCs w:val="20"/>
          <w:color w:val="auto"/>
        </w:rPr>
      </w:pPr>
    </w:p>
    <w:p>
      <w:pPr>
        <w:ind w:right="240" w:firstLine="513"/>
        <w:spacing w:after="0" w:line="270" w:lineRule="auto"/>
        <w:rPr>
          <w:sz w:val="20"/>
          <w:szCs w:val="20"/>
          <w:color w:val="auto"/>
        </w:rPr>
      </w:pPr>
      <w:r>
        <w:rPr>
          <w:rFonts w:ascii="Arial" w:cs="Arial" w:eastAsia="Arial" w:hAnsi="Arial"/>
          <w:sz w:val="17"/>
          <w:szCs w:val="17"/>
          <w:color w:val="auto"/>
        </w:rPr>
        <w:t>In November 2018, we made a controlling investment in Myhayo, a content distribution channel and a mobile content aggregator of articles and short videos in the PRC, which presents customized feeds to users via its mobile application, as we seeks to increase our market shares in the PRC online marketing segment, particularly in relation to mobile platforms.</w:t>
      </w:r>
    </w:p>
    <w:p>
      <w:pPr>
        <w:spacing w:after="0" w:line="173" w:lineRule="exact"/>
        <w:rPr>
          <w:sz w:val="20"/>
          <w:szCs w:val="20"/>
          <w:color w:val="auto"/>
        </w:rPr>
      </w:pPr>
    </w:p>
    <w:p>
      <w:pPr>
        <w:ind w:right="100" w:firstLine="513"/>
        <w:spacing w:after="0" w:line="263" w:lineRule="auto"/>
        <w:rPr>
          <w:sz w:val="20"/>
          <w:szCs w:val="20"/>
          <w:color w:val="auto"/>
        </w:rPr>
      </w:pPr>
      <w:r>
        <w:rPr>
          <w:rFonts w:ascii="Arial" w:cs="Arial" w:eastAsia="Arial" w:hAnsi="Arial"/>
          <w:sz w:val="17"/>
          <w:szCs w:val="17"/>
          <w:color w:val="auto"/>
        </w:rPr>
        <w:t>In January 2019, we made a controlling investment in Changyi, as we seeks to extend our client solutions beyond the core digital marketing business, addressing enterprise needs in China, particularly in the emerging area of New Retail—an expanding and innovative market involving the combination of online and offline solutions. There can be no assurance that we will successfully enhance our enterprise solutions and go beyond our core digital marketing business by integrating, utilizing and leveraging Changyi’s intelligent retail and CRM solutions, which may adversely affect our ability to achieve growth and business objectives, and have a material effect upon our business and results of operations.</w:t>
      </w:r>
    </w:p>
    <w:p>
      <w:pPr>
        <w:spacing w:after="0" w:line="178" w:lineRule="exact"/>
        <w:rPr>
          <w:sz w:val="20"/>
          <w:szCs w:val="20"/>
          <w:color w:val="auto"/>
        </w:rPr>
      </w:pPr>
    </w:p>
    <w:p>
      <w:pPr>
        <w:ind w:firstLine="513"/>
        <w:spacing w:after="0" w:line="281" w:lineRule="auto"/>
        <w:rPr>
          <w:sz w:val="20"/>
          <w:szCs w:val="20"/>
          <w:color w:val="auto"/>
        </w:rPr>
      </w:pPr>
      <w:r>
        <w:rPr>
          <w:rFonts w:ascii="Arial" w:cs="Arial" w:eastAsia="Arial" w:hAnsi="Arial"/>
          <w:sz w:val="16"/>
          <w:szCs w:val="16"/>
          <w:color w:val="auto"/>
        </w:rPr>
        <w:t>In February 2020, we agreed to make a controlling investment in Optimal Power Limited, a subsidiary wholly owned by Creative Big Limited. As of the date of this annual report, we are still in the process of negotiating and finalizing the terms of a definitive agreement for this investment, and we expect to complete the investment in the second quarter of 2020. As part of the transaction, Creative Big Limited will inject certain premium media licensing assets into Optimal Power Limited covering a number of jurisdictions in Asia-Pacific. We believe this investment will broaden our content distribution channels and enrich offerings of our online marketing solutions. That said, we cannot assure you that any of these transactions will be executed or consummated on terms favorable or acceptable to us in a timely matter, or at all, or that this investment, if consummated, will enable us to achieve our expected business targets.</w:t>
      </w:r>
    </w:p>
    <w:p>
      <w:pPr>
        <w:spacing w:after="0" w:line="165" w:lineRule="exact"/>
        <w:rPr>
          <w:sz w:val="20"/>
          <w:szCs w:val="20"/>
          <w:color w:val="auto"/>
        </w:rPr>
      </w:pPr>
    </w:p>
    <w:p>
      <w:pPr>
        <w:ind w:right="60" w:firstLine="513"/>
        <w:spacing w:after="0" w:line="278" w:lineRule="auto"/>
        <w:rPr>
          <w:sz w:val="20"/>
          <w:szCs w:val="20"/>
          <w:color w:val="auto"/>
        </w:rPr>
      </w:pPr>
      <w:r>
        <w:rPr>
          <w:rFonts w:ascii="Arial" w:cs="Arial" w:eastAsia="Arial" w:hAnsi="Arial"/>
          <w:sz w:val="16"/>
          <w:szCs w:val="16"/>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acquisitions of OptAim, our strategic investment in Changyi and Optimal Power Limited, involve numerous risks, any of which could harm our business, including:</w:t>
      </w:r>
    </w:p>
    <w:p>
      <w:pPr>
        <w:spacing w:after="0" w:line="64" w:lineRule="exact"/>
        <w:rPr>
          <w:sz w:val="20"/>
          <w:szCs w:val="20"/>
          <w:color w:val="auto"/>
        </w:rPr>
      </w:pPr>
    </w:p>
    <w:p>
      <w:pPr>
        <w:ind w:left="1020" w:right="40" w:hanging="509"/>
        <w:spacing w:after="0" w:line="286"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services and personnel of acquired businesses, especially if those businesses operate outside of our core competency;</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reputation and perception risks associated with the acquired product or technology by the general public;</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ineffectiveness or incompatibility of acquired technologies or solutions;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loss of key employees of acquired businesses;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1" w:name="page22"/>
    <w:bookmarkEnd w:id="21"/>
    <w:p>
      <w:pPr>
        <w:ind w:left="1020" w:hanging="509"/>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maintain the key business relationships and the reputations of acquired businesses;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litigation for activities of the acquired company, including claims from terminated employees, clients, former shareholders or other third parties;</w:t>
      </w:r>
    </w:p>
    <w:p>
      <w:pPr>
        <w:spacing w:after="0" w:line="128" w:lineRule="exact"/>
        <w:rPr>
          <w:rFonts w:ascii="Arial" w:cs="Arial" w:eastAsia="Arial" w:hAnsi="Arial"/>
          <w:sz w:val="16"/>
          <w:szCs w:val="16"/>
          <w:color w:val="auto"/>
        </w:rPr>
      </w:pPr>
    </w:p>
    <w:p>
      <w:pPr>
        <w:jc w:val="both"/>
        <w:ind w:left="1020" w:right="240" w:hanging="509"/>
        <w:spacing w:after="0" w:line="270"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68" w:lineRule="exact"/>
        <w:rPr>
          <w:rFonts w:ascii="Arial" w:cs="Arial" w:eastAsia="Arial" w:hAnsi="Arial"/>
          <w:sz w:val="17"/>
          <w:szCs w:val="17"/>
          <w:color w:val="auto"/>
        </w:rPr>
      </w:pPr>
    </w:p>
    <w:p>
      <w:pPr>
        <w:ind w:left="1020" w:right="100" w:hanging="509"/>
        <w:spacing w:after="0" w:line="286"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costs necessary to establish and maintain effective internal controls for acquired businesses;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successfully further develop the acquired technology in order to recoup our investment; and</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fixed costs.</w:t>
      </w:r>
    </w:p>
    <w:p>
      <w:pPr>
        <w:spacing w:after="0" w:line="221" w:lineRule="exact"/>
        <w:rPr>
          <w:sz w:val="20"/>
          <w:szCs w:val="20"/>
          <w:color w:val="auto"/>
        </w:rPr>
      </w:pPr>
    </w:p>
    <w:p>
      <w:pPr>
        <w:ind w:right="360" w:firstLine="513"/>
        <w:spacing w:after="0" w:line="286" w:lineRule="auto"/>
        <w:rPr>
          <w:sz w:val="20"/>
          <w:szCs w:val="20"/>
          <w:color w:val="auto"/>
        </w:rPr>
      </w:pPr>
      <w:r>
        <w:rPr>
          <w:rFonts w:ascii="Arial" w:cs="Arial" w:eastAsia="Arial" w:hAnsi="Arial"/>
          <w:sz w:val="17"/>
          <w:szCs w:val="17"/>
          <w:color w:val="auto"/>
        </w:rPr>
        <w:t>If we are unable to successfully fully integrate any future business, product or technology we acquire, our business, financial condition and results of operations may suffer.</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record significant impairment charges as a result of our acquisitions.</w:t>
      </w:r>
    </w:p>
    <w:p>
      <w:pPr>
        <w:spacing w:after="0" w:line="117" w:lineRule="exact"/>
        <w:rPr>
          <w:sz w:val="20"/>
          <w:szCs w:val="20"/>
          <w:color w:val="auto"/>
        </w:rPr>
      </w:pPr>
    </w:p>
    <w:p>
      <w:pPr>
        <w:ind w:right="40" w:firstLine="513"/>
        <w:spacing w:after="0" w:line="263" w:lineRule="auto"/>
        <w:rPr>
          <w:sz w:val="20"/>
          <w:szCs w:val="20"/>
          <w:color w:val="auto"/>
        </w:rPr>
      </w:pPr>
      <w:r>
        <w:rPr>
          <w:rFonts w:ascii="Arial" w:cs="Arial" w:eastAsia="Arial" w:hAnsi="Arial"/>
          <w:sz w:val="17"/>
          <w:szCs w:val="17"/>
          <w:color w:val="auto"/>
        </w:rPr>
        <w:t>As of December 31, 2019, we had US$65.7 million goodwill, which represented approximately 20.4% of our total assets, the majority of which was related to OptAim and its subsidiaries, VIE and VIE’s subsidiary, which we acquired in 2015.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78" w:lineRule="exact"/>
        <w:rPr>
          <w:sz w:val="20"/>
          <w:szCs w:val="20"/>
          <w:color w:val="auto"/>
        </w:rPr>
      </w:pPr>
    </w:p>
    <w:p>
      <w:pPr>
        <w:ind w:firstLine="513"/>
        <w:spacing w:after="0" w:line="278" w:lineRule="auto"/>
        <w:rPr>
          <w:sz w:val="20"/>
          <w:szCs w:val="20"/>
          <w:color w:val="auto"/>
        </w:rPr>
      </w:pPr>
      <w:r>
        <w:rPr>
          <w:rFonts w:ascii="Arial" w:cs="Arial" w:eastAsia="Arial" w:hAnsi="Arial"/>
          <w:sz w:val="16"/>
          <w:szCs w:val="16"/>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other entities in which we have controlling investment, or to successfully integrate their operations with our other operations. Impairment charges could negatively affect our reported earnings and financial ratios in the periods of such charges and limit our ability to obtain financing in the future. See “Item 5. Operating and Financial Review and Prospects—A. Operating Results—Critical Accounting Policies—Impairment of Goodwill” for more information.</w:t>
      </w:r>
    </w:p>
    <w:p>
      <w:pPr>
        <w:spacing w:after="0" w:line="272"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b w:val="1"/>
          <w:bCs w:val="1"/>
          <w:i w:val="1"/>
          <w:iCs w:val="1"/>
          <w:color w:val="auto"/>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spacing w:after="0" w:line="31" w:lineRule="exact"/>
        <w:rPr>
          <w:sz w:val="20"/>
          <w:szCs w:val="20"/>
          <w:color w:val="auto"/>
        </w:rPr>
      </w:pPr>
    </w:p>
    <w:p>
      <w:pPr>
        <w:ind w:right="20" w:firstLine="513"/>
        <w:spacing w:after="0" w:line="287" w:lineRule="auto"/>
        <w:rPr>
          <w:sz w:val="20"/>
          <w:szCs w:val="20"/>
          <w:color w:val="auto"/>
        </w:rPr>
      </w:pPr>
      <w:r>
        <w:rPr>
          <w:rFonts w:ascii="Arial" w:cs="Arial" w:eastAsia="Arial" w:hAnsi="Arial"/>
          <w:sz w:val="16"/>
          <w:szCs w:val="16"/>
          <w:color w:val="auto"/>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ended December 31, 2018. In addition, once we cease to be an “emerging growth company” as such term is defined in JOBS Act, our independent registered public accounting firm must attest to and report on the effectiveness of our internal control over financial reporting.</w:t>
      </w:r>
    </w:p>
    <w:p>
      <w:pPr>
        <w:spacing w:after="0" w:line="161" w:lineRule="exact"/>
        <w:rPr>
          <w:sz w:val="20"/>
          <w:szCs w:val="20"/>
          <w:color w:val="auto"/>
        </w:rPr>
      </w:pPr>
    </w:p>
    <w:p>
      <w:pPr>
        <w:ind w:right="40" w:firstLine="513"/>
        <w:spacing w:after="0" w:line="258" w:lineRule="auto"/>
        <w:rPr>
          <w:sz w:val="20"/>
          <w:szCs w:val="20"/>
          <w:color w:val="auto"/>
        </w:rPr>
      </w:pPr>
      <w:r>
        <w:rPr>
          <w:rFonts w:ascii="Arial" w:cs="Arial" w:eastAsia="Arial" w:hAnsi="Arial"/>
          <w:sz w:val="17"/>
          <w:szCs w:val="17"/>
          <w:color w:val="auto"/>
        </w:rPr>
        <w:t>Our management has concluded that our internal control over financial reporting was not effective as of December 31, 2019.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to remediate these weaknesses. In particular, we are in the process of hiring additional qualified accounting staff with an appropriate understanding of U.S. GAAP and SEC reporting requirements. Furthermore, we request our existing accounting personnel to complete external courses relating to U.S. GAAP and SEC reporting such that the accounting personnel can earn the necessary credentials to be qualified as certified public accountants in the U.S. In addition, we are in the process of establishing a</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452" w:right="379" w:bottom="1440" w:gutter="0" w:footer="0" w:header="0"/>
        </w:sectPr>
      </w:pPr>
    </w:p>
    <w:bookmarkStart w:id="22" w:name="page23"/>
    <w:bookmarkEnd w:id="22"/>
    <w:p>
      <w:pPr>
        <w:ind w:right="40"/>
        <w:spacing w:after="0" w:line="277" w:lineRule="auto"/>
        <w:rPr>
          <w:sz w:val="20"/>
          <w:szCs w:val="20"/>
          <w:color w:val="auto"/>
        </w:rPr>
      </w:pPr>
      <w:r>
        <w:rPr>
          <w:rFonts w:ascii="Arial" w:cs="Arial" w:eastAsia="Arial" w:hAnsi="Arial"/>
          <w:sz w:val="16"/>
          <w:szCs w:val="16"/>
          <w:color w:val="auto"/>
        </w:rPr>
        <w:t>comprehensive accounting policies and procedures manual and providing internal training to accounting and operation staff in relation to these policies and procedures. See “Item 15. Controls and Procedures.” We cannot assure you, however, that these measures may fully address these deficiencies in our internal control over financial reporting or that we may conclude that they have been fully remedied. Our failure to correct these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 This could in turn result in the loss of investor confidence in the reliability of our financial statements. As a result of these, our business, financial condition, results of operations and prospects, as well as the trading price of our ADSs, may be materially and adversely affected. Moreover, ineffective internal control over financial reporting significantly hinders our ability to prevent fraud. Furthermore, we have incurred and may need to incur additional costs and use additional management and other resources in an effort to comply with Section 404 of the Sarbanes-Oxley Act and other requirements going forward.</w:t>
      </w:r>
    </w:p>
    <w:p>
      <w:pPr>
        <w:spacing w:after="0" w:line="170" w:lineRule="exact"/>
        <w:rPr>
          <w:sz w:val="20"/>
          <w:szCs w:val="20"/>
          <w:color w:val="auto"/>
        </w:rPr>
      </w:pPr>
    </w:p>
    <w:p>
      <w:pPr>
        <w:ind w:right="40" w:firstLine="513"/>
        <w:spacing w:after="0" w:line="265" w:lineRule="auto"/>
        <w:rPr>
          <w:sz w:val="20"/>
          <w:szCs w:val="20"/>
          <w:color w:val="auto"/>
        </w:rPr>
      </w:pPr>
      <w:r>
        <w:rPr>
          <w:rFonts w:ascii="Arial" w:cs="Arial" w:eastAsia="Arial" w:hAnsi="Arial"/>
          <w:sz w:val="17"/>
          <w:szCs w:val="17"/>
          <w:color w:val="auto"/>
        </w:rPr>
        <w:t>In addition, our internal controls over financial reporting will not prevent or detect all errors or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54" w:lineRule="exact"/>
        <w:rPr>
          <w:sz w:val="20"/>
          <w:szCs w:val="20"/>
          <w:color w:val="auto"/>
        </w:rPr>
      </w:pPr>
    </w:p>
    <w:p>
      <w:pPr>
        <w:ind w:firstLine="513"/>
        <w:spacing w:after="0" w:line="277" w:lineRule="auto"/>
        <w:rPr>
          <w:sz w:val="20"/>
          <w:szCs w:val="20"/>
          <w:color w:val="auto"/>
        </w:rPr>
      </w:pPr>
      <w:r>
        <w:rPr>
          <w:rFonts w:ascii="Arial" w:cs="Arial" w:eastAsia="Arial" w:hAnsi="Arial"/>
          <w:sz w:val="16"/>
          <w:szCs w:val="16"/>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70" w:lineRule="exact"/>
        <w:rPr>
          <w:sz w:val="20"/>
          <w:szCs w:val="20"/>
          <w:color w:val="auto"/>
        </w:rPr>
      </w:pPr>
    </w:p>
    <w:p>
      <w:pPr>
        <w:ind w:right="80" w:firstLine="513"/>
        <w:spacing w:after="0" w:line="278" w:lineRule="auto"/>
        <w:rPr>
          <w:sz w:val="20"/>
          <w:szCs w:val="20"/>
          <w:color w:val="auto"/>
        </w:rPr>
      </w:pPr>
      <w:r>
        <w:rPr>
          <w:rFonts w:ascii="Arial" w:cs="Arial" w:eastAsia="Arial" w:hAnsi="Arial"/>
          <w:sz w:val="16"/>
          <w:szCs w:val="16"/>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7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54" w:lineRule="exact"/>
        <w:rPr>
          <w:sz w:val="20"/>
          <w:szCs w:val="20"/>
          <w:color w:val="auto"/>
        </w:rPr>
      </w:pPr>
    </w:p>
    <w:p>
      <w:pPr>
        <w:ind w:right="140" w:firstLine="513"/>
        <w:spacing w:after="0" w:line="279" w:lineRule="auto"/>
        <w:rPr>
          <w:sz w:val="20"/>
          <w:szCs w:val="20"/>
          <w:color w:val="auto"/>
        </w:rPr>
      </w:pPr>
      <w:r>
        <w:rPr>
          <w:rFonts w:ascii="Arial" w:cs="Arial" w:eastAsia="Arial" w:hAnsi="Arial"/>
          <w:sz w:val="16"/>
          <w:szCs w:val="16"/>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68" w:lineRule="exact"/>
        <w:rPr>
          <w:sz w:val="20"/>
          <w:szCs w:val="20"/>
          <w:color w:val="auto"/>
        </w:rPr>
      </w:pPr>
    </w:p>
    <w:p>
      <w:pPr>
        <w:ind w:right="80" w:firstLine="513"/>
        <w:spacing w:after="0" w:line="287"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3" w:name="page24"/>
    <w:bookmarkEnd w:id="23"/>
    <w:p>
      <w:pPr>
        <w:ind w:right="620"/>
        <w:spacing w:after="0" w:line="286" w:lineRule="auto"/>
        <w:rPr>
          <w:sz w:val="20"/>
          <w:szCs w:val="20"/>
          <w:color w:val="auto"/>
        </w:rPr>
      </w:pPr>
      <w:r>
        <w:rPr>
          <w:rFonts w:ascii="Arial" w:cs="Arial" w:eastAsia="Arial" w:hAnsi="Arial"/>
          <w:sz w:val="17"/>
          <w:szCs w:val="17"/>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54" w:lineRule="exact"/>
        <w:rPr>
          <w:sz w:val="20"/>
          <w:szCs w:val="20"/>
          <w:color w:val="auto"/>
        </w:rPr>
      </w:pPr>
    </w:p>
    <w:p>
      <w:pPr>
        <w:ind w:right="20" w:firstLine="513"/>
        <w:spacing w:after="0" w:line="259" w:lineRule="auto"/>
        <w:rPr>
          <w:sz w:val="20"/>
          <w:szCs w:val="20"/>
          <w:color w:val="auto"/>
        </w:rPr>
      </w:pPr>
      <w:r>
        <w:rPr>
          <w:rFonts w:ascii="Arial" w:cs="Arial" w:eastAsia="Arial" w:hAnsi="Arial"/>
          <w:sz w:val="17"/>
          <w:szCs w:val="17"/>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clients, and our business and results of operations may be harmed.</w:t>
      </w:r>
    </w:p>
    <w:p>
      <w:pPr>
        <w:spacing w:after="0" w:line="290"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54" w:lineRule="exact"/>
        <w:rPr>
          <w:sz w:val="20"/>
          <w:szCs w:val="20"/>
          <w:color w:val="auto"/>
        </w:rPr>
      </w:pPr>
    </w:p>
    <w:p>
      <w:pPr>
        <w:ind w:right="20" w:firstLine="513"/>
        <w:spacing w:after="0" w:line="279" w:lineRule="auto"/>
        <w:rPr>
          <w:sz w:val="20"/>
          <w:szCs w:val="20"/>
          <w:color w:val="auto"/>
        </w:rPr>
      </w:pPr>
      <w:r>
        <w:rPr>
          <w:rFonts w:ascii="Arial" w:cs="Arial" w:eastAsia="Arial" w:hAnsi="Arial"/>
          <w:sz w:val="16"/>
          <w:szCs w:val="16"/>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right="20" w:firstLine="513"/>
        <w:spacing w:after="0" w:line="276" w:lineRule="auto"/>
        <w:rPr>
          <w:sz w:val="20"/>
          <w:szCs w:val="20"/>
          <w:color w:val="auto"/>
        </w:rPr>
      </w:pPr>
      <w:r>
        <w:rPr>
          <w:rFonts w:ascii="Arial" w:cs="Arial" w:eastAsia="Arial" w:hAnsi="Arial"/>
          <w:sz w:val="16"/>
          <w:szCs w:val="16"/>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firstLine="513"/>
        <w:spacing w:after="0" w:line="277"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right="80" w:firstLine="513"/>
        <w:spacing w:after="0" w:line="263"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4" w:name="page25"/>
    <w:bookmarkEnd w:id="24"/>
    <w:p>
      <w:pPr>
        <w:ind w:right="160"/>
        <w:spacing w:after="0" w:line="281" w:lineRule="auto"/>
        <w:rPr>
          <w:sz w:val="20"/>
          <w:szCs w:val="20"/>
          <w:color w:val="auto"/>
        </w:rPr>
      </w:pPr>
      <w:r>
        <w:rPr>
          <w:rFonts w:ascii="Arial" w:cs="Arial" w:eastAsia="Arial" w:hAnsi="Arial"/>
          <w:sz w:val="16"/>
          <w:szCs w:val="16"/>
          <w:color w:val="auto"/>
        </w:rPr>
        <w:t>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6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If we do not retain our senior management team and key employees, or attract additional technology and sales talents, we may not be able to sustain our growth or achieve our business objectives.</w:t>
      </w:r>
    </w:p>
    <w:p>
      <w:pPr>
        <w:spacing w:after="0" w:line="54" w:lineRule="exact"/>
        <w:rPr>
          <w:sz w:val="20"/>
          <w:szCs w:val="20"/>
          <w:color w:val="auto"/>
        </w:rPr>
      </w:pPr>
    </w:p>
    <w:p>
      <w:pPr>
        <w:ind w:right="20" w:firstLine="513"/>
        <w:spacing w:after="0" w:line="278" w:lineRule="auto"/>
        <w:rPr>
          <w:sz w:val="20"/>
          <w:szCs w:val="20"/>
          <w:color w:val="auto"/>
        </w:rPr>
      </w:pPr>
      <w:r>
        <w:rPr>
          <w:rFonts w:ascii="Arial" w:cs="Arial" w:eastAsia="Arial" w:hAnsi="Arial"/>
          <w:sz w:val="16"/>
          <w:szCs w:val="16"/>
          <w:color w:val="auto"/>
        </w:rPr>
        <w:t>Our future success is substantially dependent on the continued service of our senior management team and key employees.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68" w:lineRule="exact"/>
        <w:rPr>
          <w:sz w:val="20"/>
          <w:szCs w:val="20"/>
          <w:color w:val="auto"/>
        </w:rPr>
      </w:pPr>
    </w:p>
    <w:p>
      <w:pPr>
        <w:ind w:right="160" w:firstLine="513"/>
        <w:spacing w:after="0" w:line="302" w:lineRule="auto"/>
        <w:rPr>
          <w:sz w:val="20"/>
          <w:szCs w:val="20"/>
          <w:color w:val="auto"/>
        </w:rPr>
      </w:pPr>
      <w:r>
        <w:rPr>
          <w:rFonts w:ascii="Arial" w:cs="Arial" w:eastAsia="Arial" w:hAnsi="Arial"/>
          <w:sz w:val="15"/>
          <w:szCs w:val="15"/>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have any business insurance coverage in China.</w:t>
      </w:r>
    </w:p>
    <w:p>
      <w:pPr>
        <w:spacing w:after="0" w:line="117" w:lineRule="exact"/>
        <w:rPr>
          <w:sz w:val="20"/>
          <w:szCs w:val="20"/>
          <w:color w:val="auto"/>
        </w:rPr>
      </w:pPr>
    </w:p>
    <w:p>
      <w:pPr>
        <w:ind w:right="60" w:firstLine="513"/>
        <w:spacing w:after="0" w:line="263" w:lineRule="auto"/>
        <w:rPr>
          <w:sz w:val="20"/>
          <w:szCs w:val="20"/>
          <w:color w:val="auto"/>
        </w:rPr>
      </w:pPr>
      <w:r>
        <w:rPr>
          <w:rFonts w:ascii="Arial" w:cs="Arial" w:eastAsia="Arial" w:hAnsi="Arial"/>
          <w:sz w:val="17"/>
          <w:szCs w:val="17"/>
          <w:color w:val="auto"/>
        </w:rPr>
        <w:t>Insurance companies in China currently do not offer as extensive an array of insurance products as insurance companies in more developed economies in China.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Corporate Structure</w:t>
      </w:r>
    </w:p>
    <w:p>
      <w:pPr>
        <w:spacing w:after="0" w:line="123"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b w:val="1"/>
          <w:bCs w:val="1"/>
          <w:i w:val="1"/>
          <w:iCs w:val="1"/>
          <w:color w:val="auto"/>
        </w:rPr>
        <w:t>We rely on the contractual arrangements that establish the structure for certain of our operations in China and we will need to rely on the contractual arrangements when and to the extent our operations are deemed as foreign-related survey.</w:t>
      </w:r>
    </w:p>
    <w:p>
      <w:pPr>
        <w:spacing w:after="0" w:line="54" w:lineRule="exact"/>
        <w:rPr>
          <w:sz w:val="20"/>
          <w:szCs w:val="20"/>
          <w:color w:val="auto"/>
        </w:rPr>
      </w:pPr>
    </w:p>
    <w:p>
      <w:pPr>
        <w:ind w:right="40" w:firstLine="513"/>
        <w:spacing w:after="0" w:line="259" w:lineRule="auto"/>
        <w:rPr>
          <w:sz w:val="20"/>
          <w:szCs w:val="20"/>
          <w:color w:val="auto"/>
        </w:rPr>
      </w:pPr>
      <w:r>
        <w:rPr>
          <w:rFonts w:ascii="Arial" w:cs="Arial" w:eastAsia="Arial" w:hAnsi="Arial"/>
          <w:sz w:val="17"/>
          <w:szCs w:val="17"/>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“Item 4. Information on the Company—C. Organizational Structure—Contractual Arrangements with OptAim Network.” As a result of these contractual arrangements, we exert control over OptAim Network and its subsidiaries, and consolidate their operating results in our financial statements under U.S. GAAP.</w:t>
      </w:r>
    </w:p>
    <w:p>
      <w:pPr>
        <w:spacing w:after="0" w:line="183" w:lineRule="exact"/>
        <w:rPr>
          <w:sz w:val="20"/>
          <w:szCs w:val="20"/>
          <w:color w:val="auto"/>
        </w:rPr>
      </w:pPr>
    </w:p>
    <w:p>
      <w:pPr>
        <w:ind w:firstLine="513"/>
        <w:spacing w:after="0" w:line="281" w:lineRule="auto"/>
        <w:rPr>
          <w:sz w:val="20"/>
          <w:szCs w:val="20"/>
          <w:color w:val="auto"/>
        </w:rPr>
      </w:pPr>
      <w:r>
        <w:rPr>
          <w:rFonts w:ascii="Arial" w:cs="Arial" w:eastAsia="Arial" w:hAnsi="Arial"/>
          <w:sz w:val="16"/>
          <w:szCs w:val="16"/>
          <w:color w:val="auto"/>
        </w:rPr>
        <w:t>After the abolishment of the foreign ownership restriction in advertising business, we had been transferring the advertising business previously operated by our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made a controlling investment in Myhayo, a content distribution channel and a mobile content aggregator of articles and short videos in the PRC, which presents customized feeds to users via its mobile application. The mobile application operated by Myhayo allows users to earn points from their daily access, which could be used to redeem cash rewards. It is unclear whether Myhayo’s business model would render it a commercial</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452" w:right="379" w:bottom="1440" w:gutter="0" w:footer="0" w:header="0"/>
        </w:sectPr>
      </w:pPr>
    </w:p>
    <w:bookmarkStart w:id="25" w:name="page26"/>
    <w:bookmarkEnd w:id="25"/>
    <w:p>
      <w:pPr>
        <w:ind w:right="20"/>
        <w:spacing w:after="0" w:line="278" w:lineRule="auto"/>
        <w:rPr>
          <w:sz w:val="20"/>
          <w:szCs w:val="20"/>
          <w:color w:val="auto"/>
        </w:rPr>
      </w:pPr>
      <w:r>
        <w:rPr>
          <w:rFonts w:ascii="Arial" w:cs="Arial" w:eastAsia="Arial" w:hAnsi="Arial"/>
          <w:sz w:val="16"/>
          <w:szCs w:val="16"/>
          <w:color w:val="auto"/>
        </w:rPr>
        <w:t>operator of value-added telecommunication services under the relevant PRC laws, in which case Myhayo would be required to hold a value-added telecommunication license. In August 2019, Myhayo obtained the value-added telecommunication license that has a validity term of five years. See “—Risk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Current PRC laws and regulations impose certain restriction on foreign investment in value-added telecommunication services. See “—Regulations—Regulations on Foreign Direct Investment in Value-Added Telecommunications Companies.” As a result, we made our controlling investment in Myhayo through OptAim Network, our VIE. In 2017, OptAim Network contributed 11.1% to our gross billing and 20.2% of our net revenues. In 2018, OptAim Network contributed 0.7% to our gross billing and 1.8% of our net revenues. In 2019, OptAim Network contributed 3.6% to our gross billing and 11.5% of our net revenues.</w:t>
      </w:r>
    </w:p>
    <w:p>
      <w:pPr>
        <w:spacing w:after="0" w:line="168" w:lineRule="exact"/>
        <w:rPr>
          <w:sz w:val="20"/>
          <w:szCs w:val="20"/>
          <w:color w:val="auto"/>
        </w:rPr>
      </w:pPr>
    </w:p>
    <w:p>
      <w:pPr>
        <w:ind w:right="140" w:firstLine="513"/>
        <w:spacing w:after="0" w:line="270" w:lineRule="auto"/>
        <w:rPr>
          <w:sz w:val="20"/>
          <w:szCs w:val="20"/>
          <w:color w:val="auto"/>
        </w:rPr>
      </w:pPr>
      <w:r>
        <w:rPr>
          <w:rFonts w:ascii="Arial" w:cs="Arial" w:eastAsia="Arial" w:hAnsi="Arial"/>
          <w:sz w:val="17"/>
          <w:szCs w:val="17"/>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w:t>
      </w:r>
    </w:p>
    <w:p>
      <w:pPr>
        <w:spacing w:after="0" w:line="173" w:lineRule="exact"/>
        <w:rPr>
          <w:sz w:val="20"/>
          <w:szCs w:val="20"/>
          <w:color w:val="auto"/>
        </w:rPr>
      </w:pPr>
    </w:p>
    <w:p>
      <w:pPr>
        <w:ind w:right="60" w:firstLine="513"/>
        <w:spacing w:after="0" w:line="274" w:lineRule="auto"/>
        <w:rPr>
          <w:sz w:val="20"/>
          <w:szCs w:val="20"/>
          <w:color w:val="auto"/>
        </w:rPr>
      </w:pPr>
      <w:r>
        <w:rPr>
          <w:rFonts w:ascii="Arial" w:cs="Arial" w:eastAsia="Arial" w:hAnsi="Arial"/>
          <w:sz w:val="16"/>
          <w:szCs w:val="16"/>
          <w:color w:val="auto"/>
        </w:rPr>
        <w:t>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October 24, 2019, MOFCOM and NDRC jointly promulgated the Special Administrative Measures (Negative List 2019) for Foreign Investment Access, or the Special Administrative Measures, which replaced the negative list attached to the Foreign Investment Catalog in 2018. Industries that are not listed in the Special Administrative Measures are permitted areas for foreign investments, and are generally 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80" w:lineRule="exact"/>
        <w:rPr>
          <w:sz w:val="20"/>
          <w:szCs w:val="20"/>
          <w:color w:val="auto"/>
        </w:rPr>
      </w:pPr>
    </w:p>
    <w:p>
      <w:pPr>
        <w:ind w:right="280" w:firstLine="513"/>
        <w:spacing w:after="0" w:line="281" w:lineRule="auto"/>
        <w:rPr>
          <w:sz w:val="20"/>
          <w:szCs w:val="20"/>
          <w:color w:val="auto"/>
        </w:rPr>
      </w:pPr>
      <w:r>
        <w:rPr>
          <w:rFonts w:ascii="Arial" w:cs="Arial" w:eastAsia="Arial" w:hAnsi="Arial"/>
          <w:sz w:val="16"/>
          <w:szCs w:val="16"/>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65" w:lineRule="exact"/>
        <w:rPr>
          <w:sz w:val="20"/>
          <w:szCs w:val="20"/>
          <w:color w:val="auto"/>
        </w:rPr>
      </w:pPr>
    </w:p>
    <w:p>
      <w:pPr>
        <w:ind w:firstLine="513"/>
        <w:spacing w:after="0" w:line="275" w:lineRule="auto"/>
        <w:rPr>
          <w:sz w:val="20"/>
          <w:szCs w:val="20"/>
          <w:color w:val="auto"/>
        </w:rPr>
      </w:pPr>
      <w:r>
        <w:rPr>
          <w:rFonts w:ascii="Arial" w:cs="Arial" w:eastAsia="Arial" w:hAnsi="Arial"/>
          <w:sz w:val="16"/>
          <w:szCs w:val="16"/>
          <w:color w:val="auto"/>
        </w:rPr>
        <w:t>It is uncertain whether any new PRC laws, rules or regulations relating to variable interest entity structures will be adopted or if adopted, what they would provide. Please see “—Substantial uncertainties exist with respect to the newly enacted PRC Foreign Investment Law and how it may impact the viability of our current corporate structure, corporate governance and business operations.” for more information.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initial public offering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6" w:name="page27"/>
    <w:bookmarkEnd w:id="26"/>
    <w:p>
      <w:pPr>
        <w:ind w:right="540"/>
        <w:spacing w:after="0" w:line="286" w:lineRule="auto"/>
        <w:rPr>
          <w:sz w:val="20"/>
          <w:szCs w:val="20"/>
          <w:color w:val="auto"/>
        </w:rPr>
      </w:pPr>
      <w:r>
        <w:rPr>
          <w:rFonts w:ascii="Arial" w:cs="Arial" w:eastAsia="Arial" w:hAnsi="Arial"/>
          <w:sz w:val="17"/>
          <w:szCs w:val="17"/>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54" w:lineRule="exact"/>
        <w:rPr>
          <w:sz w:val="20"/>
          <w:szCs w:val="20"/>
          <w:color w:val="auto"/>
        </w:rPr>
      </w:pPr>
    </w:p>
    <w:p>
      <w:pPr>
        <w:ind w:right="20" w:firstLine="513"/>
        <w:spacing w:after="0" w:line="263"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and to the extent our operations are deemed as foreign-related survey. For a description of these contractual arrangements, see “Item 4. Information on the Company—C. Organizational Structure—Contractual Arrangements with OptAim Network.” These contractual arrangements may not be as effective as direct ownership in providing us with control over our consolidated variable interest entity and its subsidiary.</w:t>
      </w:r>
    </w:p>
    <w:p>
      <w:pPr>
        <w:spacing w:after="0" w:line="178" w:lineRule="exact"/>
        <w:rPr>
          <w:sz w:val="20"/>
          <w:szCs w:val="20"/>
          <w:color w:val="auto"/>
        </w:rPr>
      </w:pPr>
    </w:p>
    <w:p>
      <w:pPr>
        <w:ind w:firstLine="513"/>
        <w:spacing w:after="0" w:line="297" w:lineRule="auto"/>
        <w:rPr>
          <w:sz w:val="20"/>
          <w:szCs w:val="20"/>
          <w:color w:val="auto"/>
        </w:rPr>
      </w:pPr>
      <w:r>
        <w:rPr>
          <w:rFonts w:ascii="Arial" w:cs="Arial" w:eastAsia="Arial" w:hAnsi="Arial"/>
          <w:sz w:val="15"/>
          <w:szCs w:val="15"/>
          <w:color w:val="auto"/>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subsidiaries.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264"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54" w:lineRule="exact"/>
        <w:rPr>
          <w:sz w:val="20"/>
          <w:szCs w:val="20"/>
          <w:color w:val="auto"/>
        </w:rPr>
      </w:pPr>
    </w:p>
    <w:p>
      <w:pPr>
        <w:ind w:right="40" w:firstLine="513"/>
        <w:spacing w:after="0" w:line="279"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8" w:lineRule="exact"/>
        <w:rPr>
          <w:sz w:val="20"/>
          <w:szCs w:val="20"/>
          <w:color w:val="auto"/>
        </w:rPr>
      </w:pPr>
    </w:p>
    <w:p>
      <w:pPr>
        <w:ind w:right="20" w:firstLine="513"/>
        <w:spacing w:after="0" w:line="275" w:lineRule="auto"/>
        <w:rPr>
          <w:sz w:val="20"/>
          <w:szCs w:val="20"/>
          <w:color w:val="auto"/>
        </w:rPr>
      </w:pPr>
      <w:r>
        <w:rPr>
          <w:rFonts w:ascii="Arial" w:cs="Arial" w:eastAsia="Arial" w:hAnsi="Arial"/>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Such disputes do not include claims arising under the United States federal securities laws and therefore these arbitration provision do not prevent you from pursuing claims under the United States federal securities law.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7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The shareholders of our variable interest entity, may have potential conflicts of interest with us, which may materially and adversely affect our business and financial condition.</w:t>
      </w:r>
    </w:p>
    <w:p>
      <w:pPr>
        <w:spacing w:after="0" w:line="54" w:lineRule="exact"/>
        <w:rPr>
          <w:sz w:val="20"/>
          <w:szCs w:val="20"/>
          <w:color w:val="auto"/>
        </w:rPr>
      </w:pPr>
    </w:p>
    <w:p>
      <w:pPr>
        <w:ind w:right="80" w:firstLine="513"/>
        <w:spacing w:after="0" w:line="281" w:lineRule="auto"/>
        <w:rPr>
          <w:sz w:val="20"/>
          <w:szCs w:val="20"/>
          <w:color w:val="auto"/>
        </w:rPr>
      </w:pPr>
      <w:r>
        <w:rPr>
          <w:rFonts w:ascii="Arial" w:cs="Arial" w:eastAsia="Arial" w:hAnsi="Arial"/>
          <w:sz w:val="16"/>
          <w:szCs w:val="16"/>
          <w:color w:val="auto"/>
        </w:rPr>
        <w:t>The equity interests of OptAim Network are held by Mr. Jian Tang, who is our co-founder, director and chief executive officer, and Ms. Jie Jiao, who is our former chief financial officer. As of the date of this annual report, we are arranging the transfer of Ms. Jie Jiao’s equity interest in OptAim Network to an affiliate of our company.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27" w:name="page28"/>
    <w:bookmarkEnd w:id="27"/>
    <w:p>
      <w:pPr>
        <w:ind w:right="100"/>
        <w:spacing w:after="0" w:line="286" w:lineRule="auto"/>
        <w:rPr>
          <w:sz w:val="20"/>
          <w:szCs w:val="20"/>
          <w:color w:val="auto"/>
        </w:rPr>
      </w:pPr>
      <w:r>
        <w:rPr>
          <w:rFonts w:ascii="Arial" w:cs="Arial" w:eastAsia="Arial" w:hAnsi="Arial"/>
          <w:sz w:val="17"/>
          <w:szCs w:val="17"/>
          <w:color w:val="auto"/>
        </w:rPr>
        <w:t>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59" w:lineRule="exact"/>
        <w:rPr>
          <w:sz w:val="20"/>
          <w:szCs w:val="20"/>
          <w:color w:val="auto"/>
        </w:rPr>
      </w:pPr>
    </w:p>
    <w:p>
      <w:pPr>
        <w:ind w:right="140" w:firstLine="513"/>
        <w:spacing w:after="0" w:line="283" w:lineRule="auto"/>
        <w:rPr>
          <w:sz w:val="20"/>
          <w:szCs w:val="20"/>
          <w:color w:val="auto"/>
        </w:rPr>
      </w:pPr>
      <w:r>
        <w:rPr>
          <w:rFonts w:ascii="Arial" w:cs="Arial" w:eastAsia="Arial" w:hAnsi="Arial"/>
          <w:sz w:val="16"/>
          <w:szCs w:val="16"/>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68" w:lineRule="exact"/>
        <w:rPr>
          <w:sz w:val="20"/>
          <w:szCs w:val="20"/>
          <w:color w:val="auto"/>
        </w:rPr>
      </w:pPr>
    </w:p>
    <w:p>
      <w:pPr>
        <w:ind w:right="120"/>
        <w:spacing w:after="0" w:line="356"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9" w:lineRule="exact"/>
        <w:rPr>
          <w:sz w:val="20"/>
          <w:szCs w:val="20"/>
          <w:color w:val="auto"/>
        </w:rPr>
      </w:pPr>
    </w:p>
    <w:p>
      <w:pPr>
        <w:ind w:right="40" w:firstLine="513"/>
        <w:spacing w:after="0" w:line="295" w:lineRule="auto"/>
        <w:rPr>
          <w:sz w:val="20"/>
          <w:szCs w:val="20"/>
          <w:color w:val="auto"/>
        </w:rPr>
      </w:pPr>
      <w:r>
        <w:rPr>
          <w:rFonts w:ascii="Arial" w:cs="Arial" w:eastAsia="Arial" w:hAnsi="Arial"/>
          <w:sz w:val="15"/>
          <w:szCs w:val="15"/>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6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Substantial uncertainties exist with respect to the newly enacted PRC Foreign Investment Law and how it may impact the viability of our current corporate structure, corporate governance and business operations.</w:t>
      </w:r>
    </w:p>
    <w:p>
      <w:pPr>
        <w:spacing w:after="0" w:line="54" w:lineRule="exact"/>
        <w:rPr>
          <w:sz w:val="20"/>
          <w:szCs w:val="20"/>
          <w:color w:val="auto"/>
        </w:rPr>
      </w:pPr>
    </w:p>
    <w:p>
      <w:pPr>
        <w:ind w:right="60" w:firstLine="513"/>
        <w:spacing w:after="0" w:line="299" w:lineRule="auto"/>
        <w:rPr>
          <w:sz w:val="20"/>
          <w:szCs w:val="20"/>
          <w:color w:val="auto"/>
        </w:rPr>
      </w:pPr>
      <w:r>
        <w:rPr>
          <w:rFonts w:ascii="Arial" w:cs="Arial" w:eastAsia="Arial" w:hAnsi="Arial"/>
          <w:sz w:val="15"/>
          <w:szCs w:val="15"/>
          <w:color w:val="auto"/>
        </w:rPr>
        <w:t>On March 15, 2019, the National People’s Congress approved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On December 26, 2019, the State Council adopted the Implementing Rules for the Foreign Investment Law of the People’s Republic of China, which took effect from January 1, 2020, to interpret and implementat the Foreign Investment Law. However, uncertainties still exist in relation to the nature of “variable interest entity” structure. As a result, the Foreign Investment Law may materially impact the viability of our current corporate structure, corporate governance and business operations in many aspects.</w:t>
      </w:r>
    </w:p>
    <w:p>
      <w:pPr>
        <w:spacing w:after="0" w:line="154" w:lineRule="exact"/>
        <w:rPr>
          <w:sz w:val="20"/>
          <w:szCs w:val="20"/>
          <w:color w:val="auto"/>
        </w:rPr>
      </w:pPr>
    </w:p>
    <w:p>
      <w:pPr>
        <w:ind w:right="140" w:firstLine="513"/>
        <w:spacing w:after="0" w:line="281" w:lineRule="auto"/>
        <w:rPr>
          <w:sz w:val="20"/>
          <w:szCs w:val="20"/>
          <w:color w:val="auto"/>
        </w:rPr>
      </w:pPr>
      <w:r>
        <w:rPr>
          <w:rFonts w:ascii="Arial" w:cs="Arial" w:eastAsia="Arial" w:hAnsi="Arial"/>
          <w:sz w:val="16"/>
          <w:szCs w:val="16"/>
          <w:color w:val="auto"/>
        </w:rPr>
        <w:t>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65" w:lineRule="exact"/>
        <w:rPr>
          <w:sz w:val="20"/>
          <w:szCs w:val="20"/>
          <w:color w:val="auto"/>
        </w:rPr>
      </w:pPr>
    </w:p>
    <w:p>
      <w:pPr>
        <w:ind w:firstLine="513"/>
        <w:spacing w:after="0" w:line="279" w:lineRule="auto"/>
        <w:rPr>
          <w:sz w:val="20"/>
          <w:szCs w:val="20"/>
          <w:color w:val="auto"/>
        </w:rPr>
      </w:pPr>
      <w:r>
        <w:rPr>
          <w:rFonts w:ascii="Arial" w:cs="Arial" w:eastAsia="Arial" w:hAnsi="Arial"/>
          <w:sz w:val="16"/>
          <w:szCs w:val="16"/>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our VIE structure may be regarded as invalid and illegal. As a result, we would not be able to (a) continue our business in China through our contractual arrangements with the VIE and shareholders of the VIE, (b) exert control over the VIE, (c) receive the economic benefits of the VIE under such contractual arrangements, or (d)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28" w:name="page29"/>
    <w:bookmarkEnd w:id="28"/>
    <w:p>
      <w:pPr>
        <w:ind w:right="40"/>
        <w:spacing w:after="0" w:line="270" w:lineRule="auto"/>
        <w:rPr>
          <w:sz w:val="20"/>
          <w:szCs w:val="20"/>
          <w:color w:val="auto"/>
        </w:rPr>
      </w:pPr>
      <w:r>
        <w:rPr>
          <w:rFonts w:ascii="Arial" w:cs="Arial" w:eastAsia="Arial" w:hAnsi="Arial"/>
          <w:sz w:val="17"/>
          <w:szCs w:val="17"/>
          <w:color w:val="auto"/>
        </w:rPr>
        <w:t>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exercise the option to acquire equity ownership of OptAim Network, the ownership transfer may subject us to certain limitation and substantial costs.</w:t>
      </w:r>
    </w:p>
    <w:p>
      <w:pPr>
        <w:spacing w:after="0" w:line="140" w:lineRule="exact"/>
        <w:rPr>
          <w:sz w:val="20"/>
          <w:szCs w:val="20"/>
          <w:color w:val="auto"/>
        </w:rPr>
      </w:pPr>
    </w:p>
    <w:p>
      <w:pPr>
        <w:ind w:right="120" w:firstLine="513"/>
        <w:spacing w:after="0" w:line="281"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Doing Business in China</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240" w:firstLine="513"/>
        <w:spacing w:after="0" w:line="270" w:lineRule="auto"/>
        <w:rPr>
          <w:sz w:val="20"/>
          <w:szCs w:val="20"/>
          <w:color w:val="auto"/>
        </w:rPr>
      </w:pPr>
      <w:r>
        <w:rPr>
          <w:rFonts w:ascii="Arial" w:cs="Arial" w:eastAsia="Arial" w:hAnsi="Arial"/>
          <w:sz w:val="17"/>
          <w:szCs w:val="17"/>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73" w:lineRule="exact"/>
        <w:rPr>
          <w:sz w:val="20"/>
          <w:szCs w:val="20"/>
          <w:color w:val="auto"/>
        </w:rPr>
      </w:pPr>
    </w:p>
    <w:p>
      <w:pPr>
        <w:ind w:firstLine="513"/>
        <w:spacing w:after="0" w:line="300" w:lineRule="auto"/>
        <w:rPr>
          <w:sz w:val="20"/>
          <w:szCs w:val="20"/>
          <w:color w:val="auto"/>
        </w:rPr>
      </w:pPr>
      <w:r>
        <w:rPr>
          <w:rFonts w:ascii="Arial" w:cs="Arial" w:eastAsia="Arial" w:hAnsi="Arial"/>
          <w:sz w:val="15"/>
          <w:szCs w:val="15"/>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260"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b w:val="1"/>
          <w:bCs w:val="1"/>
          <w:i w:val="1"/>
          <w:iCs w:val="1"/>
          <w:color w:val="auto"/>
        </w:rPr>
        <w:t>We are subject to many of the economic and political risks associated with emerging markets due to our operation in China. Changes in China’s economic, political or social conditions or government policies could have a material adverse effect on our business and results of operations.</w:t>
      </w:r>
    </w:p>
    <w:p>
      <w:pPr>
        <w:spacing w:after="0" w:line="31" w:lineRule="exact"/>
        <w:rPr>
          <w:sz w:val="20"/>
          <w:szCs w:val="20"/>
          <w:color w:val="auto"/>
        </w:rPr>
      </w:pPr>
    </w:p>
    <w:p>
      <w:pPr>
        <w:ind w:right="60" w:firstLine="513"/>
        <w:spacing w:after="0" w:line="261" w:lineRule="auto"/>
        <w:rPr>
          <w:sz w:val="20"/>
          <w:szCs w:val="20"/>
          <w:color w:val="auto"/>
        </w:rPr>
      </w:pPr>
      <w:r>
        <w:rPr>
          <w:rFonts w:ascii="Arial" w:cs="Arial" w:eastAsia="Arial" w:hAnsi="Arial"/>
          <w:sz w:val="17"/>
          <w:szCs w:val="17"/>
          <w:color w:val="auto"/>
        </w:rPr>
        <w:t>Our primary operations are based in, and a substantial percentage of our revenue is generated from China, the world’s largest emerging market. In light of our operations in an emerging market. We may be subject to risks and uncertainties including fluctuations in GDP, unfavorable or unpredictable treatment in relation to tax matters, expropriation of private assets,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influenced to a significant degree by political, economic and social conditions in China generally and by continued economic growth in China as a whole.</w:t>
      </w:r>
    </w:p>
    <w:p>
      <w:pPr>
        <w:spacing w:after="0" w:line="182" w:lineRule="exact"/>
        <w:rPr>
          <w:sz w:val="20"/>
          <w:szCs w:val="20"/>
          <w:color w:val="auto"/>
        </w:rPr>
      </w:pPr>
    </w:p>
    <w:p>
      <w:pPr>
        <w:ind w:right="40" w:firstLine="513"/>
        <w:spacing w:after="0" w:line="260" w:lineRule="auto"/>
        <w:rPr>
          <w:sz w:val="20"/>
          <w:szCs w:val="20"/>
          <w:color w:val="auto"/>
        </w:rPr>
      </w:pPr>
      <w:r>
        <w:rPr>
          <w:rFonts w:ascii="Arial" w:cs="Arial" w:eastAsia="Arial" w:hAnsi="Arial"/>
          <w:sz w:val="17"/>
          <w:szCs w:val="17"/>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3" w:lineRule="exact"/>
        <w:rPr>
          <w:sz w:val="20"/>
          <w:szCs w:val="20"/>
          <w:color w:val="auto"/>
        </w:rPr>
      </w:pPr>
    </w:p>
    <w:p>
      <w:pPr>
        <w:ind w:right="20" w:firstLine="513"/>
        <w:spacing w:after="0" w:line="279" w:lineRule="auto"/>
        <w:rPr>
          <w:sz w:val="20"/>
          <w:szCs w:val="20"/>
          <w:color w:val="auto"/>
        </w:rPr>
      </w:pPr>
      <w:r>
        <w:rPr>
          <w:rFonts w:ascii="Arial" w:cs="Arial" w:eastAsia="Arial" w:hAnsi="Arial"/>
          <w:sz w:val="16"/>
          <w:szCs w:val="16"/>
          <w:color w:val="auto"/>
        </w:rPr>
        <w:t>The economies of emerging markets are typically more vulnerable to market downturns and economic slowdowns elsewhere in the world. 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9" w:name="page30"/>
    <w:bookmarkEnd w:id="29"/>
    <w:p>
      <w:pPr>
        <w:ind w:right="380"/>
        <w:spacing w:after="0" w:line="270" w:lineRule="auto"/>
        <w:rPr>
          <w:sz w:val="20"/>
          <w:szCs w:val="20"/>
          <w:color w:val="auto"/>
        </w:rPr>
      </w:pPr>
      <w:r>
        <w:rPr>
          <w:rFonts w:ascii="Arial" w:cs="Arial" w:eastAsia="Arial" w:hAnsi="Arial"/>
          <w:sz w:val="17"/>
          <w:szCs w:val="17"/>
          <w:color w:val="auto"/>
        </w:rPr>
        <w:t>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27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b w:val="1"/>
          <w:bCs w:val="1"/>
          <w:i w:val="1"/>
          <w:iCs w:val="1"/>
          <w:color w:val="auto"/>
        </w:rPr>
        <w:t>A downturn in the Chinese or global economy could reduce the demand for our solutions, which could materially and adversely affect our business and results of operations.</w:t>
      </w:r>
    </w:p>
    <w:p>
      <w:pPr>
        <w:spacing w:after="0" w:line="54" w:lineRule="exact"/>
        <w:rPr>
          <w:sz w:val="20"/>
          <w:szCs w:val="20"/>
          <w:color w:val="auto"/>
        </w:rPr>
      </w:pPr>
    </w:p>
    <w:p>
      <w:pPr>
        <w:ind w:right="240" w:firstLine="513"/>
        <w:spacing w:after="0" w:line="265" w:lineRule="auto"/>
        <w:rPr>
          <w:sz w:val="20"/>
          <w:szCs w:val="20"/>
          <w:color w:val="auto"/>
        </w:rPr>
      </w:pPr>
      <w:r>
        <w:rPr>
          <w:rFonts w:ascii="Arial" w:cs="Arial" w:eastAsia="Arial" w:hAnsi="Arial"/>
          <w:sz w:val="17"/>
          <w:szCs w:val="17"/>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w:t>
      </w:r>
    </w:p>
    <w:p>
      <w:pPr>
        <w:spacing w:after="0" w:line="177" w:lineRule="exact"/>
        <w:rPr>
          <w:sz w:val="20"/>
          <w:szCs w:val="20"/>
          <w:color w:val="auto"/>
        </w:rPr>
      </w:pPr>
    </w:p>
    <w:p>
      <w:pPr>
        <w:ind w:firstLine="513"/>
        <w:spacing w:after="0" w:line="261" w:lineRule="auto"/>
        <w:rPr>
          <w:sz w:val="20"/>
          <w:szCs w:val="20"/>
          <w:color w:val="auto"/>
        </w:rPr>
      </w:pPr>
      <w:r>
        <w:rPr>
          <w:rFonts w:ascii="Arial" w:cs="Arial" w:eastAsia="Arial" w:hAnsi="Arial"/>
          <w:sz w:val="17"/>
          <w:szCs w:val="17"/>
          <w:color w:val="auto"/>
        </w:rPr>
        <w:t>Furthermore, the government of the United Kingdom held an in-or-out referendum on its membership in the European Union on June 23, 2016. The referendum resulted in a vote in favor of the exit of the United Kingdom from the European Union, or “Brexit.” On January 31, 2020, the United Kingdom ceased to be a member of the European Union. The effects of Brexit remain uncertain. Brexit could negatively impact the economies and market conditions of the European Union and/or worldwide, and could continue to contribute to instability in the global financial markets. To the extent we may seek to expand our business in the European market, the uncertainty surrounding the terms of the Brexit and its consequences could adversely impact our clients’ spending budget on our solutions, which could harm our results of operations.</w:t>
      </w:r>
    </w:p>
    <w:p>
      <w:pPr>
        <w:spacing w:after="0" w:line="182" w:lineRule="exact"/>
        <w:rPr>
          <w:sz w:val="20"/>
          <w:szCs w:val="20"/>
          <w:color w:val="auto"/>
        </w:rPr>
      </w:pPr>
    </w:p>
    <w:p>
      <w:pPr>
        <w:ind w:right="200" w:firstLine="513"/>
        <w:spacing w:after="0" w:line="300" w:lineRule="auto"/>
        <w:rPr>
          <w:sz w:val="20"/>
          <w:szCs w:val="20"/>
          <w:color w:val="auto"/>
        </w:rPr>
      </w:pPr>
      <w:r>
        <w:rPr>
          <w:rFonts w:ascii="Arial" w:cs="Arial" w:eastAsia="Arial" w:hAnsi="Arial"/>
          <w:sz w:val="15"/>
          <w:szCs w:val="15"/>
          <w:color w:val="auto"/>
        </w:rPr>
        <w:t>There is considerable uncertainty over the long-term effects of the expansionary monetary and fiscal policies adopted by the central banks and financial authorities of some of the world’s leading economies, including the United States, China and Europe. More recently, the stock markets around the world have experienced extreme volatility, in reaction to the COVID-19 outbreak and governments’ responses thereto, including the recent rate reductions by the Federal Reserve. It is unclear whether these challenges and uncertainties will be contained or resolved, and what effects they may have on the global political and economic conditions in the long term.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60" w:lineRule="exact"/>
        <w:rPr>
          <w:sz w:val="20"/>
          <w:szCs w:val="20"/>
          <w:color w:val="auto"/>
        </w:rPr>
      </w:pPr>
    </w:p>
    <w:p>
      <w:pPr>
        <w:ind w:right="380"/>
        <w:spacing w:after="0" w:line="356"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9" w:lineRule="exact"/>
        <w:rPr>
          <w:sz w:val="20"/>
          <w:szCs w:val="20"/>
          <w:color w:val="auto"/>
        </w:rPr>
      </w:pPr>
    </w:p>
    <w:p>
      <w:pPr>
        <w:ind w:firstLine="513"/>
        <w:spacing w:after="0" w:line="259" w:lineRule="auto"/>
        <w:rPr>
          <w:sz w:val="20"/>
          <w:szCs w:val="20"/>
          <w:color w:val="auto"/>
        </w:rPr>
      </w:pPr>
      <w:r>
        <w:rPr>
          <w:rFonts w:ascii="Arial" w:cs="Arial" w:eastAsia="Arial" w:hAnsi="Arial"/>
          <w:sz w:val="17"/>
          <w:szCs w:val="17"/>
          <w:color w:val="auto"/>
        </w:rPr>
        <w:t>We are a Cayman Islands exempted limited liability company, used as a holding company, and we rely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83" w:lineRule="exact"/>
        <w:rPr>
          <w:sz w:val="20"/>
          <w:szCs w:val="20"/>
          <w:color w:val="auto"/>
        </w:rPr>
      </w:pPr>
    </w:p>
    <w:p>
      <w:pPr>
        <w:ind w:right="80" w:firstLine="513"/>
        <w:spacing w:after="0" w:line="270" w:lineRule="auto"/>
        <w:rPr>
          <w:sz w:val="20"/>
          <w:szCs w:val="20"/>
          <w:color w:val="auto"/>
        </w:rPr>
      </w:pPr>
      <w:r>
        <w:rPr>
          <w:rFonts w:ascii="Arial" w:cs="Arial" w:eastAsia="Arial" w:hAnsi="Arial"/>
          <w:sz w:val="17"/>
          <w:szCs w:val="17"/>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73" w:lineRule="exact"/>
        <w:rPr>
          <w:sz w:val="20"/>
          <w:szCs w:val="20"/>
          <w:color w:val="auto"/>
        </w:rPr>
      </w:pPr>
    </w:p>
    <w:p>
      <w:pPr>
        <w:ind w:right="80" w:firstLine="513"/>
        <w:spacing w:after="0" w:line="319" w:lineRule="auto"/>
        <w:rPr>
          <w:sz w:val="20"/>
          <w:szCs w:val="20"/>
          <w:color w:val="auto"/>
        </w:rPr>
      </w:pPr>
      <w:r>
        <w:rPr>
          <w:rFonts w:ascii="Arial" w:cs="Arial" w:eastAsia="Arial" w:hAnsi="Arial"/>
          <w:sz w:val="16"/>
          <w:szCs w:val="16"/>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39"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delay or prevent us from using the proceeds of our offshore fundraisings to make loans to or make additional capital contributions to our PRC subsidiaries, which could materially and adversely affect our liquidity and our ability to fund and expand our business.</w:t>
      </w:r>
    </w:p>
    <w:p>
      <w:pPr>
        <w:spacing w:after="0" w:line="50" w:lineRule="exact"/>
        <w:rPr>
          <w:sz w:val="20"/>
          <w:szCs w:val="20"/>
          <w:color w:val="auto"/>
        </w:rPr>
      </w:pPr>
    </w:p>
    <w:p>
      <w:pPr>
        <w:ind w:right="160" w:firstLine="513"/>
        <w:spacing w:after="0" w:line="270" w:lineRule="auto"/>
        <w:rPr>
          <w:sz w:val="20"/>
          <w:szCs w:val="20"/>
          <w:color w:val="auto"/>
        </w:rPr>
      </w:pPr>
      <w:r>
        <w:rPr>
          <w:rFonts w:ascii="Arial" w:cs="Arial" w:eastAsia="Arial" w:hAnsi="Arial"/>
          <w:sz w:val="17"/>
          <w:szCs w:val="17"/>
          <w:color w:val="auto"/>
        </w:rPr>
        <w:t>Any funds we transfer to our PRC subsidiaries, either as a shareholder loan or as an increase in registered capital, are subject to approval by, registration or record filing with relevant governmental authorities in China. According to the relevant PRC regulations on foreign-invested enterprises in China, capital contributions to our PRC subsidiaries are subject to the requirement of making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0" w:name="page31"/>
    <w:bookmarkEnd w:id="30"/>
    <w:p>
      <w:pPr>
        <w:spacing w:after="0" w:line="258" w:lineRule="auto"/>
        <w:rPr>
          <w:sz w:val="20"/>
          <w:szCs w:val="20"/>
          <w:color w:val="auto"/>
        </w:rPr>
      </w:pPr>
      <w:r>
        <w:rPr>
          <w:rFonts w:ascii="Arial" w:cs="Arial" w:eastAsia="Arial" w:hAnsi="Arial"/>
          <w:sz w:val="17"/>
          <w:szCs w:val="17"/>
          <w:color w:val="auto"/>
        </w:rPr>
        <w:t>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except as otherwise regulated by laws or regulations each of our PRC subsidiaries may procure loans which do not exceed the difference between its registered capital and its total investment amount as recorded in FICMIS, or as an alternative, do not exceed the upper limit as specified in the Notice of the People’s Bank of China on Matters concerning the Macro-Prudential Management of Full-Covered Cross-Border Financing as promulgated by People’s Bank of China, or the PBOC, on January 11, 2017. Any medium or long term loan to be provided by us to our variable interest entity must be recorded and registered by the NDRC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offering and to capitalize our PRC operations may be negatively affected, which could adversely affect our liquidity and our ability to fund and expand our business.</w:t>
      </w:r>
    </w:p>
    <w:p>
      <w:pPr>
        <w:spacing w:after="0" w:line="188" w:lineRule="exact"/>
        <w:rPr>
          <w:sz w:val="20"/>
          <w:szCs w:val="20"/>
          <w:color w:val="auto"/>
        </w:rPr>
      </w:pPr>
    </w:p>
    <w:p>
      <w:pPr>
        <w:ind w:firstLine="513"/>
        <w:spacing w:after="0" w:line="294" w:lineRule="auto"/>
        <w:rPr>
          <w:sz w:val="20"/>
          <w:szCs w:val="20"/>
          <w:color w:val="auto"/>
        </w:rPr>
      </w:pPr>
      <w:r>
        <w:rPr>
          <w:rFonts w:ascii="Arial" w:cs="Arial" w:eastAsia="Arial" w:hAnsi="Arial"/>
          <w:sz w:val="15"/>
          <w:szCs w:val="15"/>
          <w:color w:val="auto"/>
        </w:rPr>
        <w:t>In 2008,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 and operating results.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right="60" w:firstLine="513"/>
        <w:spacing w:after="0" w:line="275"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For U.S. dollars against Renminbi, there was depreciation of approximately 6.3%, appreciation of approximately 5.7% and appreciation of approximately 1.3% in 2017, 2018 and 2019, respectively.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71" w:lineRule="exact"/>
        <w:rPr>
          <w:sz w:val="20"/>
          <w:szCs w:val="20"/>
          <w:color w:val="auto"/>
        </w:rPr>
      </w:pPr>
    </w:p>
    <w:p>
      <w:pPr>
        <w:ind w:firstLine="513"/>
        <w:spacing w:after="0" w:line="261"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our offshore fundraisings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452" w:right="359" w:bottom="1440" w:gutter="0" w:footer="0" w:header="0"/>
        </w:sectPr>
      </w:pPr>
    </w:p>
    <w:bookmarkStart w:id="31" w:name="page32"/>
    <w:bookmarkEnd w:id="31"/>
    <w:p>
      <w:pPr>
        <w:ind w:right="40" w:firstLine="513"/>
        <w:spacing w:after="0" w:line="283" w:lineRule="auto"/>
        <w:rPr>
          <w:sz w:val="20"/>
          <w:szCs w:val="20"/>
          <w:color w:val="auto"/>
        </w:rPr>
      </w:pPr>
      <w:r>
        <w:rPr>
          <w:rFonts w:ascii="Arial" w:cs="Arial" w:eastAsia="Arial" w:hAnsi="Arial"/>
          <w:sz w:val="16"/>
          <w:szCs w:val="16"/>
          <w:color w:val="auto"/>
        </w:rPr>
        <w:t>We estimate that a 10% depreciation of Renminbi against the U.S. dollar based on the foreign exchange rate on December 31, 2017 would result in a decrease of US$10.4 million and US$9.4 million in our net revenues and cost of revenues in 2017, respectively; a 10% depreciation of Renminbi against the U.S. dollar based on the foreign exchange rate on December 31, 2018 would result in a decrease of US$14.1 million and US$11.6 million in our net revenues and cost of revenues in 2018, respectively; and a 10% depreciation of Renminbi against the U.S. dollar based on the foreign exchange rate on December 31, 2019 would result in a decrease of US$19.6 million and US$15.9 million in our net revenues and cost of revenues in 2019, respectively.</w:t>
      </w:r>
    </w:p>
    <w:p>
      <w:pPr>
        <w:spacing w:after="0" w:line="164" w:lineRule="exact"/>
        <w:rPr>
          <w:sz w:val="20"/>
          <w:szCs w:val="20"/>
          <w:color w:val="auto"/>
        </w:rPr>
      </w:pPr>
    </w:p>
    <w:p>
      <w:pPr>
        <w:ind w:right="200" w:firstLine="513"/>
        <w:spacing w:after="0" w:line="287"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revenues effectively and affect the value of your investment.</w:t>
      </w:r>
    </w:p>
    <w:p>
      <w:pPr>
        <w:spacing w:after="0" w:line="128" w:lineRule="exact"/>
        <w:rPr>
          <w:sz w:val="20"/>
          <w:szCs w:val="20"/>
          <w:color w:val="auto"/>
        </w:rPr>
      </w:pPr>
    </w:p>
    <w:p>
      <w:pPr>
        <w:ind w:firstLine="513"/>
        <w:spacing w:after="0" w:line="294" w:lineRule="auto"/>
        <w:rPr>
          <w:sz w:val="20"/>
          <w:szCs w:val="20"/>
          <w:color w:val="auto"/>
        </w:rPr>
      </w:pPr>
      <w:r>
        <w:rPr>
          <w:rFonts w:ascii="Arial" w:cs="Arial" w:eastAsia="Arial" w:hAnsi="Arial"/>
          <w:sz w:val="15"/>
          <w:szCs w:val="15"/>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 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12,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64" w:lineRule="exact"/>
        <w:rPr>
          <w:sz w:val="20"/>
          <w:szCs w:val="20"/>
          <w:color w:val="auto"/>
        </w:rPr>
      </w:pPr>
    </w:p>
    <w:p>
      <w:pPr>
        <w:ind w:right="40" w:firstLine="513"/>
        <w:spacing w:after="0" w:line="283"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8" w:lineRule="exact"/>
        <w:rPr>
          <w:sz w:val="20"/>
          <w:szCs w:val="20"/>
          <w:color w:val="auto"/>
        </w:rPr>
      </w:pPr>
    </w:p>
    <w:p>
      <w:pPr>
        <w:jc w:val="both"/>
        <w:ind w:right="260"/>
        <w:spacing w:after="0" w:line="270" w:lineRule="auto"/>
        <w:rPr>
          <w:sz w:val="20"/>
          <w:szCs w:val="20"/>
          <w:color w:val="auto"/>
        </w:rPr>
      </w:pPr>
      <w:r>
        <w:rPr>
          <w:rFonts w:ascii="Arial" w:cs="Arial" w:eastAsia="Arial" w:hAnsi="Arial"/>
          <w:sz w:val="17"/>
          <w:szCs w:val="17"/>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69" w:lineRule="exact"/>
        <w:rPr>
          <w:sz w:val="20"/>
          <w:szCs w:val="20"/>
          <w:color w:val="auto"/>
        </w:rPr>
      </w:pPr>
    </w:p>
    <w:p>
      <w:pPr>
        <w:ind w:right="20" w:firstLine="513"/>
        <w:spacing w:after="0" w:line="275"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2" w:name="page33"/>
    <w:bookmarkEnd w:id="32"/>
    <w:p>
      <w:pPr>
        <w:ind w:firstLine="513"/>
        <w:spacing w:after="0" w:line="279" w:lineRule="auto"/>
        <w:rPr>
          <w:sz w:val="20"/>
          <w:szCs w:val="20"/>
          <w:color w:val="auto"/>
        </w:rPr>
      </w:pPr>
      <w:r>
        <w:rPr>
          <w:rFonts w:ascii="Arial" w:cs="Arial" w:eastAsia="Arial" w:hAnsi="Arial"/>
          <w:sz w:val="16"/>
          <w:szCs w:val="16"/>
          <w:color w:val="auto"/>
        </w:rPr>
        <w:t>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7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54" w:lineRule="exact"/>
        <w:rPr>
          <w:sz w:val="20"/>
          <w:szCs w:val="20"/>
          <w:color w:val="auto"/>
        </w:rPr>
      </w:pPr>
    </w:p>
    <w:p>
      <w:pPr>
        <w:ind w:firstLine="513"/>
        <w:spacing w:after="0" w:line="263"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w:t>
      </w:r>
    </w:p>
    <w:p>
      <w:pPr>
        <w:spacing w:after="0" w:line="178" w:lineRule="exact"/>
        <w:rPr>
          <w:sz w:val="20"/>
          <w:szCs w:val="20"/>
          <w:color w:val="auto"/>
        </w:rPr>
      </w:pPr>
    </w:p>
    <w:p>
      <w:pPr>
        <w:ind w:right="180" w:firstLine="513"/>
        <w:spacing w:after="0" w:line="299" w:lineRule="auto"/>
        <w:rPr>
          <w:sz w:val="20"/>
          <w:szCs w:val="20"/>
          <w:color w:val="auto"/>
        </w:rPr>
      </w:pPr>
      <w:r>
        <w:rPr>
          <w:rFonts w:ascii="Arial" w:cs="Arial" w:eastAsia="Arial" w:hAnsi="Arial"/>
          <w:sz w:val="15"/>
          <w:szCs w:val="15"/>
          <w:color w:val="auto"/>
        </w:rPr>
        <w:t>Moreover, the Anti-Monopoly Law promulgated by the Standing Committee of the National People’s Congress of the PRC, which became effective in 2008 requires that transactions which are deemed concentrations and involve parties with specified turnover thresholds must be cleared by MOFCOM before they can be completed. In addition, the Notice of the General Office of the State Council on Establishing the Security Review System for Mergers and Acquisitions of Domestic Enterprises by Foreign Investors which became effective in March 2011 requires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58" w:lineRule="exact"/>
        <w:rPr>
          <w:sz w:val="20"/>
          <w:szCs w:val="20"/>
          <w:color w:val="auto"/>
        </w:rPr>
      </w:pPr>
    </w:p>
    <w:p>
      <w:pPr>
        <w:ind w:right="860"/>
        <w:spacing w:after="0" w:line="286" w:lineRule="auto"/>
        <w:rPr>
          <w:sz w:val="20"/>
          <w:szCs w:val="20"/>
          <w:color w:val="auto"/>
        </w:rPr>
      </w:pPr>
      <w:r>
        <w:rPr>
          <w:rFonts w:ascii="Arial" w:cs="Arial" w:eastAsia="Arial" w:hAnsi="Arial"/>
          <w:sz w:val="17"/>
          <w:szCs w:val="17"/>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4" w:lineRule="exact"/>
        <w:rPr>
          <w:sz w:val="20"/>
          <w:szCs w:val="20"/>
          <w:color w:val="auto"/>
        </w:rPr>
      </w:pPr>
    </w:p>
    <w:p>
      <w:pPr>
        <w:ind w:right="20" w:firstLine="513"/>
        <w:spacing w:after="0" w:line="294" w:lineRule="auto"/>
        <w:rPr>
          <w:sz w:val="20"/>
          <w:szCs w:val="20"/>
          <w:color w:val="auto"/>
        </w:rPr>
      </w:pPr>
      <w:r>
        <w:rPr>
          <w:rFonts w:ascii="Arial" w:cs="Arial" w:eastAsia="Arial" w:hAnsi="Arial"/>
          <w:sz w:val="15"/>
          <w:szCs w:val="15"/>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Overview—Regulation—Regulations on Foreign Exchange—Equity Incentive Plans.”</w:t>
      </w:r>
    </w:p>
    <w:p>
      <w:pPr>
        <w:spacing w:after="0" w:line="164" w:lineRule="exact"/>
        <w:rPr>
          <w:sz w:val="20"/>
          <w:szCs w:val="20"/>
          <w:color w:val="auto"/>
        </w:rPr>
      </w:pPr>
    </w:p>
    <w:p>
      <w:pPr>
        <w:ind w:right="60" w:firstLine="513"/>
        <w:spacing w:after="0" w:line="281" w:lineRule="auto"/>
        <w:rPr>
          <w:sz w:val="20"/>
          <w:szCs w:val="20"/>
          <w:color w:val="auto"/>
        </w:rPr>
      </w:pPr>
      <w:r>
        <w:rPr>
          <w:rFonts w:ascii="Arial" w:cs="Arial" w:eastAsia="Arial" w:hAnsi="Arial"/>
          <w:sz w:val="16"/>
          <w:szCs w:val="16"/>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Company—B. Business Overview—Regulation—Regulations on Foreign Exchange—Equity Incentive Plans.”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17" w:lineRule="exact"/>
        <w:rPr>
          <w:sz w:val="20"/>
          <w:szCs w:val="20"/>
          <w:color w:val="auto"/>
        </w:rPr>
      </w:pPr>
    </w:p>
    <w:p>
      <w:pPr>
        <w:ind w:right="120" w:firstLine="513"/>
        <w:spacing w:after="0" w:line="260"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4" w:lineRule="exact"/>
        <w:rPr>
          <w:sz w:val="20"/>
          <w:szCs w:val="20"/>
          <w:color w:val="auto"/>
        </w:rPr>
      </w:pPr>
    </w:p>
    <w:p>
      <w:pPr>
        <w:ind w:firstLine="513"/>
        <w:spacing w:after="0" w:line="294" w:lineRule="auto"/>
        <w:rPr>
          <w:sz w:val="20"/>
          <w:szCs w:val="20"/>
          <w:color w:val="auto"/>
        </w:rPr>
      </w:pPr>
      <w:r>
        <w:rPr>
          <w:rFonts w:ascii="Arial" w:cs="Arial" w:eastAsia="Arial" w:hAnsi="Arial"/>
          <w:sz w:val="15"/>
          <w:szCs w:val="15"/>
          <w:color w:val="auto"/>
        </w:rPr>
        <w:t>Under the PRC Enterprise Income Tax Law, or the EIT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as amended on December 29, 2017,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(a) the primary location of the day-to-day operational management is in the PRC; (b) decisions relating to the enterprise’s financial and human resource matters are made or are subject to approval by organizations or personnel in the PRC; (c) the enterprise’s primary assets, accounting books and records, company seals, and board and shareholder resolutions, are located or maintained in the PRC; and (d) at least 50% of voting board members or senior executives habitually reside in the PRC.</w:t>
      </w:r>
    </w:p>
    <w:p>
      <w:pPr>
        <w:spacing w:after="0" w:line="164" w:lineRule="exact"/>
        <w:rPr>
          <w:sz w:val="20"/>
          <w:szCs w:val="20"/>
          <w:color w:val="auto"/>
        </w:rPr>
      </w:pPr>
    </w:p>
    <w:p>
      <w:pPr>
        <w:ind w:right="20" w:firstLine="513"/>
        <w:spacing w:after="0" w:line="278"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“Item 10. Additional Information—E. Taxation—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firstLine="513"/>
        <w:spacing w:after="0" w:line="259"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3" w:lineRule="exact"/>
        <w:rPr>
          <w:sz w:val="20"/>
          <w:szCs w:val="20"/>
          <w:color w:val="auto"/>
        </w:rPr>
      </w:pPr>
    </w:p>
    <w:p>
      <w:pPr>
        <w:ind w:right="280" w:firstLine="513"/>
        <w:spacing w:after="0" w:line="356" w:lineRule="auto"/>
        <w:rPr>
          <w:sz w:val="20"/>
          <w:szCs w:val="20"/>
          <w:color w:val="auto"/>
        </w:rPr>
      </w:pPr>
      <w:r>
        <w:rPr>
          <w:rFonts w:ascii="Arial" w:cs="Arial" w:eastAsia="Arial" w:hAnsi="Arial"/>
          <w:sz w:val="15"/>
          <w:szCs w:val="15"/>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ind w:right="180" w:firstLine="513"/>
        <w:spacing w:after="0" w:line="323" w:lineRule="auto"/>
        <w:rPr>
          <w:sz w:val="20"/>
          <w:szCs w:val="20"/>
          <w:color w:val="auto"/>
        </w:rPr>
      </w:pPr>
      <w:r>
        <w:rPr>
          <w:rFonts w:ascii="Arial" w:cs="Arial" w:eastAsia="Arial" w:hAnsi="Arial"/>
          <w:sz w:val="15"/>
          <w:szCs w:val="15"/>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obtain certain benefits under relevant tax treaty on dividends paid by our PRC subsidiaries to us through our Hong Kong subsidiaries.</w:t>
      </w:r>
    </w:p>
    <w:p>
      <w:pPr>
        <w:spacing w:after="0" w:line="151" w:lineRule="exact"/>
        <w:rPr>
          <w:sz w:val="20"/>
          <w:szCs w:val="20"/>
          <w:color w:val="auto"/>
        </w:rPr>
      </w:pPr>
    </w:p>
    <w:p>
      <w:pPr>
        <w:ind w:right="20" w:firstLine="513"/>
        <w:spacing w:after="0" w:line="274" w:lineRule="auto"/>
        <w:rPr>
          <w:sz w:val="20"/>
          <w:szCs w:val="20"/>
          <w:color w:val="auto"/>
        </w:rPr>
      </w:pPr>
      <w:r>
        <w:rPr>
          <w:rFonts w:ascii="Arial" w:cs="Arial" w:eastAsia="Arial" w:hAnsi="Arial"/>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EIT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SAT,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“Item 10. Additional Information—E. Taxation—People’s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uncertainties with respect to indirect transfers of equity interests in PRC resident enterprises by their non-PRC holding companies.</w:t>
      </w:r>
    </w:p>
    <w:p>
      <w:pPr>
        <w:spacing w:after="0" w:line="128" w:lineRule="exact"/>
        <w:rPr>
          <w:sz w:val="20"/>
          <w:szCs w:val="20"/>
          <w:color w:val="auto"/>
        </w:rPr>
      </w:pPr>
    </w:p>
    <w:p>
      <w:pPr>
        <w:ind w:right="20" w:firstLine="513"/>
        <w:spacing w:after="0" w:line="283"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64" w:lineRule="exact"/>
        <w:rPr>
          <w:sz w:val="20"/>
          <w:szCs w:val="20"/>
          <w:color w:val="auto"/>
        </w:rPr>
      </w:pPr>
    </w:p>
    <w:p>
      <w:pPr>
        <w:ind w:firstLine="513"/>
        <w:spacing w:after="0" w:line="274" w:lineRule="auto"/>
        <w:rPr>
          <w:sz w:val="20"/>
          <w:szCs w:val="20"/>
          <w:color w:val="auto"/>
        </w:rPr>
      </w:pPr>
      <w:r>
        <w:rPr>
          <w:rFonts w:ascii="Arial" w:cs="Arial" w:eastAsia="Arial" w:hAnsi="Arial"/>
          <w:sz w:val="16"/>
          <w:szCs w:val="16"/>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applicable taxes will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556" w:right="379" w:bottom="1440" w:gutter="0" w:footer="0" w:header="0"/>
        </w:sectPr>
      </w:pPr>
    </w:p>
    <w:bookmarkStart w:id="35" w:name="page36"/>
    <w:bookmarkEnd w:id="35"/>
    <w:p>
      <w:pPr>
        <w:ind w:firstLine="513"/>
        <w:spacing w:after="0" w:line="260"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7"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b w:val="1"/>
          <w:bCs w:val="1"/>
          <w:i w:val="1"/>
          <w:iCs w:val="1"/>
          <w:color w:val="auto"/>
        </w:rPr>
        <w:t>Proceedings instituted by the SEC against China-based “big four” accounting firms, including our independent registered public accounting firm, could result in financial statements being determined to not be in compliance with the requirements of the Exchange Act.</w:t>
      </w:r>
    </w:p>
    <w:p>
      <w:pPr>
        <w:spacing w:after="0" w:line="31" w:lineRule="exact"/>
        <w:rPr>
          <w:sz w:val="20"/>
          <w:szCs w:val="20"/>
          <w:color w:val="auto"/>
        </w:rPr>
      </w:pPr>
    </w:p>
    <w:p>
      <w:pPr>
        <w:ind w:firstLine="513"/>
        <w:spacing w:after="0" w:line="274" w:lineRule="auto"/>
        <w:rPr>
          <w:sz w:val="20"/>
          <w:szCs w:val="20"/>
          <w:color w:val="auto"/>
        </w:rPr>
      </w:pPr>
      <w:r>
        <w:rPr>
          <w:rFonts w:ascii="Arial" w:cs="Arial" w:eastAsia="Arial" w:hAnsi="Arial"/>
          <w:sz w:val="16"/>
          <w:szCs w:val="16"/>
          <w:color w:val="auto"/>
        </w:rPr>
        <w:t>Starting in 2011 the PRC-based “big four” accounting firms, including the PRC-based network firm of our independent registered public accounting firm, were affected by a conflict between U.S. and Chinese law. Specifically, for certain U.S.-listed companies operating and audited in mainland China, the SEC and the Public Company Accounting Oversight Board (United States), or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 In December 2012, this impasse led the SEC to commence administrative proceedings under Rule 102(e) of its Rules of Practice and also under the Sarbanes-Oxley Act of 2002 against the China-based “big four”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 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 On February 6, 2015, before a review by the Commissioner had taken place, the firms reached a settlement with the SEC. Under the settlement, the SEC accepted that future requests by the SEC for the production of documents will normally be made to the CSRC. The firms were to receive matching Section 106 requests, and were required to abide by a detailed set of procedures with respect to such requests, which in substance require them to facilitate production via the CSRC. If they failed to meet specified criteria, the SEC retained authority to impose a variety of additional remedial measures on the firms depending on the nature of the failure.</w:t>
      </w:r>
    </w:p>
    <w:p>
      <w:pPr>
        <w:spacing w:after="0" w:line="180" w:lineRule="exact"/>
        <w:rPr>
          <w:sz w:val="20"/>
          <w:szCs w:val="20"/>
          <w:color w:val="auto"/>
        </w:rPr>
      </w:pPr>
    </w:p>
    <w:p>
      <w:pPr>
        <w:ind w:right="40" w:firstLine="513"/>
        <w:spacing w:after="0" w:line="261" w:lineRule="auto"/>
        <w:rPr>
          <w:sz w:val="20"/>
          <w:szCs w:val="20"/>
          <w:color w:val="auto"/>
        </w:rPr>
      </w:pPr>
      <w:r>
        <w:rPr>
          <w:rFonts w:ascii="Arial" w:cs="Arial" w:eastAsia="Arial" w:hAnsi="Arial"/>
          <w:sz w:val="17"/>
          <w:szCs w:val="17"/>
          <w:color w:val="auto"/>
        </w:rPr>
        <w:t>Under the terms of the settlement, the underlying proceeding against the China-based “big four” accounting firms was deemed dismissed with prejudice four years after entry of the settlement. The four-year mark occurred on February 6, 2019. We cannot predict if the SEC will further challenge China-based “big four” accounting firms’ compliance with U.S. law in connection with U.S. regulatory requests for audit work papers or if the results of such a challenge would result in the SEC imposing penalties such as suspensions. If additional remedial measures are imposed on the China-based “big four” accounting firms, including our independent registered public accounting firm, we could be unable to timely file future financial statements in compliance with the requirements of the Exchange Act.</w:t>
      </w:r>
    </w:p>
    <w:p>
      <w:pPr>
        <w:spacing w:after="0" w:line="182" w:lineRule="exact"/>
        <w:rPr>
          <w:sz w:val="20"/>
          <w:szCs w:val="20"/>
          <w:color w:val="auto"/>
        </w:rPr>
      </w:pPr>
    </w:p>
    <w:p>
      <w:pPr>
        <w:ind w:right="260" w:firstLine="513"/>
        <w:spacing w:after="0" w:line="263" w:lineRule="auto"/>
        <w:rPr>
          <w:sz w:val="20"/>
          <w:szCs w:val="20"/>
          <w:color w:val="auto"/>
        </w:rPr>
      </w:pPr>
      <w:r>
        <w:rPr>
          <w:rFonts w:ascii="Arial" w:cs="Arial" w:eastAsia="Arial" w:hAnsi="Arial"/>
          <w:sz w:val="17"/>
          <w:szCs w:val="17"/>
          <w:color w:val="auto"/>
        </w:rPr>
        <w:t>In the event that the China-based “big four” become subject to additional legal challenges by the SEC or PCAOB,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common stock may be adversely affected.</w:t>
      </w:r>
    </w:p>
    <w:p>
      <w:pPr>
        <w:spacing w:after="0" w:line="178" w:lineRule="exact"/>
        <w:rPr>
          <w:sz w:val="20"/>
          <w:szCs w:val="20"/>
          <w:color w:val="auto"/>
        </w:rPr>
      </w:pPr>
    </w:p>
    <w:p>
      <w:pPr>
        <w:ind w:firstLine="513"/>
        <w:spacing w:after="0" w:line="260" w:lineRule="auto"/>
        <w:rPr>
          <w:sz w:val="20"/>
          <w:szCs w:val="20"/>
          <w:color w:val="auto"/>
        </w:rPr>
      </w:pPr>
      <w:r>
        <w:rPr>
          <w:rFonts w:ascii="Arial" w:cs="Arial" w:eastAsia="Arial" w:hAnsi="Arial"/>
          <w:sz w:val="17"/>
          <w:szCs w:val="17"/>
          <w:color w:val="auto"/>
        </w:rPr>
        <w:t>As part of a continued regulatory focus in the United States on access to audit and other information currently protected by national law, in particular China’s, in June 2019, a bipartisan group of lawmakers introduced bills in both houses of the U.S.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prescribes increased disclosure requirements for these issuers and, beginning in 2025, the delisting from U.S. national securities exchanges such as NASDAQ Global Market of issuers included on the SEC’s list for three consecutive years. Enactment of this legislation or other efforts to increase U.S. regulatory access to audit information could cause investor uncertainty for affected issuers, including us, and the market price of our ADSs could be adversely affected.</w:t>
      </w:r>
    </w:p>
    <w:p>
      <w:pPr>
        <w:spacing w:after="0" w:line="183" w:lineRule="exact"/>
        <w:rPr>
          <w:sz w:val="20"/>
          <w:szCs w:val="20"/>
          <w:color w:val="auto"/>
        </w:rPr>
      </w:pPr>
    </w:p>
    <w:p>
      <w:pPr>
        <w:ind w:right="60" w:firstLine="513"/>
        <w:spacing w:after="0" w:line="287" w:lineRule="auto"/>
        <w:rPr>
          <w:sz w:val="20"/>
          <w:szCs w:val="20"/>
          <w:color w:val="auto"/>
        </w:rPr>
      </w:pPr>
      <w:r>
        <w:rPr>
          <w:rFonts w:ascii="Arial" w:cs="Arial" w:eastAsia="Arial" w:hAnsi="Arial"/>
          <w:sz w:val="16"/>
          <w:szCs w:val="16"/>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Nasdaq or deregistration from the SEC, or both, which would substantially reduce or effectively terminate the trading of the ADSs in the United States.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6" w:name="page37"/>
    <w:bookmarkEnd w:id="36"/>
    <w:p>
      <w:pPr>
        <w:ind w:right="260"/>
        <w:spacing w:after="0" w:line="286" w:lineRule="auto"/>
        <w:rPr>
          <w:sz w:val="20"/>
          <w:szCs w:val="20"/>
          <w:color w:val="auto"/>
        </w:rPr>
      </w:pPr>
      <w:r>
        <w:rPr>
          <w:rFonts w:ascii="Arial" w:cs="Arial" w:eastAsia="Arial" w:hAnsi="Arial"/>
          <w:sz w:val="17"/>
          <w:szCs w:val="17"/>
          <w:b w:val="1"/>
          <w:bCs w:val="1"/>
          <w:i w:val="1"/>
          <w:iCs w:val="1"/>
          <w:color w:val="auto"/>
        </w:rPr>
        <w:t>Our auditor, like other independent registered public accounting firms operating in China, is not permitted to be subject to inspection by Public Company Accounting Oversight Board, and consequently investors may be deprived of the benefits of such inspection.</w:t>
      </w:r>
    </w:p>
    <w:p>
      <w:pPr>
        <w:spacing w:after="0" w:line="54" w:lineRule="exact"/>
        <w:rPr>
          <w:sz w:val="20"/>
          <w:szCs w:val="20"/>
          <w:color w:val="auto"/>
        </w:rPr>
      </w:pPr>
    </w:p>
    <w:p>
      <w:pPr>
        <w:ind w:firstLine="513"/>
        <w:spacing w:after="0" w:line="259" w:lineRule="auto"/>
        <w:rPr>
          <w:sz w:val="20"/>
          <w:szCs w:val="20"/>
          <w:color w:val="auto"/>
        </w:rPr>
      </w:pPr>
      <w:r>
        <w:rPr>
          <w:rFonts w:ascii="Arial" w:cs="Arial" w:eastAsia="Arial" w:hAnsi="Arial"/>
          <w:sz w:val="17"/>
          <w:szCs w:val="17"/>
          <w:color w:val="auto"/>
        </w:rPr>
        <w:t>Our auditor, the independent registered public accounting firm that issued the audit reports included elsewhere in this annual report, as an auditor of companies that are traded publicly in the United States and a firm registered with PCAOB, is subject to laws in the United States pursuant to which the PCAOB conducts regular inspections to assess its compliance with applicable professional standards. Our auditor is located in China, and organized under the laws of, the PRC, which is a jurisdiction where the PCAOB has been unable to conduct inspections without the approval of the Chinese authorities. In May 2013,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PCAOB, the CSRC or the PRC Ministry of Finance in the United States and the PRC, respectively. PCAOB continues to be in discussions with the China Securities Regulatory Commission, or CSRC, and the PRC Ministry of Finance to permit joint inspections in the PRC of audit firms that are registered with PCAOB and audit Chinese companies that trade on U.S. exchanges.</w:t>
      </w:r>
    </w:p>
    <w:p>
      <w:pPr>
        <w:spacing w:after="0" w:line="183" w:lineRule="exact"/>
        <w:rPr>
          <w:sz w:val="20"/>
          <w:szCs w:val="20"/>
          <w:color w:val="auto"/>
        </w:rPr>
      </w:pPr>
    </w:p>
    <w:p>
      <w:pPr>
        <w:ind w:right="40" w:firstLine="513"/>
        <w:spacing w:after="0" w:line="259" w:lineRule="auto"/>
        <w:rPr>
          <w:sz w:val="20"/>
          <w:szCs w:val="20"/>
          <w:color w:val="auto"/>
        </w:rPr>
      </w:pPr>
      <w:r>
        <w:rPr>
          <w:rFonts w:ascii="Arial" w:cs="Arial" w:eastAsia="Arial" w:hAnsi="Arial"/>
          <w:sz w:val="17"/>
          <w:szCs w:val="17"/>
          <w:color w:val="auto"/>
        </w:rPr>
        <w:t>On December 7, 2018, the SEC and the PCAOB issued a joint statement highlighting continued challenges faced by the U.S. regulators in their oversight of financial statement audits of U.S.-listed companies with significant operations in China. In a statement issued on December 9, 2019, the SEC reiterated concerns over the inability of the PCAOB to conduct inspections of the audit firm work papers with respect to U.S.-listed companies that have operations in China, and emphasized the importance of audit quality in emerging markets, such as China. On April 21, 2020, the SEC and the PCAOB issued a new joint statement, reminding the investors that in many emerging markets, including China, there is substantially greater risk that disclosures will be incomplete or misleading and, in the event of investor harm, substantially less access to recourse, in comparison to U.S. domestic companies, and stressing again the PCAOB’s inability to inspect audit work papers in China and its potential harm to investors. However, it remains unclear what further actions, if any, the SEC and PCAOB will take to address the problem.</w:t>
      </w:r>
    </w:p>
    <w:p>
      <w:pPr>
        <w:spacing w:after="0" w:line="186" w:lineRule="exact"/>
        <w:rPr>
          <w:sz w:val="20"/>
          <w:szCs w:val="20"/>
          <w:color w:val="auto"/>
        </w:rPr>
      </w:pPr>
    </w:p>
    <w:p>
      <w:pPr>
        <w:ind w:firstLine="513"/>
        <w:spacing w:after="0" w:line="283" w:lineRule="auto"/>
        <w:rPr>
          <w:sz w:val="20"/>
          <w:szCs w:val="20"/>
          <w:color w:val="auto"/>
        </w:rPr>
      </w:pPr>
      <w:r>
        <w:rPr>
          <w:rFonts w:ascii="Arial" w:cs="Arial" w:eastAsia="Arial" w:hAnsi="Arial"/>
          <w:sz w:val="16"/>
          <w:szCs w:val="16"/>
          <w:color w:val="auto"/>
        </w:rPr>
        <w:t>This lack of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our stock to lose confidence in our audit procedures and reported financial information and the quality of our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American Depositary Shares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for our ADSs may be volatile.</w:t>
      </w:r>
    </w:p>
    <w:p>
      <w:pPr>
        <w:spacing w:after="0" w:line="117" w:lineRule="exact"/>
        <w:rPr>
          <w:sz w:val="20"/>
          <w:szCs w:val="20"/>
          <w:color w:val="auto"/>
        </w:rPr>
      </w:pPr>
    </w:p>
    <w:p>
      <w:pPr>
        <w:ind w:firstLine="513"/>
        <w:spacing w:after="0" w:line="275" w:lineRule="auto"/>
        <w:rPr>
          <w:sz w:val="20"/>
          <w:szCs w:val="20"/>
          <w:color w:val="auto"/>
        </w:rPr>
      </w:pPr>
      <w:r>
        <w:rPr>
          <w:rFonts w:ascii="Arial" w:cs="Arial" w:eastAsia="Arial" w:hAnsi="Arial"/>
          <w:sz w:val="16"/>
          <w:szCs w:val="16"/>
          <w:color w:val="auto"/>
        </w:rPr>
        <w:t>Since our ADSs became listed on NASDAQ Global Market on December 21, 2017, the trading price of our ADSs has ranged from US$2.81 to US$9.94 per ADS. The trading prices of our ADSs are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Furthermore, as a result of the narrow band of our ADSs publicly available for trading, small trades can cause significant percentage changes in valuation in a short time period. Such volatility may affect the attitude of investors towards our securities,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other factors, including the following:</w:t>
      </w:r>
    </w:p>
    <w:p>
      <w:pPr>
        <w:spacing w:after="0" w:line="128" w:lineRule="exact"/>
        <w:rPr>
          <w:sz w:val="20"/>
          <w:szCs w:val="20"/>
          <w:color w:val="auto"/>
        </w:rPr>
      </w:pPr>
    </w:p>
    <w:p>
      <w:pPr>
        <w:ind w:left="1020" w:hanging="509"/>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developments affecting us, our clients and end marketers, or our industry;</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conditions in the online marketing industry;</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660" w:right="379" w:bottom="1440" w:gutter="0" w:footer="0" w:header="0"/>
        </w:sectPr>
      </w:pPr>
    </w:p>
    <w:bookmarkStart w:id="37" w:name="page38"/>
    <w:bookmarkEnd w:id="37"/>
    <w:p>
      <w:pPr>
        <w:ind w:left="1020" w:right="20" w:hanging="509"/>
        <w:spacing w:after="0" w:line="286"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announcements of studies and reports relating to the quality of our solutions and service offerings or those of our competitors;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the economic performance or market valuations of other providers of online marketing solutions;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results of operations and changes in or revisions to our expected results;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financial estimates by securities research analysts;</w:t>
      </w:r>
    </w:p>
    <w:p>
      <w:pPr>
        <w:spacing w:after="0" w:line="116" w:lineRule="exact"/>
        <w:rPr>
          <w:rFonts w:ascii="Arial" w:cs="Arial" w:eastAsia="Arial" w:hAnsi="Arial"/>
          <w:sz w:val="17"/>
          <w:szCs w:val="17"/>
          <w:color w:val="auto"/>
        </w:rPr>
      </w:pPr>
    </w:p>
    <w:p>
      <w:pPr>
        <w:ind w:left="1020" w:right="580" w:hanging="509"/>
        <w:spacing w:after="0" w:line="286"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 and service offerings, acquisitions, strategic relationships, joint ventures or capital commitments;</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additions to or departures of our senior management;</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detrimental negative publicity about us, our management or our industry;</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of exchange rates between Renminbi and the U.S. dollar;</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release or expiry of lock-up or other transfer restrictions on our outstanding ordinary shares or ADSs;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sales or perceived potential sales of additional ordinary shares or ADSs; and</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 litigation or regulatory investing actions.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may result in large and sudden changes in the volume and price at which our ADSs will trade.</w:t>
      </w:r>
    </w:p>
    <w:p>
      <w:pPr>
        <w:spacing w:after="0" w:line="221" w:lineRule="exact"/>
        <w:rPr>
          <w:sz w:val="20"/>
          <w:szCs w:val="20"/>
          <w:color w:val="auto"/>
        </w:rPr>
      </w:pPr>
    </w:p>
    <w:p>
      <w:pPr>
        <w:ind w:right="100" w:firstLine="513"/>
        <w:spacing w:after="0" w:line="306" w:lineRule="auto"/>
        <w:rPr>
          <w:sz w:val="20"/>
          <w:szCs w:val="20"/>
          <w:color w:val="auto"/>
        </w:rPr>
      </w:pPr>
      <w:r>
        <w:rPr>
          <w:rFonts w:ascii="Arial" w:cs="Arial" w:eastAsia="Arial" w:hAnsi="Arial"/>
          <w:sz w:val="15"/>
          <w:szCs w:val="15"/>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5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4" w:lineRule="exact"/>
        <w:rPr>
          <w:sz w:val="20"/>
          <w:szCs w:val="20"/>
          <w:color w:val="auto"/>
        </w:rPr>
      </w:pPr>
    </w:p>
    <w:p>
      <w:pPr>
        <w:ind w:firstLine="513"/>
        <w:spacing w:after="0" w:line="281" w:lineRule="auto"/>
        <w:rPr>
          <w:sz w:val="20"/>
          <w:szCs w:val="20"/>
          <w:color w:val="auto"/>
        </w:rPr>
      </w:pPr>
      <w:r>
        <w:rPr>
          <w:rFonts w:ascii="Arial" w:cs="Arial" w:eastAsia="Arial" w:hAnsi="Arial"/>
          <w:sz w:val="16"/>
          <w:szCs w:val="16"/>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Our ADSs represent Class A ordinary shares.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65" w:lineRule="exact"/>
        <w:rPr>
          <w:sz w:val="20"/>
          <w:szCs w:val="20"/>
          <w:color w:val="auto"/>
        </w:rPr>
      </w:pPr>
    </w:p>
    <w:p>
      <w:pPr>
        <w:ind w:right="40" w:firstLine="513"/>
        <w:spacing w:after="0" w:line="277" w:lineRule="auto"/>
        <w:rPr>
          <w:sz w:val="20"/>
          <w:szCs w:val="20"/>
          <w:color w:val="auto"/>
        </w:rPr>
      </w:pPr>
      <w:r>
        <w:rPr>
          <w:rFonts w:ascii="Arial" w:cs="Arial" w:eastAsia="Arial" w:hAnsi="Arial"/>
          <w:sz w:val="16"/>
          <w:szCs w:val="16"/>
          <w:color w:val="auto"/>
        </w:rPr>
        <w:t>As of the date of this annual report, Mr. Sammy Hsieh and Mr. Jian Tang beneficially own an aggregate of 4,820,608 Class B ordinary shares. Due to the disparate voting powers associated with our dual-class share structure, Mr. Hsieh and Mr. Tang, collectively beneficially owned approximately 75.2% of the aggregate voting power of our company as of March 31, 2020. See “Item 6. Directors, Senior Management and Employees—E. Share Ownership.”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38" w:name="page39"/>
    <w:bookmarkEnd w:id="38"/>
    <w:p>
      <w:pPr>
        <w:ind w:right="240"/>
        <w:spacing w:after="0" w:line="286" w:lineRule="auto"/>
        <w:rPr>
          <w:sz w:val="20"/>
          <w:szCs w:val="20"/>
          <w:color w:val="auto"/>
        </w:rPr>
      </w:pPr>
      <w:r>
        <w:rPr>
          <w:rFonts w:ascii="Arial" w:cs="Arial" w:eastAsia="Arial" w:hAnsi="Arial"/>
          <w:sz w:val="17"/>
          <w:szCs w:val="17"/>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54" w:lineRule="exact"/>
        <w:rPr>
          <w:sz w:val="20"/>
          <w:szCs w:val="20"/>
          <w:color w:val="auto"/>
        </w:rPr>
      </w:pPr>
    </w:p>
    <w:p>
      <w:pPr>
        <w:ind w:right="220" w:firstLine="513"/>
        <w:spacing w:after="0" w:line="295" w:lineRule="auto"/>
        <w:rPr>
          <w:sz w:val="20"/>
          <w:szCs w:val="20"/>
          <w:color w:val="auto"/>
        </w:rPr>
      </w:pPr>
      <w:r>
        <w:rPr>
          <w:rFonts w:ascii="Arial" w:cs="Arial" w:eastAsia="Arial" w:hAnsi="Arial"/>
          <w:sz w:val="16"/>
          <w:szCs w:val="16"/>
          <w:color w:val="auto"/>
        </w:rPr>
        <w:t>Our directors and officers collectively owned an aggregate of 75.2% of the total voting power of our outstanding ordinary shares as of March 31, 2020. See “Item 6. Directors, Senior Management and Employees—E. Share Ownership.” As a result, they have substantial influence over our business, including significant corporate actions such as change of directors, mergers, change of control transactions and other significant corporate actions.</w:t>
      </w:r>
    </w:p>
    <w:p>
      <w:pPr>
        <w:spacing w:after="0" w:line="154" w:lineRule="exact"/>
        <w:rPr>
          <w:sz w:val="20"/>
          <w:szCs w:val="20"/>
          <w:color w:val="auto"/>
        </w:rPr>
      </w:pPr>
    </w:p>
    <w:p>
      <w:pPr>
        <w:ind w:right="20" w:firstLine="513"/>
        <w:spacing w:after="0" w:line="263" w:lineRule="auto"/>
        <w:rPr>
          <w:sz w:val="20"/>
          <w:szCs w:val="20"/>
          <w:color w:val="auto"/>
        </w:rPr>
      </w:pPr>
      <w:r>
        <w:rPr>
          <w:rFonts w:ascii="Arial" w:cs="Arial" w:eastAsia="Arial" w:hAnsi="Arial"/>
          <w:sz w:val="17"/>
          <w:szCs w:val="17"/>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granted, and may continue to grant, share incentives, which may result in increased share based compensation expenses.</w:t>
      </w:r>
    </w:p>
    <w:p>
      <w:pPr>
        <w:spacing w:after="0" w:line="117" w:lineRule="exact"/>
        <w:rPr>
          <w:sz w:val="20"/>
          <w:szCs w:val="20"/>
          <w:color w:val="auto"/>
        </w:rPr>
      </w:pPr>
    </w:p>
    <w:p>
      <w:pPr>
        <w:ind w:right="20" w:firstLine="513"/>
        <w:spacing w:after="0" w:line="276" w:lineRule="auto"/>
        <w:rPr>
          <w:sz w:val="20"/>
          <w:szCs w:val="20"/>
          <w:color w:val="auto"/>
        </w:rPr>
      </w:pPr>
      <w:r>
        <w:rPr>
          <w:rFonts w:ascii="Arial" w:cs="Arial" w:eastAsia="Arial" w:hAnsi="Arial"/>
          <w:sz w:val="16"/>
          <w:szCs w:val="16"/>
          <w:color w:val="auto"/>
        </w:rPr>
        <w:t>We adopted a stock option plan in 2010, or the 2010 Plan. We adopted another share incentive plan in 2017, or the 2017 Plan, which was renamed as the Post-IPO Share Incentive Plan in May 2018, or the Post-IPO Plan. We also adopted the 2018 Share Incentive Plan in May 2018, or the 2018 Plan, which replaces and reproduces the 2010 Plan in its entirety and assumes all awards granted under the 2010 Plan, or the 2018 Plan, and the 2010 Plan was terminated as a result.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restricted Class A ordinary shares to Mr. Jian Tang and certain other employees in China upon the fulfillment of certain performance conditions in 2017, and the issuance of 801,086 restricted Class A ordinary shares to Mr. Jian Tang and certain other employees in China upon the fulfillment of certain performance conditions in 2018. Since the performance conditions were not fulfilled in 2017 and 2018, the 1,068,114 and 801,086 restricted Class A ordinary shares were not issued to Mr. Jian Tang and certain other employees. We account for compensation costs for all share incentives using a fair-value based method and recognize expenses in our consolidated statements of comprehensive loss in accordance with U.S. GAAP.</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Under our 2018 Plan, the maximum aggregate number of Class A ordinary shares which may be issued pursuant to all awards under the plan is 2,398,137.</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2020, options to purchase 632,055 Class A ordinary shares were outstanding under our 2018 Plan, including unvested options to purchase 6,728</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and vested and unexercised options to purchase 625,327 Class A ordinary shares.</w:t>
      </w:r>
    </w:p>
    <w:p>
      <w:pPr>
        <w:spacing w:after="0" w:line="208" w:lineRule="exact"/>
        <w:rPr>
          <w:sz w:val="20"/>
          <w:szCs w:val="20"/>
          <w:color w:val="auto"/>
        </w:rPr>
      </w:pPr>
    </w:p>
    <w:p>
      <w:pPr>
        <w:ind w:right="60" w:firstLine="513"/>
        <w:spacing w:after="0" w:line="300" w:lineRule="auto"/>
        <w:rPr>
          <w:sz w:val="20"/>
          <w:szCs w:val="20"/>
          <w:color w:val="auto"/>
        </w:rPr>
      </w:pPr>
      <w:r>
        <w:rPr>
          <w:rFonts w:ascii="Arial" w:cs="Arial" w:eastAsia="Arial" w:hAnsi="Arial"/>
          <w:sz w:val="15"/>
          <w:szCs w:val="15"/>
          <w:color w:val="auto"/>
        </w:rPr>
        <w:t>On September 22, 2018, our board of directors of the Registrant approved an increase of 1,500,000 Class A ordinary shares to the award pool under the Post-IPO Plan. As a result, the maximum number of ordinary shares which may be issued pursuant to all awards under the Post-IPO Plan shall initially be 2,500,000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As of the date hereof, the award pool under the Post-IPO Plan is 2,841,374 Class A ordinary shares. As of March 31, 2020, 902,735 Class A ordinary shares are outstanding under our Post-IPO Plan, representing the shares underlying the unvested 902,735 restricted Class A ordinary shares units.</w:t>
      </w:r>
    </w:p>
    <w:p>
      <w:pPr>
        <w:spacing w:after="0" w:line="156" w:lineRule="exact"/>
        <w:rPr>
          <w:sz w:val="20"/>
          <w:szCs w:val="20"/>
          <w:color w:val="auto"/>
        </w:rPr>
      </w:pPr>
    </w:p>
    <w:p>
      <w:pPr>
        <w:ind w:right="140" w:firstLine="513"/>
        <w:spacing w:after="0" w:line="281" w:lineRule="auto"/>
        <w:rPr>
          <w:sz w:val="20"/>
          <w:szCs w:val="20"/>
          <w:color w:val="auto"/>
        </w:rPr>
      </w:pPr>
      <w:r>
        <w:rPr>
          <w:rFonts w:ascii="Arial" w:cs="Arial" w:eastAsia="Arial" w:hAnsi="Arial"/>
          <w:sz w:val="16"/>
          <w:szCs w:val="16"/>
          <w:color w:val="auto"/>
        </w:rPr>
        <w:t>We account for shared-based compensation for these share incentive awards using a fair value based method and recognize expenses in our consolidated statements of comprehensive loss in accordance with U.S. GAAP. We will incur additional share based compensation expenses in the future as we continue to grant share incentives using the ordinary shares reserved for this platform. See “Item 6. Directors, Senior Management and Employees—B. Compensation of Directors and Executive Officers—Share Incentive Plans”.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6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54" w:lineRule="exact"/>
        <w:rPr>
          <w:sz w:val="20"/>
          <w:szCs w:val="20"/>
          <w:color w:val="auto"/>
        </w:rPr>
      </w:pPr>
    </w:p>
    <w:p>
      <w:pPr>
        <w:ind w:firstLine="513"/>
        <w:spacing w:after="0" w:line="263" w:lineRule="auto"/>
        <w:rPr>
          <w:sz w:val="20"/>
          <w:szCs w:val="20"/>
          <w:color w:val="auto"/>
        </w:rPr>
      </w:pPr>
      <w:r>
        <w:rPr>
          <w:rFonts w:ascii="Arial" w:cs="Arial" w:eastAsia="Arial" w:hAnsi="Arial"/>
          <w:sz w:val="17"/>
          <w:szCs w:val="17"/>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firstLine="513"/>
        <w:spacing w:after="0" w:line="265" w:lineRule="auto"/>
        <w:rPr>
          <w:sz w:val="20"/>
          <w:szCs w:val="20"/>
          <w:color w:val="auto"/>
        </w:rPr>
      </w:pPr>
      <w:r>
        <w:rPr>
          <w:rFonts w:ascii="Arial" w:cs="Arial" w:eastAsia="Arial" w:hAnsi="Arial"/>
          <w:sz w:val="17"/>
          <w:szCs w:val="17"/>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including potential sales of our securities upon the conversion of our convertible notes, or any other shareholder or the availability of these securities for future sale will have on the market price of our ADSs.</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price appreciation of our ADSs for return on your investment.</w:t>
      </w:r>
    </w:p>
    <w:p>
      <w:pPr>
        <w:spacing w:after="0" w:line="140" w:lineRule="exact"/>
        <w:rPr>
          <w:sz w:val="20"/>
          <w:szCs w:val="20"/>
          <w:color w:val="auto"/>
        </w:rPr>
      </w:pPr>
    </w:p>
    <w:p>
      <w:pPr>
        <w:jc w:val="both"/>
        <w:ind w:right="320" w:firstLine="513"/>
        <w:spacing w:after="0" w:line="270" w:lineRule="auto"/>
        <w:rPr>
          <w:sz w:val="20"/>
          <w:szCs w:val="20"/>
          <w:color w:val="auto"/>
        </w:rPr>
      </w:pPr>
      <w:r>
        <w:rPr>
          <w:rFonts w:ascii="Arial" w:cs="Arial" w:eastAsia="Arial" w:hAnsi="Arial"/>
          <w:sz w:val="17"/>
          <w:szCs w:val="17"/>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73" w:lineRule="exact"/>
        <w:rPr>
          <w:sz w:val="20"/>
          <w:szCs w:val="20"/>
          <w:color w:val="auto"/>
        </w:rPr>
      </w:pPr>
    </w:p>
    <w:p>
      <w:pPr>
        <w:ind w:right="140" w:firstLine="513"/>
        <w:spacing w:after="0" w:line="277"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7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Our memorandum and articles of association that contain anti-takeover provisions that could discourage a third party from acquiring us and adversely affect the rights of holders of our Class A ordinary shares and ADSs.</w:t>
      </w:r>
    </w:p>
    <w:p>
      <w:pPr>
        <w:spacing w:after="0" w:line="54" w:lineRule="exact"/>
        <w:rPr>
          <w:sz w:val="20"/>
          <w:szCs w:val="20"/>
          <w:color w:val="auto"/>
        </w:rPr>
      </w:pPr>
    </w:p>
    <w:p>
      <w:pPr>
        <w:ind w:firstLine="513"/>
        <w:spacing w:after="0" w:line="261" w:lineRule="auto"/>
        <w:rPr>
          <w:sz w:val="20"/>
          <w:szCs w:val="20"/>
          <w:color w:val="auto"/>
        </w:rPr>
      </w:pPr>
      <w:r>
        <w:rPr>
          <w:rFonts w:ascii="Arial" w:cs="Arial" w:eastAsia="Arial" w:hAnsi="Arial"/>
          <w:sz w:val="17"/>
          <w:szCs w:val="17"/>
          <w:color w:val="auto"/>
        </w:rPr>
        <w:t>Our memorandum and articles of association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8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69" w:lineRule="exact"/>
        <w:rPr>
          <w:sz w:val="20"/>
          <w:szCs w:val="20"/>
          <w:color w:val="auto"/>
        </w:rPr>
      </w:pPr>
    </w:p>
    <w:p>
      <w:pPr>
        <w:ind w:right="140" w:firstLine="513"/>
        <w:spacing w:after="0" w:line="263" w:lineRule="auto"/>
        <w:rPr>
          <w:sz w:val="20"/>
          <w:szCs w:val="20"/>
          <w:color w:val="auto"/>
        </w:rPr>
      </w:pPr>
      <w:r>
        <w:rPr>
          <w:rFonts w:ascii="Arial" w:cs="Arial" w:eastAsia="Arial" w:hAnsi="Arial"/>
          <w:sz w:val="17"/>
          <w:szCs w:val="17"/>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74" w:lineRule="exact"/>
        <w:rPr>
          <w:sz w:val="20"/>
          <w:szCs w:val="20"/>
          <w:color w:val="auto"/>
        </w:rPr>
      </w:pPr>
    </w:p>
    <w:p>
      <w:pPr>
        <w:ind w:left="1020" w:right="160" w:hanging="509"/>
        <w:spacing w:after="0" w:line="286"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shareholder approval for certain events, including the establishment or amendment of certain equity based compensation plans and arrangements and certain transactions involving issuances of 20% or more interest in our company;</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majority of independent directors on our board of directors;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only independent directors being involved in the selection of director nominees and determination of executive officer compensation; and</w:t>
      </w:r>
    </w:p>
    <w:p>
      <w:pPr>
        <w:spacing w:after="0" w:line="128" w:lineRule="exact"/>
        <w:rPr>
          <w:rFonts w:ascii="Arial" w:cs="Arial" w:eastAsia="Arial" w:hAnsi="Arial"/>
          <w:sz w:val="16"/>
          <w:szCs w:val="16"/>
          <w:color w:val="auto"/>
        </w:rPr>
      </w:pPr>
    </w:p>
    <w:p>
      <w:pPr>
        <w:ind w:left="1020" w:hanging="509"/>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regularly scheduled executive sessions of independent directors.</w:t>
      </w:r>
    </w:p>
    <w:p>
      <w:pPr>
        <w:spacing w:after="0" w:line="221" w:lineRule="exact"/>
        <w:rPr>
          <w:sz w:val="20"/>
          <w:szCs w:val="20"/>
          <w:color w:val="auto"/>
        </w:rPr>
      </w:pPr>
    </w:p>
    <w:p>
      <w:pPr>
        <w:ind w:right="120" w:firstLine="513"/>
        <w:spacing w:after="0" w:line="286" w:lineRule="auto"/>
        <w:rPr>
          <w:sz w:val="20"/>
          <w:szCs w:val="20"/>
          <w:color w:val="auto"/>
        </w:rPr>
      </w:pPr>
      <w:r>
        <w:rPr>
          <w:rFonts w:ascii="Arial" w:cs="Arial" w:eastAsia="Arial" w:hAnsi="Arial"/>
          <w:sz w:val="17"/>
          <w:szCs w:val="17"/>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40" w:name="page41"/>
    <w:bookmarkEnd w:id="40"/>
    <w:p>
      <w:pPr>
        <w:ind w:right="100"/>
        <w:spacing w:after="0" w:line="286" w:lineRule="auto"/>
        <w:rPr>
          <w:sz w:val="20"/>
          <w:szCs w:val="20"/>
          <w:color w:val="auto"/>
        </w:rPr>
      </w:pPr>
      <w:r>
        <w:rPr>
          <w:rFonts w:ascii="Arial" w:cs="Arial" w:eastAsia="Arial" w:hAnsi="Arial"/>
          <w:sz w:val="17"/>
          <w:szCs w:val="17"/>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4" w:lineRule="exact"/>
        <w:rPr>
          <w:sz w:val="20"/>
          <w:szCs w:val="20"/>
          <w:color w:val="auto"/>
        </w:rPr>
      </w:pPr>
    </w:p>
    <w:p>
      <w:pPr>
        <w:ind w:right="40" w:firstLine="513"/>
        <w:spacing w:after="0" w:line="258"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(2020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8" w:lineRule="exact"/>
        <w:rPr>
          <w:sz w:val="20"/>
          <w:szCs w:val="20"/>
          <w:color w:val="auto"/>
        </w:rPr>
      </w:pPr>
    </w:p>
    <w:p>
      <w:pPr>
        <w:ind w:right="200" w:firstLine="513"/>
        <w:spacing w:after="0" w:line="263"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or to obtain copies of lists of shareholders of these companies. Our directors will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78" w:lineRule="exact"/>
        <w:rPr>
          <w:sz w:val="20"/>
          <w:szCs w:val="20"/>
          <w:color w:val="auto"/>
        </w:rPr>
      </w:pPr>
    </w:p>
    <w:p>
      <w:pPr>
        <w:ind w:right="160" w:firstLine="513"/>
        <w:spacing w:after="0" w:line="356" w:lineRule="auto"/>
        <w:rPr>
          <w:sz w:val="20"/>
          <w:szCs w:val="20"/>
          <w:color w:val="auto"/>
        </w:rPr>
      </w:pPr>
      <w:r>
        <w:rPr>
          <w:rFonts w:ascii="Arial" w:cs="Arial" w:eastAsia="Arial" w:hAnsi="Arial"/>
          <w:sz w:val="15"/>
          <w:szCs w:val="15"/>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 xml:space="preserve">You may experience difficulties in effecting service of legal process and enforcing </w:t>
      </w:r>
      <w:r>
        <w:rPr>
          <w:rFonts w:ascii="Arial" w:cs="Arial" w:eastAsia="Arial" w:hAnsi="Arial"/>
          <w:sz w:val="17"/>
          <w:szCs w:val="17"/>
          <w:color w:val="auto"/>
        </w:rPr>
        <w:t>judgments obtained against us, our directors or</w:t>
      </w:r>
      <w:r>
        <w:rPr>
          <w:rFonts w:ascii="Arial" w:cs="Arial" w:eastAsia="Arial" w:hAnsi="Arial"/>
          <w:sz w:val="17"/>
          <w:szCs w:val="17"/>
          <w:b w:val="1"/>
          <w:bCs w:val="1"/>
          <w:i w:val="1"/>
          <w:iCs w:val="1"/>
          <w:color w:val="auto"/>
        </w:rPr>
        <w:t xml:space="preserve"> our </w:t>
      </w:r>
      <w:r>
        <w:rPr>
          <w:rFonts w:ascii="Arial" w:cs="Arial" w:eastAsia="Arial" w:hAnsi="Arial"/>
          <w:sz w:val="17"/>
          <w:szCs w:val="17"/>
          <w:color w:val="auto"/>
        </w:rPr>
        <w:t>officers</w:t>
      </w:r>
      <w:r>
        <w:rPr>
          <w:rFonts w:ascii="Arial" w:cs="Arial" w:eastAsia="Arial" w:hAnsi="Arial"/>
          <w:sz w:val="17"/>
          <w:szCs w:val="17"/>
          <w:b w:val="1"/>
          <w:bCs w:val="1"/>
          <w:i w:val="1"/>
          <w:iCs w:val="1"/>
          <w:color w:val="auto"/>
        </w:rPr>
        <w:t xml:space="preserve">, and the ability of U.S. authorities to bring actions against us, our directors or our officers in China may also </w:t>
      </w:r>
      <w:r>
        <w:rPr>
          <w:rFonts w:ascii="Arial" w:cs="Arial" w:eastAsia="Arial" w:hAnsi="Arial"/>
          <w:sz w:val="17"/>
          <w:szCs w:val="17"/>
          <w:color w:val="auto"/>
        </w:rPr>
        <w:t>be</w:t>
      </w:r>
      <w:r>
        <w:rPr>
          <w:rFonts w:ascii="Arial" w:cs="Arial" w:eastAsia="Arial" w:hAnsi="Arial"/>
          <w:sz w:val="17"/>
          <w:szCs w:val="17"/>
          <w:b w:val="1"/>
          <w:bCs w:val="1"/>
          <w:i w:val="1"/>
          <w:iCs w:val="1"/>
          <w:color w:val="auto"/>
        </w:rPr>
        <w:t xml:space="preserve"> limited.</w:t>
      </w:r>
    </w:p>
    <w:p>
      <w:pPr>
        <w:spacing w:after="0" w:line="54" w:lineRule="exact"/>
        <w:rPr>
          <w:sz w:val="20"/>
          <w:szCs w:val="20"/>
          <w:color w:val="auto"/>
        </w:rPr>
      </w:pPr>
    </w:p>
    <w:p>
      <w:pPr>
        <w:ind w:right="40" w:firstLine="513"/>
        <w:spacing w:after="0" w:line="277" w:lineRule="auto"/>
        <w:rPr>
          <w:sz w:val="20"/>
          <w:szCs w:val="20"/>
          <w:color w:val="auto"/>
        </w:rPr>
      </w:pPr>
      <w:r>
        <w:rPr>
          <w:rFonts w:ascii="Arial" w:cs="Arial" w:eastAsia="Arial" w:hAnsi="Arial"/>
          <w:sz w:val="16"/>
          <w:szCs w:val="16"/>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addition, due to jurisdictional limitations, matters of comity and various other factors, the SEC, Department of Justice (“DOJ”) and other U.S. authorities may be limited in their ability to take enforcement actions, including in instances of fraud, against us or our directors and officers in China. In addition, shareholder claims that are common in the United States, including class action securities law and fraud claims, generally uncommon in China.</w:t>
      </w:r>
    </w:p>
    <w:p>
      <w:pPr>
        <w:spacing w:after="0" w:line="27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The voting rights of holders of ADSs are limited by the terms of the deposit agreement, and you may not be able to exercise your right to vote your Class A ordinary shares.</w:t>
      </w:r>
    </w:p>
    <w:p>
      <w:pPr>
        <w:spacing w:after="0" w:line="54" w:lineRule="exact"/>
        <w:rPr>
          <w:sz w:val="20"/>
          <w:szCs w:val="20"/>
          <w:color w:val="auto"/>
        </w:rPr>
      </w:pPr>
    </w:p>
    <w:p>
      <w:pPr>
        <w:ind w:firstLine="513"/>
        <w:spacing w:after="0" w:line="278"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w:t>
      </w:r>
    </w:p>
    <w:p>
      <w:pPr>
        <w:spacing w:after="0" w:line="168" w:lineRule="exact"/>
        <w:rPr>
          <w:sz w:val="20"/>
          <w:szCs w:val="20"/>
          <w:color w:val="auto"/>
        </w:rPr>
      </w:pPr>
    </w:p>
    <w:p>
      <w:pPr>
        <w:ind w:right="100" w:firstLine="513"/>
        <w:spacing w:after="0" w:line="265" w:lineRule="auto"/>
        <w:rPr>
          <w:sz w:val="20"/>
          <w:szCs w:val="20"/>
          <w:color w:val="auto"/>
        </w:rPr>
      </w:pPr>
      <w:r>
        <w:rPr>
          <w:rFonts w:ascii="Arial" w:cs="Arial" w:eastAsia="Arial" w:hAnsi="Arial"/>
          <w:sz w:val="17"/>
          <w:szCs w:val="17"/>
          <w:color w:val="auto"/>
        </w:rPr>
        <w:t>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41" w:name="page42"/>
    <w:bookmarkEnd w:id="41"/>
    <w:p>
      <w:pPr>
        <w:ind w:right="100"/>
        <w:spacing w:after="0" w:line="286" w:lineRule="auto"/>
        <w:rPr>
          <w:sz w:val="20"/>
          <w:szCs w:val="20"/>
          <w:color w:val="auto"/>
        </w:rPr>
      </w:pPr>
      <w:r>
        <w:rPr>
          <w:rFonts w:ascii="Arial" w:cs="Arial" w:eastAsia="Arial" w:hAnsi="Arial"/>
          <w:sz w:val="17"/>
          <w:szCs w:val="17"/>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54" w:lineRule="exact"/>
        <w:rPr>
          <w:sz w:val="20"/>
          <w:szCs w:val="20"/>
          <w:color w:val="auto"/>
        </w:rPr>
      </w:pPr>
    </w:p>
    <w:p>
      <w:pPr>
        <w:jc w:val="both"/>
        <w:ind w:right="200" w:firstLine="513"/>
        <w:spacing w:after="0" w:line="270" w:lineRule="auto"/>
        <w:rPr>
          <w:sz w:val="20"/>
          <w:szCs w:val="20"/>
          <w:color w:val="auto"/>
        </w:rPr>
      </w:pPr>
      <w:r>
        <w:rPr>
          <w:rFonts w:ascii="Arial" w:cs="Arial" w:eastAsia="Arial" w:hAnsi="Arial"/>
          <w:sz w:val="17"/>
          <w:szCs w:val="17"/>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w:t>
      </w:r>
    </w:p>
    <w:p>
      <w:pPr>
        <w:spacing w:after="0" w:line="173" w:lineRule="exact"/>
        <w:rPr>
          <w:sz w:val="20"/>
          <w:szCs w:val="20"/>
          <w:color w:val="auto"/>
        </w:rPr>
      </w:pPr>
    </w:p>
    <w:p>
      <w:pPr>
        <w:ind w:right="40" w:firstLine="513"/>
        <w:spacing w:after="0" w:line="281" w:lineRule="auto"/>
        <w:rPr>
          <w:sz w:val="20"/>
          <w:szCs w:val="20"/>
          <w:color w:val="auto"/>
        </w:rPr>
      </w:pPr>
      <w:r>
        <w:rPr>
          <w:rFonts w:ascii="Arial" w:cs="Arial" w:eastAsia="Arial" w:hAnsi="Arial"/>
          <w:sz w:val="16"/>
          <w:szCs w:val="16"/>
          <w:color w:val="auto"/>
        </w:rPr>
        <w:t>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(a) the granting of such discretionary proxy does not subject the depositary to any reporting obligations in the Cayman Islands, (b) the granting of such proxy will not result in a violation of any applicable law, public rule or regulation in force in the Cayman Islands and (c) the courts of the Cayman Islands will give effect to the voting arrangement and deemed instruction as contemplated in the proxy under Cayman Islands law.</w:t>
      </w:r>
    </w:p>
    <w:p>
      <w:pPr>
        <w:spacing w:after="0" w:line="165" w:lineRule="exact"/>
        <w:rPr>
          <w:sz w:val="20"/>
          <w:szCs w:val="20"/>
          <w:color w:val="auto"/>
        </w:rPr>
      </w:pPr>
    </w:p>
    <w:p>
      <w:pPr>
        <w:ind w:right="80" w:firstLine="513"/>
        <w:spacing w:after="0" w:line="265" w:lineRule="auto"/>
        <w:rPr>
          <w:sz w:val="20"/>
          <w:szCs w:val="20"/>
          <w:color w:val="auto"/>
        </w:rPr>
      </w:pPr>
      <w:r>
        <w:rPr>
          <w:rFonts w:ascii="Arial" w:cs="Arial" w:eastAsia="Arial" w:hAnsi="Arial"/>
          <w:sz w:val="17"/>
          <w:szCs w:val="17"/>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54" w:lineRule="exact"/>
        <w:rPr>
          <w:sz w:val="20"/>
          <w:szCs w:val="20"/>
          <w:color w:val="auto"/>
        </w:rPr>
      </w:pPr>
    </w:p>
    <w:p>
      <w:pPr>
        <w:ind w:firstLine="513"/>
        <w:spacing w:after="0" w:line="279" w:lineRule="auto"/>
        <w:rPr>
          <w:sz w:val="20"/>
          <w:szCs w:val="20"/>
          <w:color w:val="auto"/>
        </w:rPr>
      </w:pPr>
      <w:r>
        <w:rPr>
          <w:rFonts w:ascii="Arial" w:cs="Arial" w:eastAsia="Arial" w:hAnsi="Arial"/>
          <w:sz w:val="16"/>
          <w:szCs w:val="16"/>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20" w:firstLine="513"/>
        <w:spacing w:after="0" w:line="279"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7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54" w:lineRule="exact"/>
        <w:rPr>
          <w:sz w:val="20"/>
          <w:szCs w:val="20"/>
          <w:color w:val="auto"/>
        </w:rPr>
      </w:pPr>
    </w:p>
    <w:p>
      <w:pPr>
        <w:ind w:right="40" w:firstLine="513"/>
        <w:spacing w:after="0" w:line="297" w:lineRule="auto"/>
        <w:rPr>
          <w:sz w:val="20"/>
          <w:szCs w:val="20"/>
          <w:color w:val="auto"/>
        </w:rPr>
      </w:pPr>
      <w:r>
        <w:rPr>
          <w:rFonts w:ascii="Arial" w:cs="Arial" w:eastAsia="Arial" w:hAnsi="Arial"/>
          <w:sz w:val="15"/>
          <w:szCs w:val="15"/>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You may be subject to limitations on transfer of your ADSs.</w:t>
      </w:r>
    </w:p>
    <w:p>
      <w:pPr>
        <w:spacing w:after="0" w:line="117" w:lineRule="exact"/>
        <w:rPr>
          <w:sz w:val="20"/>
          <w:szCs w:val="20"/>
          <w:color w:val="auto"/>
        </w:rPr>
      </w:pPr>
    </w:p>
    <w:p>
      <w:pPr>
        <w:ind w:right="80" w:firstLine="513"/>
        <w:spacing w:after="0" w:line="287"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Because we qualify as a foreign private issuer under the Exchange Act, we are exempt from certain provisions of the securities rules and regulations in the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United States that are applicable to U.S. domestic issuers, including:</w:t>
      </w:r>
    </w:p>
    <w:p>
      <w:pPr>
        <w:spacing w:after="0" w:line="104" w:lineRule="exact"/>
        <w:rPr>
          <w:sz w:val="20"/>
          <w:szCs w:val="20"/>
          <w:color w:val="auto"/>
        </w:rPr>
      </w:pPr>
    </w:p>
    <w:p>
      <w:pPr>
        <w:ind w:left="1020" w:hanging="509"/>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16" w:lineRule="exact"/>
        <w:rPr>
          <w:rFonts w:ascii="Arial" w:cs="Arial" w:eastAsia="Arial" w:hAnsi="Arial"/>
          <w:sz w:val="17"/>
          <w:szCs w:val="17"/>
          <w:color w:val="auto"/>
        </w:rPr>
      </w:pPr>
    </w:p>
    <w:p>
      <w:pPr>
        <w:ind w:left="1020" w:right="480" w:hanging="509"/>
        <w:spacing w:after="0" w:line="286"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sections of the Exchange Act regulating the solicitation of proxies, consents, or authorizations in respect of a security registered under the Exchange Act;</w:t>
      </w:r>
    </w:p>
    <w:p>
      <w:pPr>
        <w:spacing w:after="0" w:line="54" w:lineRule="exact"/>
        <w:rPr>
          <w:rFonts w:ascii="Arial" w:cs="Arial" w:eastAsia="Arial" w:hAnsi="Arial"/>
          <w:sz w:val="17"/>
          <w:szCs w:val="17"/>
          <w:color w:val="auto"/>
        </w:rPr>
      </w:pPr>
    </w:p>
    <w:p>
      <w:pPr>
        <w:ind w:left="1020" w:right="320" w:hanging="509"/>
        <w:spacing w:after="0" w:line="286"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sections of the Exchange Act requiring insiders to file public reports of their stock ownership and trading activities and liability for insiders who profit from trades made in a short period of time; and</w:t>
      </w:r>
    </w:p>
    <w:p>
      <w:pPr>
        <w:spacing w:after="0" w:line="54" w:lineRule="exact"/>
        <w:rPr>
          <w:rFonts w:ascii="Arial" w:cs="Arial" w:eastAsia="Arial" w:hAnsi="Arial"/>
          <w:sz w:val="17"/>
          <w:szCs w:val="17"/>
          <w:color w:val="auto"/>
        </w:rPr>
      </w:pPr>
    </w:p>
    <w:p>
      <w:pPr>
        <w:ind w:left="1020" w:hanging="509"/>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selective disclosure rules by issuers of material nonpublic information under Regulation FD.</w:t>
      </w:r>
    </w:p>
    <w:p>
      <w:pPr>
        <w:spacing w:after="0" w:line="221" w:lineRule="exact"/>
        <w:rPr>
          <w:sz w:val="20"/>
          <w:szCs w:val="20"/>
          <w:color w:val="auto"/>
        </w:rPr>
      </w:pPr>
    </w:p>
    <w:p>
      <w:pPr>
        <w:ind w:right="60" w:firstLine="513"/>
        <w:spacing w:after="0" w:line="263"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Securities Act and may take advantage of certain reduced reporting requirements. However, such reduced reporting requirements may make our ADSs less attractive to investors.</w:t>
      </w:r>
    </w:p>
    <w:p>
      <w:pPr>
        <w:spacing w:after="0" w:line="54" w:lineRule="exact"/>
        <w:rPr>
          <w:sz w:val="20"/>
          <w:szCs w:val="20"/>
          <w:color w:val="auto"/>
        </w:rPr>
      </w:pPr>
    </w:p>
    <w:p>
      <w:pPr>
        <w:ind w:right="220" w:firstLine="513"/>
        <w:spacing w:after="0" w:line="26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right="100" w:firstLine="513"/>
        <w:spacing w:after="0" w:line="265" w:lineRule="auto"/>
        <w:rPr>
          <w:sz w:val="20"/>
          <w:szCs w:val="20"/>
          <w:color w:val="auto"/>
        </w:rPr>
      </w:pPr>
      <w:r>
        <w:rPr>
          <w:rFonts w:ascii="Arial" w:cs="Arial" w:eastAsia="Arial" w:hAnsi="Arial"/>
          <w:sz w:val="17"/>
          <w:szCs w:val="17"/>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have incurred increased costs as a result of being a public company, and our compliance costs may continue to increase in the future, particularly after we cease to qualify as an emerging growth company.</w:t>
      </w:r>
    </w:p>
    <w:p>
      <w:pPr>
        <w:spacing w:after="0" w:line="54" w:lineRule="exact"/>
        <w:rPr>
          <w:sz w:val="20"/>
          <w:szCs w:val="20"/>
          <w:color w:val="auto"/>
        </w:rPr>
      </w:pPr>
    </w:p>
    <w:p>
      <w:pPr>
        <w:ind w:right="20" w:firstLine="513"/>
        <w:spacing w:after="0" w:line="276" w:lineRule="auto"/>
        <w:rPr>
          <w:sz w:val="20"/>
          <w:szCs w:val="20"/>
          <w:color w:val="auto"/>
        </w:rPr>
      </w:pPr>
      <w:r>
        <w:rPr>
          <w:rFonts w:ascii="Arial" w:cs="Arial" w:eastAsia="Arial" w:hAnsi="Arial"/>
          <w:sz w:val="16"/>
          <w:szCs w:val="16"/>
          <w:color w:val="auto"/>
        </w:rPr>
        <w:t>We have incurred additional legal, accounting and other expenses as a public reporting company. In addition, we will incur additional costs when we cease to qualify as an emerging growth company, which occurs on the earliest of (a) the last day of the fiscal year during which we have total annual gross revenues of at least US$1.07 billion; (b) December 31, 2022;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firstLine="513"/>
        <w:spacing w:after="0" w:line="299"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58" w:lineRule="exact"/>
        <w:rPr>
          <w:sz w:val="20"/>
          <w:szCs w:val="20"/>
          <w:color w:val="auto"/>
        </w:rPr>
      </w:pPr>
    </w:p>
    <w:p>
      <w:pPr>
        <w:ind w:right="60"/>
        <w:spacing w:after="0" w:line="356" w:lineRule="auto"/>
        <w:rPr>
          <w:sz w:val="20"/>
          <w:szCs w:val="20"/>
          <w:color w:val="auto"/>
        </w:rPr>
      </w:pPr>
      <w:r>
        <w:rPr>
          <w:rFonts w:ascii="Arial" w:cs="Arial" w:eastAsia="Arial" w:hAnsi="Arial"/>
          <w:sz w:val="15"/>
          <w:szCs w:val="15"/>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9" w:lineRule="exact"/>
        <w:rPr>
          <w:sz w:val="20"/>
          <w:szCs w:val="20"/>
          <w:color w:val="auto"/>
        </w:rPr>
      </w:pPr>
    </w:p>
    <w:p>
      <w:pPr>
        <w:ind w:right="40" w:firstLine="513"/>
        <w:spacing w:after="0" w:line="260"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its gross income for such year consists of certain types of “passive” income or (b) 50% or more of the average quarterly value of its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83" w:lineRule="exact"/>
        <w:rPr>
          <w:sz w:val="20"/>
          <w:szCs w:val="20"/>
          <w:color w:val="auto"/>
        </w:rPr>
      </w:pPr>
    </w:p>
    <w:p>
      <w:pPr>
        <w:ind w:right="20" w:firstLine="513"/>
        <w:spacing w:after="0" w:line="265" w:lineRule="auto"/>
        <w:rPr>
          <w:sz w:val="20"/>
          <w:szCs w:val="20"/>
          <w:color w:val="auto"/>
        </w:rPr>
      </w:pPr>
      <w:r>
        <w:rPr>
          <w:rFonts w:ascii="Arial" w:cs="Arial" w:eastAsia="Arial" w:hAnsi="Arial"/>
          <w:sz w:val="17"/>
          <w:szCs w:val="17"/>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If we do not deploy significant amounts of cash for active purposes, our risk of being a PFIC may substantially increase.</w:t>
      </w:r>
    </w:p>
    <w:p>
      <w:pPr>
        <w:spacing w:after="0" w:line="177" w:lineRule="exact"/>
        <w:rPr>
          <w:sz w:val="20"/>
          <w:szCs w:val="20"/>
          <w:color w:val="auto"/>
        </w:rPr>
      </w:pPr>
    </w:p>
    <w:p>
      <w:pPr>
        <w:ind w:right="20" w:firstLine="513"/>
        <w:spacing w:after="0" w:line="260" w:lineRule="auto"/>
        <w:rPr>
          <w:sz w:val="20"/>
          <w:szCs w:val="20"/>
          <w:color w:val="auto"/>
        </w:rPr>
      </w:pPr>
      <w:r>
        <w:rPr>
          <w:rFonts w:ascii="Arial" w:cs="Arial" w:eastAsia="Arial" w:hAnsi="Arial"/>
          <w:sz w:val="17"/>
          <w:szCs w:val="17"/>
          <w:color w:val="auto"/>
        </w:rPr>
        <w:t>If we are a PFIC in any taxable year, a U.S. Holder (as defined in “Item 10. Additional Information—E. Taxation—United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such U.S. Holder generally will be required to continue to treat us as a PFIC for all succeeding years during which such U.S. Holder holds our ADSs or ordinary shares. For more information, see “Item 10. Additional Information—E. Taxation—United States Federal Income Tax Considerations—Passive Foreign Investment Company Rules.”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4.INFORMATION ON THE COMPANY</w:t>
      </w:r>
    </w:p>
    <w:p>
      <w:pPr>
        <w:spacing w:after="0" w:line="123" w:lineRule="exact"/>
        <w:rPr>
          <w:sz w:val="20"/>
          <w:szCs w:val="20"/>
          <w:color w:val="auto"/>
        </w:rPr>
      </w:pPr>
    </w:p>
    <w:p>
      <w:pPr>
        <w:ind w:left="520" w:hanging="516"/>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History and Development of the Company</w:t>
      </w:r>
    </w:p>
    <w:p>
      <w:pPr>
        <w:spacing w:after="0" w:line="117" w:lineRule="exact"/>
        <w:rPr>
          <w:sz w:val="20"/>
          <w:szCs w:val="20"/>
          <w:color w:val="auto"/>
        </w:rPr>
      </w:pPr>
    </w:p>
    <w:p>
      <w:pPr>
        <w:ind w:right="140" w:firstLine="513"/>
        <w:spacing w:after="0" w:line="265" w:lineRule="auto"/>
        <w:rPr>
          <w:sz w:val="20"/>
          <w:szCs w:val="20"/>
          <w:color w:val="auto"/>
        </w:rPr>
      </w:pPr>
      <w:r>
        <w:rPr>
          <w:rFonts w:ascii="Arial" w:cs="Arial" w:eastAsia="Arial" w:hAnsi="Arial"/>
          <w:sz w:val="17"/>
          <w:szCs w:val="17"/>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77" w:lineRule="exact"/>
        <w:rPr>
          <w:sz w:val="20"/>
          <w:szCs w:val="20"/>
          <w:color w:val="auto"/>
        </w:rPr>
      </w:pPr>
    </w:p>
    <w:p>
      <w:pPr>
        <w:ind w:right="580" w:firstLine="513"/>
        <w:spacing w:after="0" w:line="286" w:lineRule="auto"/>
        <w:rPr>
          <w:sz w:val="20"/>
          <w:szCs w:val="20"/>
          <w:color w:val="auto"/>
        </w:rPr>
      </w:pPr>
      <w:r>
        <w:rPr>
          <w:rFonts w:ascii="Arial" w:cs="Arial" w:eastAsia="Arial" w:hAnsi="Arial"/>
          <w:sz w:val="17"/>
          <w:szCs w:val="17"/>
          <w:color w:val="auto"/>
        </w:rPr>
        <w:t>In September 2010, we set up Diablo Holdings Corporation, a company incorporated in the British Virgin Islands, which focuses on search engine marketing and operates in China through Search Asia Technology (Shenzhen) Co., Ltd., its wholly-owned subsidiary.</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clients in Southeast Asia.</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January 2013, we incorporated Performance Media Group Limited in Hong Kong to further expand our online marketing business.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July 2013, we set up Tetris Media (Shanghai) Co., Ltd., as our wholly-owned PRC subsidiary.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ind w:right="20" w:firstLine="513"/>
        <w:spacing w:after="0" w:line="311" w:lineRule="auto"/>
        <w:rPr>
          <w:sz w:val="20"/>
          <w:szCs w:val="20"/>
          <w:color w:val="auto"/>
        </w:rPr>
      </w:pPr>
      <w:r>
        <w:rPr>
          <w:rFonts w:ascii="Arial" w:cs="Arial" w:eastAsia="Arial" w:hAnsi="Arial"/>
          <w:sz w:val="15"/>
          <w:szCs w:val="15"/>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operated in China from November 2014 to March 2018 through Buzzinate (Shanghai) Information Technology Co., Ltd., its wholly-owned subsidiary. In March 2018, Buzzinate (Shanghai) Information Technology Co., Ltd. ceased its operations. In March 2019, Buzzinate Company Limited ceased its operations.</w:t>
      </w:r>
    </w:p>
    <w:p>
      <w:pPr>
        <w:spacing w:after="0" w:line="147" w:lineRule="exact"/>
        <w:rPr>
          <w:sz w:val="20"/>
          <w:szCs w:val="20"/>
          <w:color w:val="auto"/>
        </w:rPr>
      </w:pPr>
    </w:p>
    <w:p>
      <w:pPr>
        <w:ind w:firstLine="513"/>
        <w:spacing w:after="0" w:line="258" w:lineRule="auto"/>
        <w:rPr>
          <w:sz w:val="20"/>
          <w:szCs w:val="20"/>
          <w:color w:val="auto"/>
        </w:rPr>
      </w:pPr>
      <w:r>
        <w:rPr>
          <w:rFonts w:ascii="Arial" w:cs="Arial" w:eastAsia="Arial" w:hAnsi="Arial"/>
          <w:sz w:val="17"/>
          <w:szCs w:val="17"/>
          <w:color w:val="auto"/>
        </w:rPr>
        <w:t>In July 2015, we acquired all shares in OptAim Ltd., or OptAim, and substantially expanded our online marketing business into mobile channels to identify, engage and convert mobile marketing. Under the terms of the share purchase agreement, we acquired all equity interests in OptAim Ltd., including those of OptAim Ltd.’s VIE entity, OptAim Network, from its existing shareholders Igomax Inc. (an entity controlled by Mr. Jian Tang), Zaffre Investments Inc., Sohu. com Limited, and BAI GmbH, for a total consideration of RMB10 million and US$14,365,345 in cash and 2,535,091 of our ordinary shares. As part of the agreement, Mr. Jian Tang and Ms. Jie Jiao became the nominee shareholders of OptAim Network. Mr. Jian Tang is our co-founder, director and chief executive officer. Ms. Jie Jiao is our then chief financial officer. As of the date of this annual report, Mr. Jian Tang and Ms. Jie Jiao are the nominee shareholders of OptAim Network, and we are arranging the transfer of Ms. Jie Jiao’s equity interest in OptAim Network to an affiliate of our company. In addition, Optimix Media Asia Limited made two loans in the aggregate amount of US$5.0 million to OptAim, Ltd. to pay a special dividend to Igomax Inc. Igomax Inc., Sohu.com Limited and Mr. Jian Tang each agreed to a non-compete and non-solicitation undertaking with respect to OptAim Ltd. and its consolidated subsidiaries for a period of three years. OptAim operates in China through OptAim Beijing, its wholly-owned subsidiary. OptAim Beijing has entered into a set of contractual arrangements with OptAim Network, a company incorporated in China, OptAim Network’s nominee shareholders, and Zhiyunzhong, the wholly-owned Chinese subsidiary of OptAim Network.</w:t>
      </w:r>
    </w:p>
    <w:p>
      <w:pPr>
        <w:spacing w:after="0" w:line="184" w:lineRule="exact"/>
        <w:rPr>
          <w:sz w:val="20"/>
          <w:szCs w:val="20"/>
          <w:color w:val="auto"/>
        </w:rPr>
      </w:pPr>
    </w:p>
    <w:p>
      <w:pPr>
        <w:jc w:val="both"/>
        <w:ind w:right="300" w:firstLine="513"/>
        <w:spacing w:after="0" w:line="270" w:lineRule="auto"/>
        <w:rPr>
          <w:sz w:val="20"/>
          <w:szCs w:val="20"/>
          <w:color w:val="auto"/>
        </w:rPr>
      </w:pPr>
      <w:r>
        <w:rPr>
          <w:rFonts w:ascii="Arial" w:cs="Arial" w:eastAsia="Arial" w:hAnsi="Arial"/>
          <w:sz w:val="17"/>
          <w:szCs w:val="17"/>
          <w:color w:val="auto"/>
        </w:rPr>
        <w:t>As a result of these contractual arrangements, we have effective control over, and are the primary beneficiary of, OptAim Network and therefore treat OptAim Network and its subsidiaries as our consolidated affiliated entities under U.S. GAAP and have consolidated their financial results in our consolidated financial statements in accordance with U.S. GAAP.</w:t>
      </w:r>
    </w:p>
    <w:p>
      <w:pPr>
        <w:spacing w:after="0" w:line="173" w:lineRule="exact"/>
        <w:rPr>
          <w:sz w:val="20"/>
          <w:szCs w:val="20"/>
          <w:color w:val="auto"/>
        </w:rPr>
      </w:pPr>
    </w:p>
    <w:p>
      <w:pPr>
        <w:jc w:val="both"/>
        <w:ind w:right="280" w:firstLine="513"/>
        <w:spacing w:after="0" w:line="286" w:lineRule="auto"/>
        <w:rPr>
          <w:sz w:val="20"/>
          <w:szCs w:val="20"/>
          <w:color w:val="auto"/>
        </w:rPr>
      </w:pPr>
      <w:r>
        <w:rPr>
          <w:rFonts w:ascii="Arial" w:cs="Arial" w:eastAsia="Arial" w:hAnsi="Arial"/>
          <w:sz w:val="17"/>
          <w:szCs w:val="17"/>
          <w:color w:val="auto"/>
        </w:rPr>
        <w:t>On December 21, 2017, our ADSs commenced trading on Nasdaq Global Market under the symbol “ICLK.” We raised from our initial public offering approximately $23,325,000 in net proceeds after deducting underwriting commissions and the offering expenses payable by us.</w:t>
      </w:r>
    </w:p>
    <w:p>
      <w:pPr>
        <w:spacing w:after="0" w:line="159" w:lineRule="exact"/>
        <w:rPr>
          <w:sz w:val="20"/>
          <w:szCs w:val="20"/>
          <w:color w:val="auto"/>
        </w:rPr>
      </w:pPr>
    </w:p>
    <w:p>
      <w:pPr>
        <w:ind w:right="40" w:firstLine="513"/>
        <w:spacing w:after="0" w:line="265" w:lineRule="auto"/>
        <w:rPr>
          <w:sz w:val="20"/>
          <w:szCs w:val="20"/>
          <w:color w:val="auto"/>
        </w:rPr>
      </w:pPr>
      <w:r>
        <w:rPr>
          <w:rFonts w:ascii="Arial" w:cs="Arial" w:eastAsia="Arial" w:hAnsi="Arial"/>
          <w:sz w:val="17"/>
          <w:szCs w:val="17"/>
          <w:color w:val="auto"/>
        </w:rPr>
        <w:t>In May 2018, we launched a strategic growth initiative beyond our core online marketing operation to provide SaaS-based enterprise solutions. Our enterprise solutions help enterprise optimize their capabilities to leverage various types of data, and help them reduce costs and allow for easy integration with other platforms and applications. Our enterprise solutions help us foster closer relationship with our clients beyond digital marketing. Enterprises can make better and more informed choices during their decision- making process through our enterprise solutions.</w:t>
      </w:r>
    </w:p>
    <w:p>
      <w:pPr>
        <w:spacing w:after="0" w:line="177" w:lineRule="exact"/>
        <w:rPr>
          <w:sz w:val="20"/>
          <w:szCs w:val="20"/>
          <w:color w:val="auto"/>
        </w:rPr>
      </w:pPr>
    </w:p>
    <w:p>
      <w:pPr>
        <w:ind w:right="500" w:firstLine="513"/>
        <w:spacing w:after="0" w:line="356" w:lineRule="auto"/>
        <w:rPr>
          <w:sz w:val="20"/>
          <w:szCs w:val="20"/>
          <w:color w:val="auto"/>
        </w:rPr>
      </w:pPr>
      <w:r>
        <w:rPr>
          <w:rFonts w:ascii="Arial" w:cs="Arial" w:eastAsia="Arial" w:hAnsi="Arial"/>
          <w:sz w:val="15"/>
          <w:szCs w:val="15"/>
          <w:color w:val="auto"/>
        </w:rPr>
        <w:t>On June 27, 2018, we announced a strategic partnership with, MezzoMedia, a leading digital marketing solution company in Korea. This new collaboration is a continuation of our strategy to expand our international footprint and provide effective targeted access to digital marketers around world.</w:t>
      </w:r>
    </w:p>
    <w:p>
      <w:pPr>
        <w:spacing w:after="0" w:line="113" w:lineRule="exact"/>
        <w:rPr>
          <w:sz w:val="20"/>
          <w:szCs w:val="20"/>
          <w:color w:val="auto"/>
        </w:rPr>
      </w:pPr>
    </w:p>
    <w:p>
      <w:pPr>
        <w:ind w:right="100" w:firstLine="513"/>
        <w:spacing w:after="0" w:line="279" w:lineRule="auto"/>
        <w:rPr>
          <w:sz w:val="20"/>
          <w:szCs w:val="20"/>
          <w:color w:val="auto"/>
        </w:rPr>
      </w:pPr>
      <w:r>
        <w:rPr>
          <w:rFonts w:ascii="Arial" w:cs="Arial" w:eastAsia="Arial" w:hAnsi="Arial"/>
          <w:sz w:val="16"/>
          <w:szCs w:val="16"/>
          <w:color w:val="auto"/>
        </w:rPr>
        <w:t>On September 12, 2018, we issued US$30 million in aggregate principal amount of mandatory convertible notes due September 12, 2023, or the 2018 Notes, to a fund managed by LIM Advisors Limited, a non-U.S. person, in an offshore transaction exempt from registration with the SEC under Regulation S of the Securities Act, or Regulation S. CLSA acted as our exclusive financial advisor for the placement. On October 1, 2019, we entered into a purchase agreement (as amended on November 14, 2019) to buy back US$20 million in aggregate principal amount of the 2018 Notes, and this buy-back had been completed by March 31, 2020. In January and February 2020, we entered into two convertible note purchase agreements with Cheer Lead Global Limited, or Cheer Lead, and New Business Holdings Limited, or New Business, respectively, under which we agreed to sell and transfer to Cheer Lead and New Business portions of the 2018 Notes we bought back in the aggregate principal amounts of US$3.45 million and US$13.1 million, respectively.</w:t>
      </w:r>
    </w:p>
    <w:p>
      <w:pPr>
        <w:spacing w:after="0" w:line="168" w:lineRule="exact"/>
        <w:rPr>
          <w:sz w:val="20"/>
          <w:szCs w:val="20"/>
          <w:color w:val="auto"/>
        </w:rPr>
      </w:pPr>
    </w:p>
    <w:p>
      <w:pPr>
        <w:ind w:right="60" w:firstLine="513"/>
        <w:spacing w:after="0" w:line="270" w:lineRule="auto"/>
        <w:rPr>
          <w:sz w:val="20"/>
          <w:szCs w:val="20"/>
          <w:color w:val="auto"/>
        </w:rPr>
      </w:pPr>
      <w:r>
        <w:rPr>
          <w:rFonts w:ascii="Arial" w:cs="Arial" w:eastAsia="Arial" w:hAnsi="Arial"/>
          <w:sz w:val="17"/>
          <w:szCs w:val="17"/>
          <w:color w:val="auto"/>
        </w:rPr>
        <w:t>In November 2018, we made a controlling investment in Myhayo, a content distribution channel and a mobile content aggregator of articles and short videos in the PRC, which presents customized feeds to users via its mobile application. The acquisition may further increase our market shares in the PRC online marketing segment, particularly in relation to mobile platform.</w:t>
      </w:r>
    </w:p>
    <w:p>
      <w:pPr>
        <w:spacing w:after="0" w:line="173" w:lineRule="exact"/>
        <w:rPr>
          <w:sz w:val="20"/>
          <w:szCs w:val="20"/>
          <w:color w:val="auto"/>
        </w:rPr>
      </w:pPr>
    </w:p>
    <w:p>
      <w:pPr>
        <w:jc w:val="both"/>
        <w:ind w:right="220" w:firstLine="513"/>
        <w:spacing w:after="0" w:line="270" w:lineRule="auto"/>
        <w:rPr>
          <w:sz w:val="20"/>
          <w:szCs w:val="20"/>
          <w:color w:val="auto"/>
        </w:rPr>
      </w:pPr>
      <w:r>
        <w:rPr>
          <w:rFonts w:ascii="Arial" w:cs="Arial" w:eastAsia="Arial" w:hAnsi="Arial"/>
          <w:sz w:val="17"/>
          <w:szCs w:val="17"/>
          <w:color w:val="auto"/>
        </w:rPr>
        <w:t>In January 2019, we made a controlling investment in Changyi, a leading independent software vendor based in Shanghai. Changyi provides intelligent retail and CRM solutions to clients, allowing them to consolidate consumer’s online and offline information to provide connection within the organization and stakeholders. The acquisition further enhances of our enterprise solutions.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45" w:name="page46"/>
    <w:bookmarkEnd w:id="45"/>
    <w:p>
      <w:pPr>
        <w:ind w:right="60" w:firstLine="513"/>
        <w:spacing w:after="0" w:line="265" w:lineRule="auto"/>
        <w:rPr>
          <w:sz w:val="20"/>
          <w:szCs w:val="20"/>
          <w:color w:val="auto"/>
        </w:rPr>
      </w:pPr>
      <w:r>
        <w:rPr>
          <w:rFonts w:ascii="Arial" w:cs="Arial" w:eastAsia="Arial" w:hAnsi="Arial"/>
          <w:sz w:val="17"/>
          <w:szCs w:val="17"/>
          <w:color w:val="auto"/>
        </w:rPr>
        <w:t>In May 2019, we entered into a strategic partnership agreement with BTG WELINK, the online retail services arm of Beijing Tourism Group, or BTG, one of the top ten tourism service groups in China, and Tencent. As part of this partnership, we will leverage Tencent’s big data advertising platform to apply our marketing solutions and enterprise solutions to help BTG build a private demand side platform. This includes developing precision marketing campaigns, and equipping BTG’s frontline staff with mobile apps that support smart shopping, marketing and member retention.</w:t>
      </w:r>
    </w:p>
    <w:p>
      <w:pPr>
        <w:spacing w:after="0" w:line="177" w:lineRule="exact"/>
        <w:rPr>
          <w:sz w:val="20"/>
          <w:szCs w:val="20"/>
          <w:color w:val="auto"/>
        </w:rPr>
      </w:pPr>
    </w:p>
    <w:p>
      <w:pPr>
        <w:ind w:firstLine="513"/>
        <w:spacing w:after="0" w:line="270" w:lineRule="auto"/>
        <w:rPr>
          <w:sz w:val="20"/>
          <w:szCs w:val="20"/>
          <w:color w:val="auto"/>
        </w:rPr>
      </w:pPr>
      <w:r>
        <w:rPr>
          <w:rFonts w:ascii="Arial" w:cs="Arial" w:eastAsia="Arial" w:hAnsi="Arial"/>
          <w:sz w:val="17"/>
          <w:szCs w:val="17"/>
          <w:color w:val="auto"/>
        </w:rPr>
        <w:t>In May 2019, we formed a joint venture with VGI Global Media Plc, or VGI, in Thailand to expand the geographic reach of our marketing solutions. Through VGI, we offer a suite of mobile and new media solutions to help Southeast Asian consumer brands understand the purchasing behaviors of and penetrate Chinese consumers traveling in Thailand.</w:t>
      </w:r>
    </w:p>
    <w:p>
      <w:pPr>
        <w:spacing w:after="0" w:line="173" w:lineRule="exact"/>
        <w:rPr>
          <w:sz w:val="20"/>
          <w:szCs w:val="20"/>
          <w:color w:val="auto"/>
        </w:rPr>
      </w:pPr>
    </w:p>
    <w:p>
      <w:pPr>
        <w:ind w:firstLine="513"/>
        <w:spacing w:after="0" w:line="258" w:lineRule="auto"/>
        <w:rPr>
          <w:sz w:val="20"/>
          <w:szCs w:val="20"/>
          <w:color w:val="auto"/>
        </w:rPr>
      </w:pPr>
      <w:r>
        <w:rPr>
          <w:rFonts w:ascii="Arial" w:cs="Arial" w:eastAsia="Arial" w:hAnsi="Arial"/>
          <w:sz w:val="17"/>
          <w:szCs w:val="17"/>
          <w:color w:val="auto"/>
        </w:rPr>
        <w:t>On November 11, 2019, we issued a three-year convertible note due November 11, 2022 in aggregate principal amount of US$20 million to Marine Central Limited, or Marine Central, a non-U.S. person, in an offshore transaction exempt from registration with the SEC under Regulation S. On December 16, 2019, we issued a three-year convertible note due December 16, 2022 in aggregate principal amount of US$10 million to Tech Famous Limited, or Tech Famous, a non-U.S. person, in an offshore transaction exempt from registration with the SEC under Regulation S. We intend to use the net proceeds of these convertible notes primarily for continued investment in our enterprise solutions and other new businesses. On February 18, 2020, Marine Central and Tech Famous elected to early convert the entire principal amounts of these convertible notes into our Class A ordinary shares, instead of ADSs, at a price of US$7.8 per share. In connection with the issuance of these convertible notes, we issued warrants to purchase up to 4,651,162 ADSs to Eaglestride Limited, the financial adviser in these transactions, as compensation for its services, at an exercise price of US$4.30 per ADS, subject to adjustments to be specified in the warrants, in an offshore transaction exempt from registration with the SEC in reliance on Regulation S. The warrants are exercisable on or after December 16, 2020, and will expire on December 16, 2022.</w:t>
      </w:r>
    </w:p>
    <w:p>
      <w:pPr>
        <w:spacing w:after="0" w:line="188" w:lineRule="exact"/>
        <w:rPr>
          <w:sz w:val="20"/>
          <w:szCs w:val="20"/>
          <w:color w:val="auto"/>
        </w:rPr>
      </w:pPr>
    </w:p>
    <w:p>
      <w:pPr>
        <w:ind w:right="160" w:firstLine="513"/>
        <w:spacing w:after="0" w:line="287" w:lineRule="auto"/>
        <w:rPr>
          <w:sz w:val="20"/>
          <w:szCs w:val="20"/>
          <w:color w:val="auto"/>
        </w:rPr>
      </w:pPr>
      <w:r>
        <w:rPr>
          <w:rFonts w:ascii="Arial" w:cs="Arial" w:eastAsia="Arial" w:hAnsi="Arial"/>
          <w:sz w:val="16"/>
          <w:szCs w:val="16"/>
          <w:color w:val="auto"/>
        </w:rPr>
        <w:t>Our principal executive offices are located at 15/F, Prosperity Millennia Plaza, 663 King’s Road, Quarry Bay, Hong Kong S.A.R. Our telephone number at this address is (852) 3700 9000. Our registered office in the Cayman Islands is located at Maples Corporate Services Limited at PO Box 309, Ugland House, Grand Cayman, KY1-1104, Cayman Islands. Our internet address is www.i-click.com. The SEC also maintains an internet site at www.sec.gov that contains reports, proxy and information statements, and other information regarding registrants that make electronic filings with the SEC.</w:t>
      </w:r>
    </w:p>
    <w:p>
      <w:pPr>
        <w:spacing w:after="0" w:line="265" w:lineRule="exact"/>
        <w:rPr>
          <w:sz w:val="20"/>
          <w:szCs w:val="20"/>
          <w:color w:val="auto"/>
        </w:rPr>
      </w:pPr>
    </w:p>
    <w:p>
      <w:pPr>
        <w:ind w:left="520" w:hanging="516"/>
        <w:spacing w:after="0"/>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Business Overview</w:t>
      </w:r>
    </w:p>
    <w:p>
      <w:pPr>
        <w:spacing w:after="0" w:line="117" w:lineRule="exact"/>
        <w:rPr>
          <w:sz w:val="20"/>
          <w:szCs w:val="20"/>
          <w:color w:val="auto"/>
        </w:rPr>
      </w:pPr>
    </w:p>
    <w:p>
      <w:pPr>
        <w:ind w:right="20" w:firstLine="513"/>
        <w:spacing w:after="0" w:line="263" w:lineRule="auto"/>
        <w:rPr>
          <w:sz w:val="20"/>
          <w:szCs w:val="20"/>
          <w:color w:val="auto"/>
        </w:rPr>
      </w:pPr>
      <w:r>
        <w:rPr>
          <w:rFonts w:ascii="Arial" w:cs="Arial" w:eastAsia="Arial" w:hAnsi="Arial"/>
          <w:sz w:val="17"/>
          <w:szCs w:val="17"/>
          <w:color w:val="auto"/>
        </w:rPr>
        <w:t>We are a leading independent online marketing and enterprise data solutions provider in China</w:t>
      </w:r>
      <w:r>
        <w:rPr>
          <w:rFonts w:ascii="Arial" w:cs="Arial" w:eastAsia="Arial" w:hAnsi="Arial"/>
          <w:sz w:val="17"/>
          <w:szCs w:val="17"/>
          <w:i w:val="1"/>
          <w:iCs w:val="1"/>
          <w:color w:val="auto"/>
        </w:rPr>
        <w:t>.</w:t>
      </w:r>
      <w:r>
        <w:rPr>
          <w:rFonts w:ascii="Arial" w:cs="Arial" w:eastAsia="Arial" w:hAnsi="Arial"/>
          <w:sz w:val="17"/>
          <w:szCs w:val="17"/>
          <w:color w:val="auto"/>
        </w:rPr>
        <w:t xml:space="preserve"> 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8" w:lineRule="exact"/>
        <w:rPr>
          <w:sz w:val="20"/>
          <w:szCs w:val="20"/>
          <w:color w:val="auto"/>
        </w:rPr>
      </w:pPr>
    </w:p>
    <w:p>
      <w:pPr>
        <w:ind w:right="60" w:firstLine="513"/>
        <w:spacing w:after="0" w:line="277" w:lineRule="auto"/>
        <w:rPr>
          <w:sz w:val="20"/>
          <w:szCs w:val="20"/>
          <w:color w:val="auto"/>
        </w:rPr>
      </w:pPr>
      <w:r>
        <w:rPr>
          <w:rFonts w:ascii="Arial" w:cs="Arial" w:eastAsia="Arial" w:hAnsi="Arial"/>
          <w:sz w:val="16"/>
          <w:szCs w:val="16"/>
          <w:color w:val="auto"/>
        </w:rPr>
        <w:t>Our online marketing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March 31, 2020, we analyzed approximately 930.8 million active profiled users with 22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70" w:lineRule="exact"/>
        <w:rPr>
          <w:sz w:val="20"/>
          <w:szCs w:val="20"/>
          <w:color w:val="auto"/>
        </w:rPr>
      </w:pPr>
    </w:p>
    <w:p>
      <w:pPr>
        <w:ind w:right="40" w:firstLine="513"/>
        <w:spacing w:after="0" w:line="311" w:lineRule="auto"/>
        <w:rPr>
          <w:sz w:val="20"/>
          <w:szCs w:val="20"/>
          <w:color w:val="auto"/>
        </w:rPr>
      </w:pPr>
      <w:r>
        <w:rPr>
          <w:rFonts w:ascii="Arial" w:cs="Arial" w:eastAsia="Arial" w:hAnsi="Arial"/>
          <w:sz w:val="15"/>
          <w:szCs w:val="15"/>
          <w:color w:val="auto"/>
        </w:rPr>
        <w:t>Our platform appeals to marketers by offering omni-channel reach to the Chinese audience. We provide our clients with onestop access to a wide variety of cross-channel content distribution opportunities, including those from leading online publishers in China. In the 30 days leading up to March 31, 2020, we covered approximately 125,000 mobile apps and 2.3 million websites. We work closely with our content distribution partners to facilitate innovative and effective audience engagement. In 2018 and 2019, our gross billing from marketing solutions amounted to US$399.7 million and US$640.8 million, respectively.</w:t>
      </w:r>
    </w:p>
    <w:p>
      <w:pPr>
        <w:spacing w:after="0" w:line="147" w:lineRule="exact"/>
        <w:rPr>
          <w:sz w:val="20"/>
          <w:szCs w:val="20"/>
          <w:color w:val="auto"/>
        </w:rPr>
      </w:pPr>
    </w:p>
    <w:p>
      <w:pPr>
        <w:ind w:right="160" w:firstLine="513"/>
        <w:spacing w:after="0" w:line="261" w:lineRule="auto"/>
        <w:rPr>
          <w:sz w:val="20"/>
          <w:szCs w:val="20"/>
          <w:color w:val="auto"/>
        </w:rPr>
      </w:pPr>
      <w:r>
        <w:rPr>
          <w:rFonts w:ascii="Arial" w:cs="Arial" w:eastAsia="Arial" w:hAnsi="Arial"/>
          <w:sz w:val="17"/>
          <w:szCs w:val="17"/>
          <w:color w:val="auto"/>
        </w:rPr>
        <w:t>Leveraging our data analytics and experience and expertise in online marketing, in May 2018, we launched a strategic growth initiative beyond our core online marketing operation to provide SaaS-based enterprise solutions. Our data-driven enterprise solutions, which are built on Tencent cloud and leverage Tencent’s proprietary API connection and mini programs in Tencent’s Wechat ecosystem, help enterprises maximize the value of their data to gain actionable insights to improve CRM, decision-making and establishment of data-management platforms. Through the enterprise solutions, we are able to foster deeper relationship with clients beyond online marketing. In addition, as our clients increasingly adopt our enterprise solutions, we are able to continue to enhance the quantity, quality, and diversity of our data assets and refine our data analytics.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46" w:name="page47"/>
    <w:bookmarkEnd w:id="46"/>
    <w:p>
      <w:pPr>
        <w:ind w:right="200" w:firstLine="513"/>
        <w:spacing w:after="0" w:line="265" w:lineRule="auto"/>
        <w:rPr>
          <w:sz w:val="20"/>
          <w:szCs w:val="20"/>
          <w:color w:val="auto"/>
        </w:rPr>
      </w:pPr>
      <w:r>
        <w:rPr>
          <w:rFonts w:ascii="Arial" w:cs="Arial" w:eastAsia="Arial" w:hAnsi="Arial"/>
          <w:sz w:val="17"/>
          <w:szCs w:val="17"/>
          <w:color w:val="auto"/>
        </w:rPr>
        <w:t>We take a flexible approach to deliver our solutions in order to cater to the preferences and levels of internal resources and expertise of our clients. Our clients may choose to access our solutions through (i) self-service, when which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77" w:lineRule="exact"/>
        <w:rPr>
          <w:sz w:val="20"/>
          <w:szCs w:val="20"/>
          <w:color w:val="auto"/>
        </w:rPr>
      </w:pPr>
    </w:p>
    <w:p>
      <w:pPr>
        <w:ind w:firstLine="513"/>
        <w:spacing w:after="0" w:line="265" w:lineRule="auto"/>
        <w:rPr>
          <w:sz w:val="20"/>
          <w:szCs w:val="20"/>
          <w:color w:val="auto"/>
        </w:rPr>
      </w:pPr>
      <w:r>
        <w:rPr>
          <w:rFonts w:ascii="Arial" w:cs="Arial" w:eastAsia="Arial" w:hAnsi="Arial"/>
          <w:sz w:val="17"/>
          <w:szCs w:val="17"/>
          <w:color w:val="auto"/>
        </w:rPr>
        <w:t>The success of our solutions is evidenced by our strong, diverse and loyal client base from a broad range of industry verticals, including entertainment and media, E-commerce, travel and hospitality, automobile and petroleum, and banking and finance. Our clients include direct marketers and marketing agencies, and feature companies of different sizes, including more than 270 multinationals companies in 2019, as well as small and medium-sized enterprises, and from different geographic regions in and outside China.</w:t>
      </w:r>
    </w:p>
    <w:p>
      <w:pPr>
        <w:spacing w:after="0" w:line="177" w:lineRule="exact"/>
        <w:rPr>
          <w:sz w:val="20"/>
          <w:szCs w:val="20"/>
          <w:color w:val="auto"/>
        </w:rPr>
      </w:pPr>
    </w:p>
    <w:p>
      <w:pPr>
        <w:ind w:right="260" w:firstLine="513"/>
        <w:spacing w:after="0" w:line="270" w:lineRule="auto"/>
        <w:rPr>
          <w:sz w:val="20"/>
          <w:szCs w:val="20"/>
          <w:color w:val="auto"/>
        </w:rPr>
      </w:pPr>
      <w:r>
        <w:rPr>
          <w:rFonts w:ascii="Arial" w:cs="Arial" w:eastAsia="Arial" w:hAnsi="Arial"/>
          <w:sz w:val="17"/>
          <w:szCs w:val="17"/>
          <w:color w:val="auto"/>
        </w:rPr>
        <w:t>For our online marketing solutions, we generate revenue primarily from clients’ marketing spend through our platform as they utilize our solutions in cost-plus and specified action marketing campaigns, and to a less extent from incentives granted by the publisher under our sales agency arrangement. For our enterprise solutions, we generate revenue primarily from the upfront and on- going subscription fees clients pay.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Online Marketing Solutions</w:t>
      </w:r>
    </w:p>
    <w:p>
      <w:pPr>
        <w:spacing w:after="0" w:line="123" w:lineRule="exact"/>
        <w:rPr>
          <w:sz w:val="20"/>
          <w:szCs w:val="20"/>
          <w:color w:val="auto"/>
        </w:rPr>
      </w:pPr>
    </w:p>
    <w:p>
      <w:pPr>
        <w:ind w:right="400" w:firstLine="513"/>
        <w:spacing w:after="0" w:line="270" w:lineRule="auto"/>
        <w:rPr>
          <w:sz w:val="20"/>
          <w:szCs w:val="20"/>
          <w:color w:val="auto"/>
        </w:rPr>
      </w:pPr>
      <w:r>
        <w:rPr>
          <w:rFonts w:ascii="Arial" w:cs="Arial" w:eastAsia="Arial" w:hAnsi="Arial"/>
          <w:sz w:val="17"/>
          <w:szCs w:val="17"/>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69" w:lineRule="exact"/>
        <w:rPr>
          <w:sz w:val="20"/>
          <w:szCs w:val="20"/>
          <w:color w:val="auto"/>
        </w:rPr>
      </w:pPr>
    </w:p>
    <w:p>
      <w:pPr>
        <w:ind w:left="1020" w:hanging="509"/>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identify their potential customers;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engage and activate potential customers;</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monitor and measure the results of online marketing campaigns; and</w:t>
      </w:r>
    </w:p>
    <w:p>
      <w:pPr>
        <w:spacing w:after="0" w:line="116" w:lineRule="exact"/>
        <w:rPr>
          <w:rFonts w:ascii="Arial" w:cs="Arial" w:eastAsia="Arial" w:hAnsi="Arial"/>
          <w:sz w:val="17"/>
          <w:szCs w:val="17"/>
          <w:color w:val="auto"/>
        </w:rPr>
      </w:pPr>
    </w:p>
    <w:p>
      <w:pPr>
        <w:ind w:left="1020" w:hanging="509"/>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create content catering to their potential customers.</w:t>
      </w:r>
    </w:p>
    <w:p>
      <w:pPr>
        <w:spacing w:after="0" w:line="221" w:lineRule="exact"/>
        <w:rPr>
          <w:sz w:val="20"/>
          <w:szCs w:val="20"/>
          <w:color w:val="auto"/>
        </w:rPr>
      </w:pPr>
    </w:p>
    <w:p>
      <w:pPr>
        <w:ind w:right="80" w:firstLine="513"/>
        <w:spacing w:after="0" w:line="286" w:lineRule="auto"/>
        <w:rPr>
          <w:sz w:val="20"/>
          <w:szCs w:val="20"/>
          <w:color w:val="auto"/>
        </w:rPr>
      </w:pPr>
      <w:r>
        <w:rPr>
          <w:rFonts w:ascii="Arial" w:cs="Arial" w:eastAsia="Arial" w:hAnsi="Arial"/>
          <w:sz w:val="17"/>
          <w:szCs w:val="17"/>
          <w:color w:val="auto"/>
        </w:rPr>
        <w:t>All our online marketing solutions, including the solutions from OptAim are integrated in a single user-friendly platform, accessible through both PC and mobile devices.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diagram illustrates the architecture of our online marketing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288290</wp:posOffset>
            </wp:positionV>
            <wp:extent cx="5567680" cy="256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7680" cy="256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Suite of Online Marketing Solutions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i w:val="1"/>
          <w:iCs w:val="1"/>
          <w:color w:val="auto"/>
        </w:rPr>
        <w:t>Audience Identification Solution: iAudience</w:t>
      </w:r>
    </w:p>
    <w:p>
      <w:pPr>
        <w:spacing w:after="0" w:line="117" w:lineRule="exact"/>
        <w:rPr>
          <w:sz w:val="20"/>
          <w:szCs w:val="20"/>
          <w:color w:val="auto"/>
        </w:rPr>
      </w:pPr>
    </w:p>
    <w:p>
      <w:pPr>
        <w:ind w:firstLine="513"/>
        <w:spacing w:after="0" w:line="281"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165" w:lineRule="exact"/>
        <w:rPr>
          <w:sz w:val="20"/>
          <w:szCs w:val="20"/>
          <w:color w:val="auto"/>
        </w:rPr>
      </w:pPr>
    </w:p>
    <w:p>
      <w:pPr>
        <w:ind w:right="540" w:firstLine="513"/>
        <w:spacing w:after="0" w:line="286" w:lineRule="auto"/>
        <w:rPr>
          <w:sz w:val="20"/>
          <w:szCs w:val="20"/>
          <w:color w:val="auto"/>
        </w:rPr>
      </w:pPr>
      <w:r>
        <w:rPr>
          <w:rFonts w:ascii="Arial" w:cs="Arial" w:eastAsia="Arial" w:hAnsi="Arial"/>
          <w:sz w:val="17"/>
          <w:szCs w:val="17"/>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1183640</wp:posOffset>
            </wp:positionH>
            <wp:positionV relativeFrom="paragraph">
              <wp:posOffset>156210</wp:posOffset>
            </wp:positionV>
            <wp:extent cx="4774565" cy="3461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74565" cy="346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Audience Engagement and Activation Solutions: iAccess and iActivation</w:t>
      </w:r>
    </w:p>
    <w:p>
      <w:pPr>
        <w:spacing w:after="0" w:line="117" w:lineRule="exact"/>
        <w:rPr>
          <w:sz w:val="20"/>
          <w:szCs w:val="20"/>
          <w:color w:val="auto"/>
        </w:rPr>
      </w:pPr>
    </w:p>
    <w:p>
      <w:pPr>
        <w:jc w:val="both"/>
        <w:ind w:firstLine="513"/>
        <w:spacing w:after="0" w:line="263" w:lineRule="auto"/>
        <w:rPr>
          <w:sz w:val="20"/>
          <w:szCs w:val="20"/>
          <w:color w:val="auto"/>
        </w:rPr>
      </w:pPr>
      <w:r>
        <w:rPr>
          <w:rFonts w:ascii="Arial" w:cs="Arial" w:eastAsia="Arial" w:hAnsi="Arial"/>
          <w:sz w:val="17"/>
          <w:szCs w:val="17"/>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8" w:name="page49"/>
    <w:bookmarkEnd w:id="48"/>
    <w:p>
      <w:pPr>
        <w:ind w:left="520"/>
        <w:spacing w:after="0"/>
        <w:rPr>
          <w:sz w:val="20"/>
          <w:szCs w:val="20"/>
          <w:color w:val="auto"/>
        </w:rPr>
      </w:pPr>
      <w:r>
        <w:rPr>
          <w:rFonts w:ascii="Arial" w:cs="Arial" w:eastAsia="Arial" w:hAnsi="Arial"/>
          <w:sz w:val="17"/>
          <w:szCs w:val="17"/>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156210</wp:posOffset>
            </wp:positionV>
            <wp:extent cx="4055745" cy="4055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55745" cy="405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Audience Engagement Solution Designed for Small and Medium-Sized Enterprises—iExpress</w:t>
      </w:r>
    </w:p>
    <w:p>
      <w:pPr>
        <w:spacing w:after="0" w:line="117" w:lineRule="exact"/>
        <w:rPr>
          <w:sz w:val="20"/>
          <w:szCs w:val="20"/>
          <w:color w:val="auto"/>
        </w:rPr>
      </w:pPr>
    </w:p>
    <w:p>
      <w:pPr>
        <w:jc w:val="both"/>
        <w:ind w:right="140" w:firstLine="513"/>
        <w:spacing w:after="0" w:line="270" w:lineRule="auto"/>
        <w:rPr>
          <w:sz w:val="20"/>
          <w:szCs w:val="20"/>
          <w:color w:val="auto"/>
        </w:rPr>
      </w:pPr>
      <w:r>
        <w:rPr>
          <w:rFonts w:ascii="Arial" w:cs="Arial" w:eastAsia="Arial" w:hAnsi="Arial"/>
          <w:sz w:val="17"/>
          <w:szCs w:val="17"/>
          <w:color w:val="auto"/>
        </w:rPr>
        <w:t>iExpress is the “lite” version of our iAccess solution. While iAccess is designed for and primarily used by multinational clients, iExpress is designed for small and medium-sized enterprises in China, who value simplicity and flexibility in their marketing activities. iExpress contains the basic functions of iAccess with a more simplified and intuitive user interface.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Campaign Results Monitoring and Measurement Solution: iNsights</w:t>
      </w:r>
    </w:p>
    <w:p>
      <w:pPr>
        <w:spacing w:after="0" w:line="117" w:lineRule="exact"/>
        <w:rPr>
          <w:sz w:val="20"/>
          <w:szCs w:val="20"/>
          <w:color w:val="auto"/>
        </w:rPr>
      </w:pPr>
    </w:p>
    <w:p>
      <w:pPr>
        <w:ind w:firstLine="513"/>
        <w:spacing w:after="0" w:line="311" w:lineRule="auto"/>
        <w:rPr>
          <w:sz w:val="20"/>
          <w:szCs w:val="20"/>
          <w:color w:val="auto"/>
        </w:rPr>
      </w:pPr>
      <w:r>
        <w:rPr>
          <w:rFonts w:ascii="Arial" w:cs="Arial" w:eastAsia="Arial" w:hAnsi="Arial"/>
          <w:sz w:val="15"/>
          <w:szCs w:val="15"/>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43" w:lineRule="exact"/>
        <w:rPr>
          <w:sz w:val="20"/>
          <w:szCs w:val="20"/>
          <w:color w:val="auto"/>
        </w:rPr>
      </w:pPr>
    </w:p>
    <w:p>
      <w:pPr>
        <w:jc w:val="both"/>
        <w:ind w:left="1020" w:right="120" w:hanging="509"/>
        <w:spacing w:after="0" w:line="270"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Conversion path analyses—</w:t>
      </w:r>
      <w:r>
        <w:rPr>
          <w:rFonts w:ascii="Arial" w:cs="Arial" w:eastAsia="Arial" w:hAnsi="Arial"/>
          <w:sz w:val="17"/>
          <w:szCs w:val="17"/>
          <w:color w:val="auto"/>
        </w:rPr>
        <w:t>Holistic analyses of when, where and how a user interacts with various devices by the multiple touch points he or she</w:t>
      </w:r>
      <w:r>
        <w:rPr>
          <w:rFonts w:ascii="Arial" w:cs="Arial" w:eastAsia="Arial" w:hAnsi="Arial"/>
          <w:sz w:val="17"/>
          <w:szCs w:val="17"/>
          <w:i w:val="1"/>
          <w:iCs w:val="1"/>
          <w:color w:val="auto"/>
        </w:rPr>
        <w:t xml:space="preserve"> </w:t>
      </w:r>
      <w:r>
        <w:rPr>
          <w:rFonts w:ascii="Arial" w:cs="Arial" w:eastAsia="Arial" w:hAnsi="Arial"/>
          <w:sz w:val="17"/>
          <w:szCs w:val="17"/>
          <w:color w:val="auto"/>
        </w:rPr>
        <w:t>has come in contact with, including the “last mile” through which the user is converted, i.e., making a purchase or otherwise taking an action that the marketer desires; and</w:t>
      </w:r>
    </w:p>
    <w:p>
      <w:pPr>
        <w:spacing w:after="0" w:line="68" w:lineRule="exact"/>
        <w:rPr>
          <w:rFonts w:ascii="Arial" w:cs="Arial" w:eastAsia="Arial" w:hAnsi="Arial"/>
          <w:sz w:val="17"/>
          <w:szCs w:val="17"/>
          <w:color w:val="auto"/>
        </w:rPr>
      </w:pPr>
    </w:p>
    <w:p>
      <w:pPr>
        <w:jc w:val="both"/>
        <w:ind w:left="1020" w:right="40" w:hanging="509"/>
        <w:spacing w:after="0" w:line="270"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Cross-channel effectiveness analyses—</w:t>
      </w:r>
      <w:r>
        <w:rPr>
          <w:rFonts w:ascii="Arial" w:cs="Arial" w:eastAsia="Arial" w:hAnsi="Arial"/>
          <w:sz w:val="17"/>
          <w:szCs w:val="17"/>
          <w:color w:val="auto"/>
        </w:rPr>
        <w:t>Analyses of the effectiveness of the various marketing channels in achieving different marketing objectives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their respective cost effectiveness. Combining these with conversion path analyses, marketers can identify the portfolio of channels that work in tandem with each other to generate the greatest marketing impact and effectiveness.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49" w:name="page50"/>
    <w:bookmarkEnd w:id="49"/>
    <w:p>
      <w:pPr>
        <w:spacing w:after="0"/>
        <w:rPr>
          <w:sz w:val="20"/>
          <w:szCs w:val="20"/>
          <w:color w:val="auto"/>
        </w:rPr>
      </w:pPr>
      <w:r>
        <w:rPr>
          <w:rFonts w:ascii="Arial" w:cs="Arial" w:eastAsia="Arial" w:hAnsi="Arial"/>
          <w:sz w:val="17"/>
          <w:szCs w:val="17"/>
          <w:i w:val="1"/>
          <w:iCs w:val="1"/>
          <w:color w:val="auto"/>
        </w:rPr>
        <w:t>Content Creation Solution: iExperience</w:t>
      </w:r>
    </w:p>
    <w:p>
      <w:pPr>
        <w:spacing w:after="0" w:line="117" w:lineRule="exact"/>
        <w:rPr>
          <w:sz w:val="20"/>
          <w:szCs w:val="20"/>
          <w:color w:val="auto"/>
        </w:rPr>
      </w:pPr>
    </w:p>
    <w:p>
      <w:pPr>
        <w:ind w:firstLine="513"/>
        <w:spacing w:after="0" w:line="299" w:lineRule="auto"/>
        <w:rPr>
          <w:sz w:val="20"/>
          <w:szCs w:val="20"/>
          <w:color w:val="auto"/>
        </w:rPr>
      </w:pPr>
      <w:r>
        <w:rPr>
          <w:rFonts w:ascii="Arial" w:cs="Arial" w:eastAsia="Arial" w:hAnsi="Arial"/>
          <w:sz w:val="15"/>
          <w:szCs w:val="15"/>
          <w:color w:val="auto"/>
        </w:rPr>
        <w:t>We launched iExperience, our content creation solution that helps marketers syndicate and manage all their marketing content and assets in 2018.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54" w:lineRule="exact"/>
        <w:rPr>
          <w:sz w:val="20"/>
          <w:szCs w:val="20"/>
          <w:color w:val="auto"/>
        </w:rPr>
      </w:pPr>
    </w:p>
    <w:p>
      <w:pPr>
        <w:ind w:right="200" w:firstLine="513"/>
        <w:spacing w:after="0" w:line="270" w:lineRule="auto"/>
        <w:rPr>
          <w:sz w:val="20"/>
          <w:szCs w:val="20"/>
          <w:color w:val="auto"/>
        </w:rPr>
      </w:pPr>
      <w:r>
        <w:rPr>
          <w:rFonts w:ascii="Arial" w:cs="Arial" w:eastAsia="Arial" w:hAnsi="Arial"/>
          <w:sz w:val="17"/>
          <w:szCs w:val="17"/>
          <w:color w:val="auto"/>
        </w:rPr>
        <w:t>We also leverage on our solutions such as iAudience, iAccess, and iActivation to design tailored solutions catering to clients’ specific marketing needs. For example, we have launched a number of mobile marketing solutions, such as MoTV, our native in-app mobile video ad solution, MoSocial, our premium mobile social ad solution and MoFeeds, our native mobile in-feed ad solution.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 Delivery Model of Online Marketing Solutions</w:t>
      </w:r>
    </w:p>
    <w:p>
      <w:pPr>
        <w:spacing w:after="0" w:line="117" w:lineRule="exact"/>
        <w:rPr>
          <w:sz w:val="20"/>
          <w:szCs w:val="20"/>
          <w:color w:val="auto"/>
        </w:rPr>
      </w:pPr>
    </w:p>
    <w:p>
      <w:pPr>
        <w:ind w:right="280" w:firstLine="513"/>
        <w:spacing w:after="0" w:line="287" w:lineRule="auto"/>
        <w:rPr>
          <w:sz w:val="20"/>
          <w:szCs w:val="20"/>
          <w:color w:val="auto"/>
        </w:rPr>
      </w:pPr>
      <w:r>
        <w:rPr>
          <w:rFonts w:ascii="Arial" w:cs="Arial" w:eastAsia="Arial" w:hAnsi="Arial"/>
          <w:sz w:val="16"/>
          <w:szCs w:val="16"/>
          <w:color w:val="auto"/>
        </w:rPr>
        <w:t>We offer both mobile marketing solutions and other marketing solutions based on channels desired by our clients. Our mobile marketing solutions are non-search engine marketing solutions designed to identify, engage and activate audience exclusively on mobile apps, and monitor and measure the results of online marketing activities on such channels. Our other marketing solutions are primarily focused on identifying, engaging and activating audience on non-mobile app content distribution channels, such as PC banner display, PC video advertisements and search engine marketing.</w:t>
      </w:r>
    </w:p>
    <w:p>
      <w:pPr>
        <w:spacing w:after="0" w:line="161" w:lineRule="exact"/>
        <w:rPr>
          <w:sz w:val="20"/>
          <w:szCs w:val="20"/>
          <w:color w:val="auto"/>
        </w:rPr>
      </w:pPr>
    </w:p>
    <w:p>
      <w:pPr>
        <w:ind w:right="220" w:firstLine="513"/>
        <w:spacing w:after="0" w:line="286" w:lineRule="auto"/>
        <w:rPr>
          <w:sz w:val="20"/>
          <w:szCs w:val="20"/>
          <w:color w:val="auto"/>
        </w:rPr>
      </w:pPr>
      <w:r>
        <w:rPr>
          <w:rFonts w:ascii="Arial" w:cs="Arial" w:eastAsia="Arial" w:hAnsi="Arial"/>
          <w:sz w:val="17"/>
          <w:szCs w:val="17"/>
          <w:color w:val="auto"/>
        </w:rPr>
        <w:t>We take a flexible approach to delivering our solutions. Depending on the preferences and levels of internal resources and sophistication of clients, our solutions are delivered through:</w:t>
      </w:r>
    </w:p>
    <w:p>
      <w:pPr>
        <w:spacing w:after="0" w:line="54" w:lineRule="exact"/>
        <w:rPr>
          <w:sz w:val="20"/>
          <w:szCs w:val="20"/>
          <w:color w:val="auto"/>
        </w:rPr>
      </w:pPr>
    </w:p>
    <w:p>
      <w:pPr>
        <w:ind w:left="1020" w:hanging="509"/>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self-service, when clients have the flexibility to run their marketing campaigns on an “a la carte,” cost-effective basis; and</w:t>
      </w:r>
    </w:p>
    <w:p>
      <w:pPr>
        <w:spacing w:after="0" w:line="116" w:lineRule="exact"/>
        <w:rPr>
          <w:rFonts w:ascii="Arial" w:cs="Arial" w:eastAsia="Arial" w:hAnsi="Arial"/>
          <w:sz w:val="17"/>
          <w:szCs w:val="17"/>
          <w:color w:val="auto"/>
        </w:rPr>
      </w:pPr>
    </w:p>
    <w:p>
      <w:pPr>
        <w:ind w:left="1020" w:right="140" w:hanging="509"/>
        <w:spacing w:after="0" w:line="270"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managed service, when our account management team manages marketing campaigns for our clients, including deciding on cross-channel marketing budget allocation and the timing, frequency, number and format of audience engagement based on their specified marketing objectives and budgets.</w:t>
      </w:r>
    </w:p>
    <w:p>
      <w:pPr>
        <w:spacing w:after="0" w:line="173" w:lineRule="exact"/>
        <w:rPr>
          <w:sz w:val="20"/>
          <w:szCs w:val="20"/>
          <w:color w:val="auto"/>
        </w:rPr>
      </w:pPr>
    </w:p>
    <w:p>
      <w:pPr>
        <w:ind w:right="80" w:firstLine="513"/>
        <w:spacing w:after="0" w:line="270" w:lineRule="auto"/>
        <w:rPr>
          <w:sz w:val="20"/>
          <w:szCs w:val="20"/>
          <w:color w:val="auto"/>
        </w:rPr>
      </w:pPr>
      <w:r>
        <w:rPr>
          <w:rFonts w:ascii="Arial" w:cs="Arial" w:eastAsia="Arial" w:hAnsi="Arial"/>
          <w:sz w:val="17"/>
          <w:szCs w:val="17"/>
          <w:color w:val="auto"/>
        </w:rPr>
        <w:t>We generate revenues primarily from clients’ marketing spend through our platform as they utilize our solutions in cost-plus and specified action marketing campaigns, and depending on our revenue recognition model, either including or excluding media cost. To a lesser extent, we generate revenues from incentives granted by the publisher under our sales agency arrangement.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Enterprise Solutions</w:t>
      </w:r>
    </w:p>
    <w:p>
      <w:pPr>
        <w:spacing w:after="0" w:line="123" w:lineRule="exact"/>
        <w:rPr>
          <w:sz w:val="20"/>
          <w:szCs w:val="20"/>
          <w:color w:val="auto"/>
        </w:rPr>
      </w:pPr>
    </w:p>
    <w:p>
      <w:pPr>
        <w:ind w:firstLine="513"/>
        <w:spacing w:after="0" w:line="283" w:lineRule="auto"/>
        <w:rPr>
          <w:sz w:val="20"/>
          <w:szCs w:val="20"/>
          <w:color w:val="auto"/>
        </w:rPr>
      </w:pPr>
      <w:r>
        <w:rPr>
          <w:rFonts w:ascii="Arial" w:cs="Arial" w:eastAsia="Arial" w:hAnsi="Arial"/>
          <w:sz w:val="16"/>
          <w:szCs w:val="16"/>
          <w:color w:val="auto"/>
        </w:rPr>
        <w:t>Leveraging our data analytics expertise and experience in online marketing, in May 2018, we launched a strategic growth initiative to provide SaaS-based enterprise solutions to help businesses improve operational and marketing efficiencies. Since then, we have extended enterprise solutions to existing and new clients in new retail, online education, real estate and other sectors. Our enterprise solutions help clients collate information from different consumer touchpoints both offline and online, and integrate them into a single data management platform to drive sales and marketing decisions. Our enterprise solutions are currently primarily established on WeChat, a widely used social platform in China that is owned and operated by Tencent Holdings Limited.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enterprise solutions have the following key features:</w:t>
      </w:r>
    </w:p>
    <w:p>
      <w:pPr>
        <w:spacing w:after="0" w:line="111" w:lineRule="exact"/>
        <w:rPr>
          <w:sz w:val="20"/>
          <w:szCs w:val="20"/>
          <w:color w:val="auto"/>
        </w:rPr>
      </w:pPr>
    </w:p>
    <w:p>
      <w:pPr>
        <w:ind w:left="1020" w:hanging="509"/>
        <w:spacing w:after="0" w:line="290"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Integration of online and offline data</w:t>
      </w:r>
      <w:r>
        <w:rPr>
          <w:rFonts w:ascii="Arial" w:cs="Arial" w:eastAsia="Arial" w:hAnsi="Arial"/>
          <w:sz w:val="16"/>
          <w:szCs w:val="16"/>
          <w:color w:val="auto"/>
        </w:rPr>
        <w:t>: Data from both online and offline sources are integrated into our cloud-based enterprise solution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to allow seamless omni-channel customer management. This includes, amongst others, our clients’ proprietary data collected from their CRM systems, WeChat mini programs, WeChat public accounts, or other mobile applications and enterprise systems. The extensive integration of data allows a more in-depth understanding and segmentation of customers from a 360-degree user profile.</w:t>
      </w:r>
    </w:p>
    <w:p>
      <w:pPr>
        <w:spacing w:after="0" w:line="47" w:lineRule="exact"/>
        <w:rPr>
          <w:rFonts w:ascii="Arial" w:cs="Arial" w:eastAsia="Arial" w:hAnsi="Arial"/>
          <w:sz w:val="16"/>
          <w:szCs w:val="16"/>
          <w:color w:val="auto"/>
        </w:rPr>
      </w:pPr>
    </w:p>
    <w:p>
      <w:pPr>
        <w:ind w:left="1020" w:right="20" w:hanging="509"/>
        <w:spacing w:after="0" w:line="268"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Establishing a data-management platform (DMP)</w:t>
      </w:r>
      <w:r>
        <w:rPr>
          <w:rFonts w:ascii="Arial" w:cs="Arial" w:eastAsia="Arial" w:hAnsi="Arial"/>
          <w:sz w:val="17"/>
          <w:szCs w:val="17"/>
          <w:color w:val="auto"/>
        </w:rPr>
        <w:t>: Putting in place a DMP for our clients, currently built primarily on Tencent Cloud and</w:t>
      </w:r>
      <w:r>
        <w:rPr>
          <w:rFonts w:ascii="Arial" w:cs="Arial" w:eastAsia="Arial" w:hAnsi="Arial"/>
          <w:sz w:val="17"/>
          <w:szCs w:val="17"/>
          <w:b w:val="1"/>
          <w:bCs w:val="1"/>
          <w:color w:val="auto"/>
        </w:rPr>
        <w:t xml:space="preserve"> </w:t>
      </w:r>
      <w:r>
        <w:rPr>
          <w:rFonts w:ascii="Arial" w:cs="Arial" w:eastAsia="Arial" w:hAnsi="Arial"/>
          <w:sz w:val="17"/>
          <w:szCs w:val="17"/>
          <w:color w:val="auto"/>
        </w:rPr>
        <w:t>Enterprise WeChat platforms, which provides high-data exchangeability and compatibility with our enterprise solutions. It resolves some legacy data silo issues our clients face in China. Our enterprise solutions deliver a seamless omni-channel and personalized shopping experience covering both online and offline data to meet the trends of intelligent retail.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50" w:name="page51"/>
    <w:bookmarkEnd w:id="50"/>
    <w:p>
      <w:pPr>
        <w:ind w:left="1020" w:right="120" w:hanging="509"/>
        <w:spacing w:after="0" w:line="26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Offering integrated marketing solutions</w:t>
      </w:r>
      <w:r>
        <w:rPr>
          <w:rFonts w:ascii="Arial" w:cs="Arial" w:eastAsia="Arial" w:hAnsi="Arial"/>
          <w:sz w:val="17"/>
          <w:szCs w:val="17"/>
          <w:color w:val="auto"/>
        </w:rPr>
        <w:t>: Our enterprise solutions, together with our online marketing solutions, help our clients manage their</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dataset and marketing plans in an integrated manner. We help our clients acquire, define and reach the target audience through our enterprise solutions. By cooperating with premium media suppliers in China, we help our clients enhance the effectiveness and efficiency of their subsequent customer acquisition and increase the stickiness of our solutions.</w:t>
      </w:r>
    </w:p>
    <w:p>
      <w:pPr>
        <w:spacing w:after="0" w:line="63" w:lineRule="exact"/>
        <w:rPr>
          <w:rFonts w:ascii="Arial" w:cs="Arial" w:eastAsia="Arial" w:hAnsi="Arial"/>
          <w:sz w:val="17"/>
          <w:szCs w:val="17"/>
          <w:color w:val="auto"/>
        </w:rPr>
      </w:pPr>
    </w:p>
    <w:p>
      <w:pPr>
        <w:ind w:left="1020" w:right="20" w:hanging="509"/>
        <w:spacing w:after="0" w:line="26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Driving retail and sales decisions</w:t>
      </w:r>
      <w:r>
        <w:rPr>
          <w:rFonts w:ascii="Arial" w:cs="Arial" w:eastAsia="Arial" w:hAnsi="Arial"/>
          <w:sz w:val="17"/>
          <w:szCs w:val="17"/>
          <w:color w:val="auto"/>
        </w:rPr>
        <w:t>: The data analysis provided by our enterprise solutions drives precise and real-time business decisions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store expansions, product selection and offerings to targeted customer segments, as well as personalized customer services. For example, our enterprise solutions provide location-based services to target potential customers within 5km of a client’s physical store, attracting more traffic and enabling other marketing triggers.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Data and Data Analytics Capabilities and Technologies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Data Assets</w:t>
      </w:r>
    </w:p>
    <w:p>
      <w:pPr>
        <w:spacing w:after="0" w:line="117" w:lineRule="exact"/>
        <w:rPr>
          <w:sz w:val="20"/>
          <w:szCs w:val="20"/>
          <w:color w:val="auto"/>
        </w:rPr>
      </w:pPr>
    </w:p>
    <w:p>
      <w:pPr>
        <w:ind w:right="140" w:firstLine="513"/>
        <w:spacing w:after="0" w:line="287" w:lineRule="auto"/>
        <w:rPr>
          <w:sz w:val="20"/>
          <w:szCs w:val="20"/>
          <w:color w:val="auto"/>
        </w:rPr>
      </w:pPr>
      <w:r>
        <w:rPr>
          <w:rFonts w:ascii="Arial" w:cs="Arial" w:eastAsia="Arial" w:hAnsi="Arial"/>
          <w:sz w:val="16"/>
          <w:szCs w:val="16"/>
          <w:color w:val="auto"/>
        </w:rPr>
        <w:t>Our data assets are the backbone of our solutions and data analytics capabilities. From approximately 125,000 mobile apps and 2.3 million websites that we covered, we analyzed approximately 930.8 million active profiled users in China in the 30 days leading up to March 31, 2020. According to the China Internet Network Information Center, or CNNIC, there were 854 million internet users and 847 million mobile internet users in China as of June 30, 2019. The average daily volume of the data we collected reached 0.9 terabytes in the 30 days leading up to March 31, 2020.</w:t>
      </w:r>
    </w:p>
    <w:p>
      <w:pPr>
        <w:spacing w:after="0" w:line="161" w:lineRule="exact"/>
        <w:rPr>
          <w:sz w:val="20"/>
          <w:szCs w:val="20"/>
          <w:color w:val="auto"/>
        </w:rPr>
      </w:pPr>
    </w:p>
    <w:p>
      <w:pPr>
        <w:ind w:right="60" w:firstLine="513"/>
        <w:spacing w:after="0" w:line="281"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60" w:lineRule="exact"/>
        <w:rPr>
          <w:sz w:val="20"/>
          <w:szCs w:val="20"/>
          <w:color w:val="auto"/>
        </w:rPr>
      </w:pPr>
    </w:p>
    <w:p>
      <w:pPr>
        <w:ind w:left="1020" w:hanging="509"/>
        <w:spacing w:after="0" w:line="263"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Intent data — </w:t>
      </w:r>
      <w:r>
        <w:rPr>
          <w:rFonts w:ascii="Arial" w:cs="Arial" w:eastAsia="Arial" w:hAnsi="Arial"/>
          <w:sz w:val="17"/>
          <w:szCs w:val="17"/>
          <w:color w:val="auto"/>
        </w:rPr>
        <w:t>Intent data refers to data that indicates the various intent of a user. Intent data directly identifies the interests and immediate needs of</w:t>
      </w:r>
      <w:r>
        <w:rPr>
          <w:rFonts w:ascii="Arial" w:cs="Arial" w:eastAsia="Arial" w:hAnsi="Arial"/>
          <w:sz w:val="17"/>
          <w:szCs w:val="17"/>
          <w:i w:val="1"/>
          <w:iCs w:val="1"/>
          <w:color w:val="auto"/>
        </w:rPr>
        <w:t xml:space="preserve"> </w:t>
      </w:r>
      <w:r>
        <w:rPr>
          <w:rFonts w:ascii="Arial" w:cs="Arial" w:eastAsia="Arial" w:hAnsi="Arial"/>
          <w:sz w:val="17"/>
          <w:szCs w:val="17"/>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73" w:lineRule="exact"/>
        <w:rPr>
          <w:rFonts w:ascii="Arial" w:cs="Arial" w:eastAsia="Arial" w:hAnsi="Arial"/>
          <w:sz w:val="17"/>
          <w:szCs w:val="17"/>
          <w:color w:val="auto"/>
        </w:rPr>
      </w:pPr>
    </w:p>
    <w:p>
      <w:pPr>
        <w:ind w:left="1020" w:right="360" w:hanging="509"/>
        <w:spacing w:after="0" w:line="283"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 visit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60" w:lineRule="exact"/>
        <w:rPr>
          <w:rFonts w:ascii="Arial" w:cs="Arial" w:eastAsia="Arial" w:hAnsi="Arial"/>
          <w:sz w:val="16"/>
          <w:szCs w:val="16"/>
          <w:color w:val="auto"/>
        </w:rPr>
      </w:pPr>
    </w:p>
    <w:p>
      <w:pPr>
        <w:ind w:left="1020" w:right="180" w:hanging="509"/>
        <w:spacing w:after="0" w:line="283"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Online transactional data — </w:t>
      </w:r>
      <w:r>
        <w:rPr>
          <w:rFonts w:ascii="Arial" w:cs="Arial" w:eastAsia="Arial" w:hAnsi="Arial"/>
          <w:sz w:val="16"/>
          <w:szCs w:val="16"/>
          <w:color w:val="auto"/>
        </w:rPr>
        <w:t>Online transactional data refers to a user’s behavior on online commerce platforms, including the items he or she is</w:t>
      </w:r>
      <w:r>
        <w:rPr>
          <w:rFonts w:ascii="Arial" w:cs="Arial" w:eastAsia="Arial" w:hAnsi="Arial"/>
          <w:sz w:val="16"/>
          <w:szCs w:val="16"/>
          <w:i w:val="1"/>
          <w:iCs w:val="1"/>
          <w:color w:val="auto"/>
        </w:rPr>
        <w:t xml:space="preserve"> </w:t>
      </w:r>
      <w:r>
        <w:rPr>
          <w:rFonts w:ascii="Arial" w:cs="Arial" w:eastAsia="Arial" w:hAnsi="Arial"/>
          <w:sz w:val="16"/>
          <w:szCs w:val="16"/>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60" w:lineRule="exact"/>
        <w:rPr>
          <w:rFonts w:ascii="Arial" w:cs="Arial" w:eastAsia="Arial" w:hAnsi="Arial"/>
          <w:sz w:val="16"/>
          <w:szCs w:val="16"/>
          <w:color w:val="auto"/>
        </w:rPr>
      </w:pPr>
    </w:p>
    <w:p>
      <w:pPr>
        <w:ind w:left="1020" w:right="120" w:hanging="509"/>
        <w:spacing w:after="0" w:line="281"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Offline purchase behavioral data — </w:t>
      </w:r>
      <w:r>
        <w:rPr>
          <w:rFonts w:ascii="Arial" w:cs="Arial" w:eastAsia="Arial" w:hAnsi="Arial"/>
          <w:sz w:val="16"/>
          <w:szCs w:val="16"/>
          <w:color w:val="auto"/>
        </w:rPr>
        <w:t>Offline purchase behavioral data refers to a user’s behavior in non-digitally connected environments,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446" w:right="359" w:bottom="1440" w:gutter="0" w:footer="0" w:header="0"/>
        </w:sectPr>
      </w:pPr>
    </w:p>
    <w:bookmarkStart w:id="51" w:name="page52"/>
    <w:bookmarkEnd w:id="51"/>
    <w:p>
      <w:pPr>
        <w:ind w:left="1020" w:right="240" w:hanging="509"/>
        <w:spacing w:after="0" w:line="295" w:lineRule="auto"/>
        <w:tabs>
          <w:tab w:leader="none" w:pos="102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 xml:space="preserve">Social data — </w:t>
      </w:r>
      <w:r>
        <w:rPr>
          <w:rFonts w:ascii="Arial" w:cs="Arial" w:eastAsia="Arial" w:hAnsi="Arial"/>
          <w:sz w:val="15"/>
          <w:szCs w:val="15"/>
          <w:color w:val="auto"/>
        </w:rPr>
        <w:t>Social data refers a user’s behavior on social networks, such as Sina Weibo and Tencent QZone, including the content the user</w:t>
      </w:r>
      <w:r>
        <w:rPr>
          <w:rFonts w:ascii="Arial" w:cs="Arial" w:eastAsia="Arial" w:hAnsi="Arial"/>
          <w:sz w:val="15"/>
          <w:szCs w:val="15"/>
          <w:i w:val="1"/>
          <w:iCs w:val="1"/>
          <w:color w:val="auto"/>
        </w:rPr>
        <w:t xml:space="preserve"> </w:t>
      </w:r>
      <w:r>
        <w:rPr>
          <w:rFonts w:ascii="Arial" w:cs="Arial" w:eastAsia="Arial" w:hAnsi="Arial"/>
          <w:sz w:val="15"/>
          <w:szCs w:val="15"/>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 data demonstrates that a</w:t>
      </w:r>
    </w:p>
    <w:p>
      <w:pPr>
        <w:spacing w:after="0" w:line="1" w:lineRule="exact"/>
        <w:rPr>
          <w:sz w:val="20"/>
          <w:szCs w:val="20"/>
          <w:color w:val="auto"/>
        </w:rPr>
      </w:pPr>
    </w:p>
    <w:p>
      <w:pPr>
        <w:jc w:val="both"/>
        <w:ind w:left="1020" w:right="60"/>
        <w:spacing w:after="0" w:line="287" w:lineRule="auto"/>
        <w:rPr>
          <w:sz w:val="20"/>
          <w:szCs w:val="20"/>
          <w:color w:val="auto"/>
        </w:rPr>
      </w:pPr>
      <w:r>
        <w:rPr>
          <w:rFonts w:ascii="Arial" w:cs="Arial" w:eastAsia="Arial" w:hAnsi="Arial"/>
          <w:sz w:val="16"/>
          <w:szCs w:val="16"/>
          <w:color w:val="auto"/>
        </w:rPr>
        <w:t>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56" w:lineRule="exact"/>
        <w:rPr>
          <w:sz w:val="20"/>
          <w:szCs w:val="20"/>
          <w:color w:val="auto"/>
        </w:rPr>
      </w:pPr>
    </w:p>
    <w:p>
      <w:pPr>
        <w:ind w:left="1020" w:right="100" w:hanging="509"/>
        <w:spacing w:after="0" w:line="323" w:lineRule="auto"/>
        <w:tabs>
          <w:tab w:leader="none" w:pos="102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 xml:space="preserve">Demographic data — </w:t>
      </w:r>
      <w:r>
        <w:rPr>
          <w:rFonts w:ascii="Arial" w:cs="Arial" w:eastAsia="Arial" w:hAnsi="Arial"/>
          <w:sz w:val="15"/>
          <w:szCs w:val="15"/>
          <w:color w:val="auto"/>
        </w:rPr>
        <w:t>Demographic data refers to a user’s age, gender, income level and geographic location. In addition to inferred demographic</w:t>
      </w:r>
      <w:r>
        <w:rPr>
          <w:rFonts w:ascii="Arial" w:cs="Arial" w:eastAsia="Arial" w:hAnsi="Arial"/>
          <w:sz w:val="15"/>
          <w:szCs w:val="15"/>
          <w:i w:val="1"/>
          <w:iCs w:val="1"/>
          <w:color w:val="auto"/>
        </w:rPr>
        <w:t xml:space="preserve"> </w:t>
      </w:r>
      <w:r>
        <w:rPr>
          <w:rFonts w:ascii="Arial" w:cs="Arial" w:eastAsia="Arial" w:hAnsi="Arial"/>
          <w:sz w:val="15"/>
          <w:szCs w:val="15"/>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32" w:lineRule="exact"/>
        <w:rPr>
          <w:rFonts w:ascii="Arial" w:cs="Arial" w:eastAsia="Arial" w:hAnsi="Arial"/>
          <w:sz w:val="15"/>
          <w:szCs w:val="15"/>
          <w:color w:val="auto"/>
        </w:rPr>
      </w:pPr>
    </w:p>
    <w:p>
      <w:pPr>
        <w:ind w:left="1020" w:right="40" w:hanging="509"/>
        <w:spacing w:after="0" w:line="306" w:lineRule="auto"/>
        <w:tabs>
          <w:tab w:leader="none" w:pos="102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 xml:space="preserve">Campaign performance data — </w:t>
      </w:r>
      <w:r>
        <w:rPr>
          <w:rFonts w:ascii="Arial" w:cs="Arial" w:eastAsia="Arial" w:hAnsi="Arial"/>
          <w:sz w:val="15"/>
          <w:szCs w:val="15"/>
          <w:color w:val="auto"/>
        </w:rPr>
        <w:t>Campaign performance data refers to a user’s interaction with, and response to, a given marketing message,</w:t>
      </w:r>
      <w:r>
        <w:rPr>
          <w:rFonts w:ascii="Arial" w:cs="Arial" w:eastAsia="Arial" w:hAnsi="Arial"/>
          <w:sz w:val="15"/>
          <w:szCs w:val="15"/>
          <w:i w:val="1"/>
          <w:iCs w:val="1"/>
          <w:color w:val="auto"/>
        </w:rPr>
        <w:t xml:space="preserve"> </w:t>
      </w:r>
      <w:r>
        <w:rPr>
          <w:rFonts w:ascii="Arial" w:cs="Arial" w:eastAsia="Arial" w:hAnsi="Arial"/>
          <w:sz w:val="15"/>
          <w:szCs w:val="15"/>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49" w:lineRule="exact"/>
        <w:rPr>
          <w:sz w:val="20"/>
          <w:szCs w:val="20"/>
          <w:color w:val="auto"/>
        </w:rPr>
      </w:pPr>
    </w:p>
    <w:p>
      <w:pPr>
        <w:ind w:right="20" w:firstLine="513"/>
        <w:spacing w:after="0" w:line="281"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March 31, 2020, we analyzed approximately 930.8 million active profiled users, whose profiles include on average 22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Data Analytics Capabilities and Technologies</w:t>
      </w:r>
    </w:p>
    <w:p>
      <w:pPr>
        <w:spacing w:after="0" w:line="117" w:lineRule="exact"/>
        <w:rPr>
          <w:sz w:val="20"/>
          <w:szCs w:val="20"/>
          <w:color w:val="auto"/>
        </w:rPr>
      </w:pPr>
    </w:p>
    <w:p>
      <w:pPr>
        <w:jc w:val="both"/>
        <w:ind w:right="280" w:firstLine="513"/>
        <w:spacing w:after="0" w:line="295" w:lineRule="auto"/>
        <w:rPr>
          <w:sz w:val="20"/>
          <w:szCs w:val="20"/>
          <w:color w:val="auto"/>
        </w:rPr>
      </w:pPr>
      <w:r>
        <w:rPr>
          <w:rFonts w:ascii="Arial" w:cs="Arial" w:eastAsia="Arial" w:hAnsi="Arial"/>
          <w:sz w:val="16"/>
          <w:szCs w:val="16"/>
          <w:color w:val="auto"/>
        </w:rPr>
        <w:t>We apply data science technologies extensively throughout the online marketing cycle to support audience tracking, profiling and segmentation and to execute cost-efficient decisions on real-time audience engagement. We also launched a strategic growth initiative on enterprise solutions, leveraging our data analytics expertise and experience in online marketing. Our proprietary data analytics capabilities and technologies include:</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Deep Learning and Artificial Intelligence</w:t>
      </w:r>
    </w:p>
    <w:p>
      <w:pPr>
        <w:spacing w:after="0" w:line="117" w:lineRule="exact"/>
        <w:rPr>
          <w:sz w:val="20"/>
          <w:szCs w:val="20"/>
          <w:color w:val="auto"/>
        </w:rPr>
      </w:pPr>
    </w:p>
    <w:p>
      <w:pPr>
        <w:ind w:left="1020" w:hanging="509"/>
        <w:spacing w:after="0" w:line="263"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Audience tracking engine — </w:t>
      </w:r>
      <w:r>
        <w:rPr>
          <w:rFonts w:ascii="Arial" w:cs="Arial" w:eastAsia="Arial" w:hAnsi="Arial"/>
          <w:sz w:val="17"/>
          <w:szCs w:val="17"/>
          <w:color w:val="auto"/>
        </w:rPr>
        <w:t>Our audience tracking engine monitors our audience across various devices and channels to identify which user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 identify a user across multiple channels, devices, and geographic locations, including de-duplication of multiple devices to a user.</w:t>
      </w:r>
    </w:p>
    <w:p>
      <w:pPr>
        <w:spacing w:after="0" w:line="73" w:lineRule="exact"/>
        <w:rPr>
          <w:rFonts w:ascii="Arial" w:cs="Arial" w:eastAsia="Arial" w:hAnsi="Arial"/>
          <w:sz w:val="17"/>
          <w:szCs w:val="17"/>
          <w:color w:val="auto"/>
        </w:rPr>
      </w:pPr>
    </w:p>
    <w:p>
      <w:pPr>
        <w:jc w:val="both"/>
        <w:ind w:left="1020" w:right="100" w:hanging="509"/>
        <w:spacing w:after="0" w:line="295"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Contextual analysis engine — </w:t>
      </w:r>
      <w:r>
        <w:rPr>
          <w:rFonts w:ascii="Arial" w:cs="Arial" w:eastAsia="Arial" w:hAnsi="Arial"/>
          <w:sz w:val="16"/>
          <w:szCs w:val="16"/>
          <w:color w:val="auto"/>
        </w:rPr>
        <w:t>Our contextual analysis engine parses all data properties to understand the context and content which audiences are</w:t>
      </w:r>
      <w:r>
        <w:rPr>
          <w:rFonts w:ascii="Arial" w:cs="Arial" w:eastAsia="Arial" w:hAnsi="Arial"/>
          <w:sz w:val="16"/>
          <w:szCs w:val="16"/>
          <w:i w:val="1"/>
          <w:iCs w:val="1"/>
          <w:color w:val="auto"/>
        </w:rPr>
        <w:t xml:space="preserve"> </w:t>
      </w:r>
      <w:r>
        <w:rPr>
          <w:rFonts w:ascii="Arial" w:cs="Arial" w:eastAsia="Arial" w:hAnsi="Arial"/>
          <w:sz w:val="16"/>
          <w:szCs w:val="16"/>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50" w:lineRule="exact"/>
        <w:rPr>
          <w:rFonts w:ascii="Arial" w:cs="Arial" w:eastAsia="Arial" w:hAnsi="Arial"/>
          <w:sz w:val="16"/>
          <w:szCs w:val="16"/>
          <w:color w:val="auto"/>
        </w:rPr>
      </w:pPr>
    </w:p>
    <w:p>
      <w:pPr>
        <w:ind w:left="1020" w:right="20" w:hanging="509"/>
        <w:spacing w:after="0" w:line="26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Natural language processing algorithms — </w:t>
      </w:r>
      <w:r>
        <w:rPr>
          <w:rFonts w:ascii="Arial" w:cs="Arial" w:eastAsia="Arial" w:hAnsi="Arial"/>
          <w:sz w:val="17"/>
          <w:szCs w:val="17"/>
          <w:color w:val="auto"/>
        </w:rPr>
        <w:t>Our natural language processing algorithms, or NLP, are important elements of our contextual analysis</w:t>
      </w:r>
      <w:r>
        <w:rPr>
          <w:rFonts w:ascii="Arial" w:cs="Arial" w:eastAsia="Arial" w:hAnsi="Arial"/>
          <w:sz w:val="17"/>
          <w:szCs w:val="17"/>
          <w:i w:val="1"/>
          <w:iCs w:val="1"/>
          <w:color w:val="auto"/>
        </w:rPr>
        <w:t xml:space="preserve"> </w:t>
      </w:r>
      <w:r>
        <w:rPr>
          <w:rFonts w:ascii="Arial" w:cs="Arial" w:eastAsia="Arial" w:hAnsi="Arial"/>
          <w:sz w:val="17"/>
          <w:szCs w:val="17"/>
          <w:color w:val="auto"/>
        </w:rPr>
        <w:t>engine. We use these algorithms to extract structure from unstructured data, so that it can be processed and analyzed effectively. Our NLP algorithms are 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452"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i w:val="1"/>
          <w:iCs w:val="1"/>
          <w:color w:val="auto"/>
        </w:rPr>
        <w:t>Predictive Analytics</w:t>
      </w:r>
    </w:p>
    <w:p>
      <w:pPr>
        <w:spacing w:after="0" w:line="117" w:lineRule="exact"/>
        <w:rPr>
          <w:sz w:val="20"/>
          <w:szCs w:val="20"/>
          <w:color w:val="auto"/>
        </w:rPr>
      </w:pPr>
    </w:p>
    <w:p>
      <w:pPr>
        <w:ind w:left="1020" w:right="20" w:hanging="509"/>
        <w:spacing w:after="0" w:line="287"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User profiling engine — </w:t>
      </w:r>
      <w:r>
        <w:rPr>
          <w:rFonts w:ascii="Arial" w:cs="Arial" w:eastAsia="Arial" w:hAnsi="Arial"/>
          <w:sz w:val="16"/>
          <w:szCs w:val="16"/>
          <w:color w:val="auto"/>
        </w:rPr>
        <w:t>Combining the data collected through, and processed by, our contextual analysis engine and audience tracking engine, our</w:t>
      </w:r>
      <w:r>
        <w:rPr>
          <w:rFonts w:ascii="Arial" w:cs="Arial" w:eastAsia="Arial" w:hAnsi="Arial"/>
          <w:sz w:val="16"/>
          <w:szCs w:val="16"/>
          <w:i w:val="1"/>
          <w:iCs w:val="1"/>
          <w:color w:val="auto"/>
        </w:rPr>
        <w:t xml:space="preserve"> </w:t>
      </w:r>
      <w:r>
        <w:rPr>
          <w:rFonts w:ascii="Arial" w:cs="Arial" w:eastAsia="Arial" w:hAnsi="Arial"/>
          <w:sz w:val="16"/>
          <w:szCs w:val="16"/>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March 31, 2020, we had designed an aggregate of 186 data labels for our user profiles.</w:t>
      </w:r>
    </w:p>
    <w:p>
      <w:pPr>
        <w:spacing w:after="0" w:line="56" w:lineRule="exact"/>
        <w:rPr>
          <w:rFonts w:ascii="Arial" w:cs="Arial" w:eastAsia="Arial" w:hAnsi="Arial"/>
          <w:sz w:val="16"/>
          <w:szCs w:val="16"/>
          <w:color w:val="auto"/>
        </w:rPr>
      </w:pPr>
    </w:p>
    <w:p>
      <w:pPr>
        <w:ind w:left="1020" w:hanging="509"/>
        <w:spacing w:after="0" w:line="270"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Profile Segmentation Algorithms — </w:t>
      </w:r>
      <w:r>
        <w:rPr>
          <w:rFonts w:ascii="Arial" w:cs="Arial" w:eastAsia="Arial" w:hAnsi="Arial"/>
          <w:sz w:val="17"/>
          <w:szCs w:val="17"/>
          <w:color w:val="auto"/>
        </w:rPr>
        <w:t>We use various algorithms to organize user profiles, which are generated and updated dynamically in real time,</w:t>
      </w:r>
      <w:r>
        <w:rPr>
          <w:rFonts w:ascii="Arial" w:cs="Arial" w:eastAsia="Arial" w:hAnsi="Arial"/>
          <w:sz w:val="17"/>
          <w:szCs w:val="17"/>
          <w:i w:val="1"/>
          <w:iCs w:val="1"/>
          <w:color w:val="auto"/>
        </w:rPr>
        <w:t xml:space="preserve"> </w:t>
      </w:r>
      <w:r>
        <w:rPr>
          <w:rFonts w:ascii="Arial" w:cs="Arial" w:eastAsia="Arial" w:hAnsi="Arial"/>
          <w:sz w:val="17"/>
          <w:szCs w:val="17"/>
          <w:color w:val="auto"/>
        </w:rPr>
        <w:t>responding to real time changes in user interests and needs. This allows for accurate and detailed segmentation of user interests through multiple dimensions, e.g. by user interest keywords and user interest categories.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Real-Time Matching Technologies</w:t>
      </w:r>
    </w:p>
    <w:p>
      <w:pPr>
        <w:spacing w:after="0" w:line="117" w:lineRule="exact"/>
        <w:rPr>
          <w:sz w:val="20"/>
          <w:szCs w:val="20"/>
          <w:color w:val="auto"/>
        </w:rPr>
      </w:pPr>
    </w:p>
    <w:p>
      <w:pPr>
        <w:ind w:left="1020" w:right="100" w:hanging="509"/>
        <w:spacing w:after="0" w:line="265"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Real-time user engagement algorithms — </w:t>
      </w:r>
      <w:r>
        <w:rPr>
          <w:rFonts w:ascii="Arial" w:cs="Arial" w:eastAsia="Arial" w:hAnsi="Arial"/>
          <w:sz w:val="17"/>
          <w:szCs w:val="17"/>
          <w:color w:val="auto"/>
        </w:rPr>
        <w:t>Our real time user engagement algorithms execute marketing decisions based on a wide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73" w:lineRule="exact"/>
        <w:rPr>
          <w:rFonts w:ascii="Arial" w:cs="Arial" w:eastAsia="Arial" w:hAnsi="Arial"/>
          <w:sz w:val="17"/>
          <w:szCs w:val="17"/>
          <w:color w:val="auto"/>
        </w:rPr>
      </w:pPr>
    </w:p>
    <w:p>
      <w:pPr>
        <w:ind w:left="1020" w:right="100" w:hanging="509"/>
        <w:spacing w:after="0" w:line="263"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Online continuous real-time bid optimization algorithms — </w:t>
      </w:r>
      <w:r>
        <w:rPr>
          <w:rFonts w:ascii="Arial" w:cs="Arial" w:eastAsia="Arial" w:hAnsi="Arial"/>
          <w:sz w:val="17"/>
          <w:szCs w:val="17"/>
          <w:color w:val="auto"/>
        </w:rPr>
        <w:t>Our online continuous real-time bid optimization algorithms consider a wide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Privacy and Security</w:t>
      </w:r>
    </w:p>
    <w:p>
      <w:pPr>
        <w:spacing w:after="0" w:line="123" w:lineRule="exact"/>
        <w:rPr>
          <w:sz w:val="20"/>
          <w:szCs w:val="20"/>
          <w:color w:val="auto"/>
        </w:rPr>
      </w:pPr>
    </w:p>
    <w:p>
      <w:pPr>
        <w:jc w:val="both"/>
        <w:ind w:right="20" w:firstLine="513"/>
        <w:spacing w:after="0" w:line="295" w:lineRule="auto"/>
        <w:rPr>
          <w:sz w:val="20"/>
          <w:szCs w:val="20"/>
          <w:color w:val="auto"/>
        </w:rPr>
      </w:pPr>
      <w:r>
        <w:rPr>
          <w:rFonts w:ascii="Arial" w:cs="Arial" w:eastAsia="Arial" w:hAnsi="Arial"/>
          <w:sz w:val="16"/>
          <w:szCs w:val="16"/>
          <w:color w:val="auto"/>
        </w:rPr>
        <w:t>We collect data solely to analyze audience and campaign performance. In order to identify each user profile, we assign a random profile number with each new profile. We then use that number as the anonymous identification for the profile and associate it with all related data. In general we do not collect personally identifiable information. If such information is inadvertently obtained by us, our policy is to immediately delete such information.</w:t>
      </w:r>
    </w:p>
    <w:p>
      <w:pPr>
        <w:spacing w:after="0" w:line="154" w:lineRule="exact"/>
        <w:rPr>
          <w:sz w:val="20"/>
          <w:szCs w:val="20"/>
          <w:color w:val="auto"/>
        </w:rPr>
      </w:pPr>
    </w:p>
    <w:p>
      <w:pPr>
        <w:ind w:right="180" w:firstLine="513"/>
        <w:spacing w:after="0" w:line="270" w:lineRule="auto"/>
        <w:rPr>
          <w:sz w:val="20"/>
          <w:szCs w:val="20"/>
          <w:color w:val="auto"/>
        </w:rPr>
      </w:pPr>
      <w:r>
        <w:rPr>
          <w:rFonts w:ascii="Arial" w:cs="Arial" w:eastAsia="Arial" w:hAnsi="Arial"/>
          <w:sz w:val="17"/>
          <w:szCs w:val="17"/>
          <w:color w:val="auto"/>
        </w:rPr>
        <w:t>We treat all information we collect as confidential. We have set up proper control such as encryption and access right on these information. We do not disclose any information we gather from a marketer or any third party data partner unless such disclosure is approved by it, which in turn has obtained end user consent.</w:t>
      </w:r>
    </w:p>
    <w:p>
      <w:pPr>
        <w:spacing w:after="0" w:line="173" w:lineRule="exact"/>
        <w:rPr>
          <w:sz w:val="20"/>
          <w:szCs w:val="20"/>
          <w:color w:val="auto"/>
        </w:rPr>
      </w:pPr>
    </w:p>
    <w:p>
      <w:pPr>
        <w:ind w:right="180" w:firstLine="513"/>
        <w:spacing w:after="0" w:line="286" w:lineRule="auto"/>
        <w:rPr>
          <w:sz w:val="20"/>
          <w:szCs w:val="20"/>
          <w:color w:val="auto"/>
        </w:rPr>
      </w:pPr>
      <w:r>
        <w:rPr>
          <w:rFonts w:ascii="Arial" w:cs="Arial" w:eastAsia="Arial" w:hAnsi="Arial"/>
          <w:sz w:val="17"/>
          <w:szCs w:val="17"/>
          <w:color w:val="auto"/>
        </w:rPr>
        <w:t>We have put in place appropriate physical, electronic and managerial procedures to safeguard and secure our data assets, including to prevent and detect any unauthorized access and data breach, to preserve their integrity and to ensure their appropriate use.</w:t>
      </w:r>
    </w:p>
    <w:p>
      <w:pPr>
        <w:spacing w:after="0" w:line="54" w:lineRule="exact"/>
        <w:rPr>
          <w:sz w:val="20"/>
          <w:szCs w:val="20"/>
          <w:color w:val="auto"/>
        </w:rPr>
      </w:pPr>
    </w:p>
    <w:p>
      <w:pPr>
        <w:jc w:val="both"/>
        <w:ind w:left="1020" w:right="40" w:hanging="509"/>
        <w:spacing w:after="0" w:line="265"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 the software level, we maintain login information across all our computer systems to control access, and individuals with different levels or job duties are assigned different levels of access permissions. For example, only high-level technology personnel, including head of system operations and certain other technical developments leaders have root access to our operation system; and only database managers have access to the relevant database. We have central controls to govern user roles and permissions.</w:t>
      </w:r>
    </w:p>
    <w:p>
      <w:pPr>
        <w:spacing w:after="0" w:line="73" w:lineRule="exact"/>
        <w:rPr>
          <w:rFonts w:ascii="Arial" w:cs="Arial" w:eastAsia="Arial" w:hAnsi="Arial"/>
          <w:sz w:val="17"/>
          <w:szCs w:val="17"/>
          <w:color w:val="auto"/>
        </w:rPr>
      </w:pPr>
    </w:p>
    <w:p>
      <w:pPr>
        <w:ind w:left="1020" w:right="240" w:hanging="509"/>
        <w:spacing w:after="0" w:line="323" w:lineRule="auto"/>
        <w:tabs>
          <w:tab w:leader="none" w:pos="10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On the hardware levels, our servers are located at our offices and IDCs, and only system operation personnel have access to our servers. In addition, we have established hardware firewall where all traffic is inspected and filtered according to a comprehensive set of rules. We conduct comprehensive security reviews of our data assets on a regular basis and ad hoc security reviews from time to time as special needs arise.</w:t>
      </w:r>
    </w:p>
    <w:p>
      <w:pPr>
        <w:spacing w:after="0" w:line="32" w:lineRule="exact"/>
        <w:rPr>
          <w:rFonts w:ascii="Arial" w:cs="Arial" w:eastAsia="Arial" w:hAnsi="Arial"/>
          <w:sz w:val="15"/>
          <w:szCs w:val="15"/>
          <w:color w:val="auto"/>
        </w:rPr>
      </w:pPr>
    </w:p>
    <w:p>
      <w:pPr>
        <w:ind w:left="1020" w:hanging="509"/>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also perform the monitoring and maintenance of our data privacy and security mechanism on a regular basis.</w:t>
      </w:r>
    </w:p>
    <w:p>
      <w:pPr>
        <w:spacing w:after="0" w:line="116" w:lineRule="exact"/>
        <w:rPr>
          <w:rFonts w:ascii="Arial" w:cs="Arial" w:eastAsia="Arial" w:hAnsi="Arial"/>
          <w:sz w:val="17"/>
          <w:szCs w:val="17"/>
          <w:color w:val="auto"/>
        </w:rPr>
      </w:pPr>
    </w:p>
    <w:p>
      <w:pPr>
        <w:ind w:left="1020" w:right="320" w:hanging="509"/>
        <w:spacing w:after="0" w:line="286"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perform regular vulnerability scanning on website or web application to identify any weak configuration or vulnerabilities. We apply patch regularly and fix any configuration issues.</w:t>
      </w:r>
    </w:p>
    <w:p>
      <w:pPr>
        <w:spacing w:after="0" w:line="54" w:lineRule="exact"/>
        <w:rPr>
          <w:rFonts w:ascii="Arial" w:cs="Arial" w:eastAsia="Arial" w:hAnsi="Arial"/>
          <w:sz w:val="17"/>
          <w:szCs w:val="17"/>
          <w:color w:val="auto"/>
        </w:rPr>
      </w:pPr>
    </w:p>
    <w:p>
      <w:pPr>
        <w:ind w:left="1020" w:right="60" w:hanging="509"/>
        <w:spacing w:after="0" w:line="270"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monitor any suspicious network traffic regularly including unexpected outgoing traffic such as huge data exfiltration volume and suspicious DNS query. We gather any events or alerts from servers and endpoints with security information and event management facility to set up alerts for any abnormal events or potential security breach.</w:t>
      </w:r>
    </w:p>
    <w:p>
      <w:pPr>
        <w:spacing w:after="0" w:line="68" w:lineRule="exact"/>
        <w:rPr>
          <w:rFonts w:ascii="Arial" w:cs="Arial" w:eastAsia="Arial" w:hAnsi="Arial"/>
          <w:sz w:val="17"/>
          <w:szCs w:val="17"/>
          <w:color w:val="auto"/>
        </w:rPr>
      </w:pPr>
    </w:p>
    <w:p>
      <w:pPr>
        <w:ind w:left="1020" w:right="260" w:hanging="509"/>
        <w:spacing w:after="0" w:line="286"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secure and monitor privileged access, particularly on Internet accessible accounts such as web or cloud hosting, and implement multi-factor authentication on these accounts.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ind w:right="340" w:firstLine="513"/>
        <w:spacing w:after="0" w:line="286" w:lineRule="auto"/>
        <w:rPr>
          <w:sz w:val="20"/>
          <w:szCs w:val="20"/>
          <w:color w:val="auto"/>
        </w:rPr>
      </w:pPr>
      <w:r>
        <w:rPr>
          <w:rFonts w:ascii="Arial" w:cs="Arial" w:eastAsia="Arial" w:hAnsi="Arial"/>
          <w:sz w:val="17"/>
          <w:szCs w:val="17"/>
          <w:color w:val="auto"/>
        </w:rPr>
        <w:t>We give sufficient priority to develop and upgrade our mechanism to protect data and prevent data leakage. We also endeavor to build up cyber threat intelligence capability to complement the detection mechanisms.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Technology Infrastructure</w:t>
      </w:r>
    </w:p>
    <w:p>
      <w:pPr>
        <w:spacing w:after="0" w:line="123" w:lineRule="exact"/>
        <w:rPr>
          <w:sz w:val="20"/>
          <w:szCs w:val="20"/>
          <w:color w:val="auto"/>
        </w:rPr>
      </w:pPr>
    </w:p>
    <w:p>
      <w:pPr>
        <w:ind w:right="20" w:firstLine="513"/>
        <w:spacing w:after="0" w:line="319"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31" w:lineRule="exact"/>
        <w:rPr>
          <w:sz w:val="20"/>
          <w:szCs w:val="20"/>
          <w:color w:val="auto"/>
        </w:rPr>
      </w:pPr>
    </w:p>
    <w:p>
      <w:pPr>
        <w:ind w:left="1020" w:right="160" w:hanging="509"/>
        <w:spacing w:after="0" w:line="287"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Real-time analytics — </w:t>
      </w:r>
      <w:r>
        <w:rPr>
          <w:rFonts w:ascii="Arial" w:cs="Arial" w:eastAsia="Arial" w:hAnsi="Arial"/>
          <w:sz w:val="16"/>
          <w:szCs w:val="16"/>
          <w:color w:val="auto"/>
        </w:rPr>
        <w:t>Our cloud-based technology architecture is built to be fully distributed while having a single unified access layer. Large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 time to our data, providing the most up-to-date and accurate representations of a user’s traits and online behavior.</w:t>
      </w:r>
    </w:p>
    <w:p>
      <w:pPr>
        <w:spacing w:after="0" w:line="56" w:lineRule="exact"/>
        <w:rPr>
          <w:rFonts w:ascii="Arial" w:cs="Arial" w:eastAsia="Arial" w:hAnsi="Arial"/>
          <w:sz w:val="16"/>
          <w:szCs w:val="16"/>
          <w:color w:val="auto"/>
        </w:rPr>
      </w:pPr>
    </w:p>
    <w:p>
      <w:pPr>
        <w:ind w:left="1020" w:right="80" w:hanging="509"/>
        <w:spacing w:after="0" w:line="283"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Scalability — </w:t>
      </w:r>
      <w:r>
        <w:rPr>
          <w:rFonts w:ascii="Arial" w:cs="Arial" w:eastAsia="Arial" w:hAnsi="Arial"/>
          <w:sz w:val="16"/>
          <w:szCs w:val="16"/>
          <w:color w:val="auto"/>
        </w:rPr>
        <w:t>With modular architecture that is built to be horizontally scalable, our platform can be easily expanded as data storage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client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60" w:lineRule="exact"/>
        <w:rPr>
          <w:rFonts w:ascii="Arial" w:cs="Arial" w:eastAsia="Arial" w:hAnsi="Arial"/>
          <w:sz w:val="16"/>
          <w:szCs w:val="16"/>
          <w:color w:val="auto"/>
        </w:rPr>
      </w:pPr>
    </w:p>
    <w:p>
      <w:pPr>
        <w:ind w:left="1020" w:right="140" w:hanging="509"/>
        <w:spacing w:after="0" w:line="295"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hardware redundancy and will switch if errors are detected. We built our platform on a distributed</w:t>
      </w:r>
      <w:r>
        <w:rPr>
          <w:rFonts w:ascii="Arial" w:cs="Arial" w:eastAsia="Arial" w:hAnsi="Arial"/>
          <w:sz w:val="16"/>
          <w:szCs w:val="16"/>
          <w:i w:val="1"/>
          <w:iCs w:val="1"/>
          <w:color w:val="auto"/>
        </w:rPr>
        <w:t xml:space="preserve"> </w:t>
      </w:r>
      <w:r>
        <w:rPr>
          <w:rFonts w:ascii="Arial" w:cs="Arial" w:eastAsia="Arial" w:hAnsi="Arial"/>
          <w:sz w:val="16"/>
          <w:szCs w:val="16"/>
          <w:color w:val="auto"/>
        </w:rPr>
        <w:t>computing architecture. 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Content Distribution Channels</w:t>
      </w:r>
    </w:p>
    <w:p>
      <w:pPr>
        <w:spacing w:after="0" w:line="123" w:lineRule="exact"/>
        <w:rPr>
          <w:sz w:val="20"/>
          <w:szCs w:val="20"/>
          <w:color w:val="auto"/>
        </w:rPr>
      </w:pPr>
    </w:p>
    <w:p>
      <w:pPr>
        <w:ind w:right="240" w:firstLine="513"/>
        <w:spacing w:after="0" w:line="306" w:lineRule="auto"/>
        <w:rPr>
          <w:sz w:val="20"/>
          <w:szCs w:val="20"/>
          <w:color w:val="auto"/>
        </w:rPr>
      </w:pPr>
      <w:r>
        <w:rPr>
          <w:rFonts w:ascii="Arial" w:cs="Arial" w:eastAsia="Arial" w:hAnsi="Arial"/>
          <w:sz w:val="15"/>
          <w:szCs w:val="15"/>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Media cost for content distribution opportunities on Tencent, Baidu, Google and Alibaba channels in aggregate accounted for 89.1%, 91.1% and 87.4% of our media costs in 2017, 2018 and 2019, respectively. Media cost for content distribution opportunities on our largest and second largest channel partners accounted for 80.8% and 6.6% of our media cost in 2019, respectively.</w:t>
      </w:r>
    </w:p>
    <w:p>
      <w:pPr>
        <w:spacing w:after="0" w:line="149" w:lineRule="exact"/>
        <w:rPr>
          <w:sz w:val="20"/>
          <w:szCs w:val="20"/>
          <w:color w:val="auto"/>
        </w:rPr>
      </w:pPr>
    </w:p>
    <w:p>
      <w:pPr>
        <w:ind w:right="60" w:firstLine="513"/>
        <w:spacing w:after="0" w:line="261" w:lineRule="auto"/>
        <w:rPr>
          <w:sz w:val="20"/>
          <w:szCs w:val="20"/>
          <w:color w:val="auto"/>
        </w:rPr>
      </w:pPr>
      <w:r>
        <w:rPr>
          <w:rFonts w:ascii="Arial" w:cs="Arial" w:eastAsia="Arial" w:hAnsi="Arial"/>
          <w:sz w:val="17"/>
          <w:szCs w:val="17"/>
          <w:color w:val="auto"/>
        </w:rPr>
        <w:t>Our content distribution opportunities span the mobile and PC channels, and include various formats such as video and traditional banner ad. Our content distribution channel partners primarily include mobile and online publishers, major search engines and ad exchanges. In the 30 days leading up to March 31, 2020, we covered approximately 125,000 mobile apps and 2.3 million websites. In 2019, our gross billing from mobile marketing solutions and other marketing solutions amounted to US$576.2 million and US$54.1 million, accounting for 89.9% and 8.4% of our gross billing, respectively. In 2019, our net revenues from mobile marketing solutions and other marketing solutions amounted to US$171.1 million and US$17.9 million, accounting for 85.8% and 9.0% of our net revenues, respectively.</w:t>
      </w:r>
    </w:p>
    <w:p>
      <w:pPr>
        <w:spacing w:after="0" w:line="182" w:lineRule="exact"/>
        <w:rPr>
          <w:sz w:val="20"/>
          <w:szCs w:val="20"/>
          <w:color w:val="auto"/>
        </w:rPr>
      </w:pPr>
    </w:p>
    <w:p>
      <w:pPr>
        <w:ind w:right="60" w:firstLine="513"/>
        <w:spacing w:after="0" w:line="261" w:lineRule="auto"/>
        <w:rPr>
          <w:sz w:val="20"/>
          <w:szCs w:val="20"/>
          <w:color w:val="auto"/>
        </w:rPr>
      </w:pPr>
      <w:r>
        <w:rPr>
          <w:rFonts w:ascii="Arial" w:cs="Arial" w:eastAsia="Arial" w:hAnsi="Arial"/>
          <w:sz w:val="17"/>
          <w:szCs w:val="17"/>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w:t>
      </w:r>
    </w:p>
    <w:p>
      <w:pPr>
        <w:spacing w:after="0" w:line="182" w:lineRule="exact"/>
        <w:rPr>
          <w:sz w:val="20"/>
          <w:szCs w:val="20"/>
          <w:color w:val="auto"/>
        </w:rPr>
      </w:pPr>
    </w:p>
    <w:p>
      <w:pPr>
        <w:ind w:firstLine="513"/>
        <w:spacing w:after="0" w:line="299" w:lineRule="auto"/>
        <w:rPr>
          <w:sz w:val="20"/>
          <w:szCs w:val="20"/>
          <w:color w:val="auto"/>
        </w:rPr>
      </w:pPr>
      <w:r>
        <w:rPr>
          <w:rFonts w:ascii="Arial" w:cs="Arial" w:eastAsia="Arial" w:hAnsi="Arial"/>
          <w:sz w:val="15"/>
          <w:szCs w:val="15"/>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For example, in June 2018, we announced a strategic partnership with Ctrip.Com International Ltd., a top online travel agency player in China, to augment travel marketing solutions for international brands aiming to reach the rising number of outbound travelers from China. In the same month, we also announced a strategic partnership with Bilibili Inc., a leading video sharing website focused on content for the Chinese youth market. This collaboration will help international and local brands more effectively target the large Generation Z and Millennial userbase of Bilibili. In August 2019, we engaged in a strategic partnership with Beijing Xiaodu Interactive Entertainment Technology Ltd, formerly known as Baidu video, to become its exclusive advertising partner outside of the Chinese marketplace. We believe this partnership will provide global brands with the ability to target Chinese consumers through video convergence marketing.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220" w:firstLine="513"/>
        <w:spacing w:after="0" w:line="279" w:lineRule="auto"/>
        <w:rPr>
          <w:sz w:val="20"/>
          <w:szCs w:val="20"/>
          <w:color w:val="auto"/>
        </w:rPr>
      </w:pPr>
      <w:r>
        <w:rPr>
          <w:rFonts w:ascii="Arial" w:cs="Arial" w:eastAsia="Arial" w:hAnsi="Arial"/>
          <w:sz w:val="16"/>
          <w:szCs w:val="16"/>
          <w:color w:val="auto"/>
        </w:rPr>
        <w:t>In November 2018, we made a controlling investment in Shanghai Myhayo Technology Co., Ltd., a content distribution channel and a mobile content aggregator of articles and short videos in the PRC, which presents customized feeds to users via its mobile application. In February 2020, we agreed to make a controlling investment in Optimal Power Limited, a subsidiary wholly owned by Creative Big Limited. As of the date of this annual report, we are still in the process of negotiating and finalizing the terms of a definitive agreement for this investment, and we expect to complete the investment in the second quarter of 2020. As part of the transaction, Creative Big Limited will inject certain premium media licensing assets into Optimal Power Limited covering a number of jurisdictions in Asia-Pacific. We believe this investment will broaden our content distribution channels and enrich offerings of our online marketing solutions. However, we still primarily rely on third-party content distribution channels to access content distribution opportunities.</w:t>
      </w:r>
    </w:p>
    <w:p>
      <w:pPr>
        <w:spacing w:after="0" w:line="168" w:lineRule="exact"/>
        <w:rPr>
          <w:sz w:val="20"/>
          <w:szCs w:val="20"/>
          <w:color w:val="auto"/>
        </w:rPr>
      </w:pPr>
    </w:p>
    <w:p>
      <w:pPr>
        <w:ind w:right="160" w:firstLine="513"/>
        <w:spacing w:after="0" w:line="323" w:lineRule="auto"/>
        <w:rPr>
          <w:sz w:val="20"/>
          <w:szCs w:val="20"/>
          <w:color w:val="auto"/>
        </w:rPr>
      </w:pPr>
      <w:r>
        <w:rPr>
          <w:rFonts w:ascii="Arial" w:cs="Arial" w:eastAsia="Arial" w:hAnsi="Arial"/>
          <w:sz w:val="15"/>
          <w:szCs w:val="15"/>
          <w:color w:val="auto"/>
        </w:rPr>
        <w:t>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we launched MoTV mobile SDK through cooperation with certain leading apps in China, which is an in-app video app that provides blue-ray quality ad viewing experience.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Clients</w:t>
      </w:r>
    </w:p>
    <w:p>
      <w:pPr>
        <w:spacing w:after="0" w:line="123" w:lineRule="exact"/>
        <w:rPr>
          <w:sz w:val="20"/>
          <w:szCs w:val="20"/>
          <w:color w:val="auto"/>
        </w:rPr>
      </w:pPr>
    </w:p>
    <w:p>
      <w:pPr>
        <w:ind w:right="40" w:firstLine="513"/>
        <w:spacing w:after="0" w:line="279" w:lineRule="auto"/>
        <w:rPr>
          <w:sz w:val="20"/>
          <w:szCs w:val="20"/>
          <w:color w:val="auto"/>
        </w:rPr>
      </w:pPr>
      <w:r>
        <w:rPr>
          <w:rFonts w:ascii="Arial" w:cs="Arial" w:eastAsia="Arial" w:hAnsi="Arial"/>
          <w:sz w:val="16"/>
          <w:szCs w:val="16"/>
          <w:color w:val="auto"/>
        </w:rPr>
        <w:t>We sell our solutions primarily by entering into sales contracts with entities or marketing agencies, including marketing campaign contracts for our online marketing solutions. We treat entities which enter into sales contracts with us and incur spending during the relevant period as our clients. Therefore, we count specific sub-brands or divisions within the same brand or holding company as distinct clients so long as we have signed campaign contracts with different entities. On the other hand, even though multiple campaign contracts may be involved, we only record one single client if those contracts with us are signed by the same entity. Our clients include both marketers who have direct contractual relationships with us, or direct marketer clients, and marketing agency clients. Our “end marketers,” or “marketers” comprise marketers we serve, either directly or through marketing agencies, regardless if they have direct contractual relationship with us. In 2019, we had 3,481 marketers, including 1,793 marketers represented by our marketing agency clients.</w:t>
      </w:r>
    </w:p>
    <w:p>
      <w:pPr>
        <w:spacing w:after="0" w:line="168" w:lineRule="exact"/>
        <w:rPr>
          <w:sz w:val="20"/>
          <w:szCs w:val="20"/>
          <w:color w:val="auto"/>
        </w:rPr>
      </w:pPr>
    </w:p>
    <w:p>
      <w:pPr>
        <w:ind w:right="100" w:firstLine="513"/>
        <w:spacing w:after="0" w:line="279" w:lineRule="auto"/>
        <w:rPr>
          <w:sz w:val="20"/>
          <w:szCs w:val="20"/>
          <w:color w:val="auto"/>
        </w:rPr>
      </w:pPr>
      <w:r>
        <w:rPr>
          <w:rFonts w:ascii="Arial" w:cs="Arial" w:eastAsia="Arial" w:hAnsi="Arial"/>
          <w:sz w:val="16"/>
          <w:szCs w:val="16"/>
          <w:color w:val="auto"/>
        </w:rPr>
        <w:t>Our marketers span a diverse array of industry segments, with E-commerce, entertainment and media, personal care and beauty, automobile and petroleum, and travel and hospitality being among the top five in terms of gross billing contribution in 2019. They also feature companies of different sizes, including more than 270 multinational companies in 2019, respectively, as well as small and medium-sized enterprises. Our marketers come from a variety of regions, with headquarters in Europe, North America, or Asia. In determining the geographic classification of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w:t>
      </w:r>
    </w:p>
    <w:p>
      <w:pPr>
        <w:spacing w:after="0" w:line="168" w:lineRule="exact"/>
        <w:rPr>
          <w:sz w:val="20"/>
          <w:szCs w:val="20"/>
          <w:color w:val="auto"/>
        </w:rPr>
      </w:pPr>
    </w:p>
    <w:p>
      <w:pPr>
        <w:ind w:right="20" w:firstLine="513"/>
        <w:spacing w:after="0" w:line="263" w:lineRule="auto"/>
        <w:rPr>
          <w:sz w:val="20"/>
          <w:szCs w:val="20"/>
          <w:color w:val="auto"/>
        </w:rPr>
      </w:pPr>
      <w:r>
        <w:rPr>
          <w:rFonts w:ascii="Arial" w:cs="Arial" w:eastAsia="Arial" w:hAnsi="Arial"/>
          <w:sz w:val="17"/>
          <w:szCs w:val="17"/>
          <w:color w:val="auto"/>
        </w:rPr>
        <w:t>We have been strategically optimizing the client base, in particular, for other marketing solutions, to focus on profitability and liquidity. As a result of these efforts, our gross billing per client increased by US$127,422, or 83.7%, from US$152,318 in 2017 to US$279,740 in 2018, and by US$44,699, or 16.0%, from US$279,740 in 2018 to US$324,439 in 2019. Relatedly, the total number of clients that we served decreased by 12.3% from 1,630 in 2017 to 1,429 in 2018. The total number of clients increased by 38.2% from 1,429 in 2018 to 1,975 in 2019, primarily attributable to our increased ability to cater to the growing market demand.</w:t>
      </w:r>
    </w:p>
    <w:p>
      <w:pPr>
        <w:spacing w:after="0" w:line="178" w:lineRule="exact"/>
        <w:rPr>
          <w:sz w:val="20"/>
          <w:szCs w:val="20"/>
          <w:color w:val="auto"/>
        </w:rPr>
      </w:pPr>
    </w:p>
    <w:p>
      <w:pPr>
        <w:ind w:right="80" w:firstLine="513"/>
        <w:spacing w:after="0" w:line="311" w:lineRule="auto"/>
        <w:rPr>
          <w:sz w:val="20"/>
          <w:szCs w:val="20"/>
          <w:color w:val="auto"/>
        </w:rPr>
      </w:pPr>
      <w:r>
        <w:rPr>
          <w:rFonts w:ascii="Arial" w:cs="Arial" w:eastAsia="Arial" w:hAnsi="Arial"/>
          <w:sz w:val="15"/>
          <w:szCs w:val="15"/>
          <w:color w:val="auto"/>
        </w:rPr>
        <w:t>In 2017, we did not derive over 10% of our net revenues from a marketer. In 2018, we derived 14% of our net revenues from a marketer in the entertainment industry. In 2019, we did not derive over 10% of our net revenues from a marketer. These marketers utilized our mobile marketing solutions under specified-action arrangement and therefore, revenue from these marketers was recognized on a gross basis. Their marketing campaign contracts were for a term of one year and contained terms similar to that under the marketing campaign contracts we generally enter into with other marketers utilizing similar solutions.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Business Development and Account Management</w:t>
      </w:r>
    </w:p>
    <w:p>
      <w:pPr>
        <w:spacing w:after="0" w:line="123" w:lineRule="exact"/>
        <w:rPr>
          <w:sz w:val="20"/>
          <w:szCs w:val="20"/>
          <w:color w:val="auto"/>
        </w:rPr>
      </w:pPr>
    </w:p>
    <w:p>
      <w:pPr>
        <w:ind w:firstLine="513"/>
        <w:spacing w:after="0" w:line="279" w:lineRule="auto"/>
        <w:rPr>
          <w:sz w:val="20"/>
          <w:szCs w:val="20"/>
          <w:color w:val="auto"/>
        </w:rPr>
      </w:pPr>
      <w:r>
        <w:rPr>
          <w:rFonts w:ascii="Arial" w:cs="Arial" w:eastAsia="Arial" w:hAnsi="Arial"/>
          <w:sz w:val="16"/>
          <w:szCs w:val="16"/>
          <w:color w:val="auto"/>
        </w:rPr>
        <w:t>Our sales and business development workforce is mainly focused on attracting more clients for our mobile marketing solutions, optimizing the client base, in particular, for our other marketing solutions to focus on profitability and liquidity, and attracting more clients to use our marketing solutions and enterprise solutions. Leveraging our existing positions and reputations in industry sectors where we already have a strong presence, we are able to attract more marketers in those sectors. In addition, we are focused on diversifying our client base. We have partnered with local marketing agencies at selected first and second-tier cities in China to expand our client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55" w:name="page56"/>
    <w:bookmarkEnd w:id="55"/>
    <w:p>
      <w:pPr>
        <w:ind w:right="440" w:firstLine="513"/>
        <w:spacing w:after="0" w:line="286" w:lineRule="auto"/>
        <w:rPr>
          <w:sz w:val="20"/>
          <w:szCs w:val="20"/>
          <w:color w:val="auto"/>
        </w:rPr>
      </w:pPr>
      <w:r>
        <w:rPr>
          <w:rFonts w:ascii="Arial" w:cs="Arial" w:eastAsia="Arial" w:hAnsi="Arial"/>
          <w:sz w:val="17"/>
          <w:szCs w:val="17"/>
          <w:color w:val="auto"/>
        </w:rPr>
        <w:t>Our sales and business development team is organized by geographic region, and is further divided into groups that focus on sales to marketers or to marketing agencies in each geographic region.</w:t>
      </w:r>
    </w:p>
    <w:p>
      <w:pPr>
        <w:spacing w:after="0" w:line="159" w:lineRule="exact"/>
        <w:rPr>
          <w:sz w:val="20"/>
          <w:szCs w:val="20"/>
          <w:color w:val="auto"/>
        </w:rPr>
      </w:pPr>
    </w:p>
    <w:p>
      <w:pPr>
        <w:ind w:right="20" w:firstLine="513"/>
        <w:spacing w:after="0" w:line="281" w:lineRule="auto"/>
        <w:rPr>
          <w:sz w:val="20"/>
          <w:szCs w:val="20"/>
          <w:color w:val="auto"/>
        </w:rPr>
      </w:pPr>
      <w:r>
        <w:rPr>
          <w:rFonts w:ascii="Arial" w:cs="Arial" w:eastAsia="Arial" w:hAnsi="Arial"/>
          <w:sz w:val="16"/>
          <w:szCs w:val="16"/>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 As of December 31, 2019, we had 432 employees for sales, business development and account management.</w:t>
      </w:r>
    </w:p>
    <w:p>
      <w:pPr>
        <w:spacing w:after="0" w:line="165" w:lineRule="exact"/>
        <w:rPr>
          <w:sz w:val="20"/>
          <w:szCs w:val="20"/>
          <w:color w:val="auto"/>
        </w:rPr>
      </w:pPr>
    </w:p>
    <w:p>
      <w:pPr>
        <w:ind w:right="140" w:firstLine="513"/>
        <w:spacing w:after="0" w:line="287" w:lineRule="auto"/>
        <w:rPr>
          <w:sz w:val="20"/>
          <w:szCs w:val="20"/>
          <w:color w:val="auto"/>
        </w:rPr>
      </w:pPr>
      <w:r>
        <w:rPr>
          <w:rFonts w:ascii="Arial" w:cs="Arial" w:eastAsia="Arial" w:hAnsi="Arial"/>
          <w:sz w:val="16"/>
          <w:szCs w:val="16"/>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3" w:lineRule="exact"/>
        <w:rPr>
          <w:sz w:val="20"/>
          <w:szCs w:val="20"/>
          <w:color w:val="auto"/>
        </w:rPr>
      </w:pPr>
    </w:p>
    <w:p>
      <w:pPr>
        <w:ind w:right="180" w:firstLine="513"/>
        <w:spacing w:after="0" w:line="295" w:lineRule="auto"/>
        <w:rPr>
          <w:sz w:val="20"/>
          <w:szCs w:val="20"/>
          <w:color w:val="auto"/>
        </w:rPr>
      </w:pPr>
      <w:r>
        <w:rPr>
          <w:rFonts w:ascii="Arial" w:cs="Arial" w:eastAsia="Arial" w:hAnsi="Arial"/>
          <w:sz w:val="16"/>
          <w:szCs w:val="16"/>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54" w:lineRule="exact"/>
        <w:rPr>
          <w:sz w:val="20"/>
          <w:szCs w:val="20"/>
          <w:color w:val="auto"/>
        </w:rPr>
      </w:pPr>
    </w:p>
    <w:p>
      <w:pPr>
        <w:jc w:val="both"/>
        <w:ind w:right="340" w:firstLine="513"/>
        <w:spacing w:after="0" w:line="270"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ind w:firstLine="513"/>
        <w:spacing w:after="0" w:line="265" w:lineRule="auto"/>
        <w:rPr>
          <w:sz w:val="20"/>
          <w:szCs w:val="20"/>
          <w:color w:val="auto"/>
        </w:rPr>
      </w:pPr>
      <w:r>
        <w:rPr>
          <w:rFonts w:ascii="Arial" w:cs="Arial" w:eastAsia="Arial" w:hAnsi="Arial"/>
          <w:sz w:val="17"/>
          <w:szCs w:val="17"/>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77" w:lineRule="exact"/>
        <w:rPr>
          <w:sz w:val="20"/>
          <w:szCs w:val="20"/>
          <w:color w:val="auto"/>
        </w:rPr>
      </w:pPr>
    </w:p>
    <w:p>
      <w:pPr>
        <w:ind w:right="200" w:firstLine="513"/>
        <w:spacing w:after="0" w:line="286" w:lineRule="auto"/>
        <w:rPr>
          <w:sz w:val="20"/>
          <w:szCs w:val="20"/>
          <w:color w:val="auto"/>
        </w:rPr>
      </w:pPr>
      <w:r>
        <w:rPr>
          <w:rFonts w:ascii="Arial" w:cs="Arial" w:eastAsia="Arial" w:hAnsi="Arial"/>
          <w:sz w:val="17"/>
          <w:szCs w:val="17"/>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2019, we had two patents and 40 computer software copyrights in China, and 22 registered trademarks in China and Hong Kong.</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3" w:lineRule="exact"/>
        <w:rPr>
          <w:sz w:val="20"/>
          <w:szCs w:val="20"/>
          <w:color w:val="auto"/>
        </w:rPr>
      </w:pPr>
    </w:p>
    <w:p>
      <w:pPr>
        <w:jc w:val="both"/>
        <w:ind w:right="100" w:firstLine="513"/>
        <w:spacing w:after="0" w:line="270" w:lineRule="auto"/>
        <w:rPr>
          <w:sz w:val="20"/>
          <w:szCs w:val="20"/>
          <w:color w:val="auto"/>
        </w:rPr>
      </w:pPr>
      <w:r>
        <w:rPr>
          <w:rFonts w:ascii="Arial" w:cs="Arial" w:eastAsia="Arial" w:hAnsi="Arial"/>
          <w:sz w:val="17"/>
          <w:szCs w:val="17"/>
          <w:color w:val="auto"/>
        </w:rPr>
        <w:t>China’s independent online marketing technology market is highly competitive, fragmented and rapidly changing. We mainly compete with independent online marketing technology companies in China that offer online marketing solutions through demand side platform and use advanced technologies to optimize marketing campaigns for marketers.</w:t>
      </w:r>
    </w:p>
    <w:p>
      <w:pPr>
        <w:spacing w:after="0" w:line="173" w:lineRule="exact"/>
        <w:rPr>
          <w:sz w:val="20"/>
          <w:szCs w:val="20"/>
          <w:color w:val="auto"/>
        </w:rPr>
      </w:pPr>
    </w:p>
    <w:p>
      <w:pPr>
        <w:ind w:right="40" w:firstLine="513"/>
        <w:spacing w:after="0" w:line="278" w:lineRule="auto"/>
        <w:rPr>
          <w:sz w:val="20"/>
          <w:szCs w:val="20"/>
          <w:color w:val="auto"/>
        </w:rPr>
      </w:pPr>
      <w:r>
        <w:rPr>
          <w:rFonts w:ascii="Arial" w:cs="Arial" w:eastAsia="Arial" w:hAnsi="Arial"/>
          <w:sz w:val="16"/>
          <w:szCs w:val="16"/>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56" w:name="page57"/>
    <w:bookmarkEnd w:id="56"/>
    <w:p>
      <w:pPr>
        <w:ind w:right="20" w:firstLine="513"/>
        <w:spacing w:after="0" w:line="258" w:lineRule="auto"/>
        <w:rPr>
          <w:sz w:val="20"/>
          <w:szCs w:val="20"/>
          <w:color w:val="auto"/>
        </w:rPr>
      </w:pPr>
      <w:r>
        <w:rPr>
          <w:rFonts w:ascii="Arial" w:cs="Arial" w:eastAsia="Arial" w:hAnsi="Arial"/>
          <w:sz w:val="17"/>
          <w:szCs w:val="17"/>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w:t>
      </w:r>
    </w:p>
    <w:p>
      <w:pPr>
        <w:spacing w:after="0" w:line="188" w:lineRule="exact"/>
        <w:rPr>
          <w:sz w:val="20"/>
          <w:szCs w:val="20"/>
          <w:color w:val="auto"/>
        </w:rPr>
      </w:pPr>
    </w:p>
    <w:p>
      <w:pPr>
        <w:ind w:right="180" w:firstLine="513"/>
        <w:spacing w:after="0" w:line="270" w:lineRule="auto"/>
        <w:rPr>
          <w:sz w:val="20"/>
          <w:szCs w:val="20"/>
          <w:color w:val="auto"/>
        </w:rPr>
      </w:pPr>
      <w:r>
        <w:rPr>
          <w:rFonts w:ascii="Arial" w:cs="Arial" w:eastAsia="Arial" w:hAnsi="Arial"/>
          <w:sz w:val="17"/>
          <w:szCs w:val="17"/>
          <w:color w:val="auto"/>
        </w:rPr>
        <w:t>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73" w:lineRule="exact"/>
        <w:rPr>
          <w:sz w:val="20"/>
          <w:szCs w:val="20"/>
          <w:color w:val="auto"/>
        </w:rPr>
      </w:pPr>
    </w:p>
    <w:p>
      <w:pPr>
        <w:ind w:right="60" w:firstLine="513"/>
        <w:spacing w:after="0" w:line="260" w:lineRule="auto"/>
        <w:rPr>
          <w:sz w:val="20"/>
          <w:szCs w:val="20"/>
          <w:color w:val="auto"/>
        </w:rPr>
      </w:pPr>
      <w:r>
        <w:rPr>
          <w:rFonts w:ascii="Arial" w:cs="Arial" w:eastAsia="Arial" w:hAnsi="Arial"/>
          <w:sz w:val="17"/>
          <w:szCs w:val="17"/>
          <w:color w:val="auto"/>
        </w:rPr>
        <w:t>With respect to our newly launched SaaS-based enterprise solutions, there are currently few direct competitors in this relatively new and evolving area in China. However, we anticipate competition to increase based on clients’ demands for these type of products. We may face competitions from local companies who are working on the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23" w:lineRule="exact"/>
        <w:rPr>
          <w:sz w:val="20"/>
          <w:szCs w:val="20"/>
          <w:color w:val="auto"/>
        </w:rPr>
      </w:pPr>
    </w:p>
    <w:p>
      <w:pPr>
        <w:ind w:right="240" w:firstLine="513"/>
        <w:spacing w:after="0" w:line="286" w:lineRule="auto"/>
        <w:rPr>
          <w:sz w:val="20"/>
          <w:szCs w:val="20"/>
          <w:color w:val="auto"/>
        </w:rPr>
      </w:pPr>
      <w:r>
        <w:rPr>
          <w:rFonts w:ascii="Arial" w:cs="Arial" w:eastAsia="Arial" w:hAnsi="Arial"/>
          <w:sz w:val="17"/>
          <w:szCs w:val="17"/>
          <w:color w:val="auto"/>
        </w:rPr>
        <w:t>This section sets forth a summary of the most significant regulations or requirements that affect our business activities in the PRC or our shareholders’ right to receive dividends and other distributions from us.</w:t>
      </w:r>
    </w:p>
    <w:p>
      <w:pPr>
        <w:spacing w:after="0" w:line="159" w:lineRule="exact"/>
        <w:rPr>
          <w:sz w:val="20"/>
          <w:szCs w:val="20"/>
          <w:color w:val="auto"/>
        </w:rPr>
      </w:pPr>
    </w:p>
    <w:p>
      <w:pPr>
        <w:ind w:right="420" w:firstLine="513"/>
        <w:spacing w:after="0" w:line="270" w:lineRule="auto"/>
        <w:rPr>
          <w:sz w:val="20"/>
          <w:szCs w:val="20"/>
          <w:color w:val="auto"/>
        </w:rPr>
      </w:pPr>
      <w:r>
        <w:rPr>
          <w:rFonts w:ascii="Arial" w:cs="Arial" w:eastAsia="Arial" w:hAnsi="Arial"/>
          <w:sz w:val="17"/>
          <w:szCs w:val="17"/>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Advertising Business</w:t>
      </w:r>
    </w:p>
    <w:p>
      <w:pPr>
        <w:spacing w:after="0" w:line="117" w:lineRule="exact"/>
        <w:rPr>
          <w:sz w:val="20"/>
          <w:szCs w:val="20"/>
          <w:color w:val="auto"/>
        </w:rPr>
      </w:pPr>
    </w:p>
    <w:p>
      <w:pPr>
        <w:ind w:firstLine="513"/>
        <w:spacing w:after="0" w:line="275" w:lineRule="auto"/>
        <w:rPr>
          <w:sz w:val="20"/>
          <w:szCs w:val="20"/>
          <w:color w:val="auto"/>
        </w:rPr>
      </w:pPr>
      <w:r>
        <w:rPr>
          <w:rFonts w:ascii="Arial" w:cs="Arial" w:eastAsia="Arial" w:hAnsi="Arial"/>
          <w:sz w:val="16"/>
          <w:szCs w:val="16"/>
          <w:color w:val="auto"/>
        </w:rPr>
        <w:t>The Advertising Law of the People’s Republic of China, promulgated by the Standing Committee of the National People’s Congress on April 24, 2015 and became effective on September 1, 2015 and was amended on October 27, 2018,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76" w:lineRule="exact"/>
        <w:rPr>
          <w:sz w:val="20"/>
          <w:szCs w:val="20"/>
          <w:color w:val="auto"/>
        </w:rPr>
      </w:pPr>
    </w:p>
    <w:p>
      <w:pPr>
        <w:ind w:right="200" w:firstLine="513"/>
        <w:spacing w:after="0" w:line="297" w:lineRule="auto"/>
        <w:rPr>
          <w:sz w:val="20"/>
          <w:szCs w:val="20"/>
          <w:color w:val="auto"/>
        </w:rPr>
      </w:pPr>
      <w:r>
        <w:rPr>
          <w:rFonts w:ascii="Arial" w:cs="Arial" w:eastAsia="Arial" w:hAnsi="Arial"/>
          <w:sz w:val="15"/>
          <w:szCs w:val="15"/>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556" w:right="379" w:bottom="1440" w:gutter="0" w:footer="0" w:header="0"/>
        </w:sectPr>
      </w:pPr>
    </w:p>
    <w:bookmarkStart w:id="57" w:name="page58"/>
    <w:bookmarkEnd w:id="57"/>
    <w:p>
      <w:pPr>
        <w:ind w:right="80" w:firstLine="513"/>
        <w:spacing w:after="0" w:line="263" w:lineRule="auto"/>
        <w:rPr>
          <w:sz w:val="20"/>
          <w:szCs w:val="20"/>
          <w:color w:val="auto"/>
        </w:rPr>
      </w:pPr>
      <w:r>
        <w:rPr>
          <w:rFonts w:ascii="Arial" w:cs="Arial" w:eastAsia="Arial" w:hAnsi="Arial"/>
          <w:sz w:val="17"/>
          <w:szCs w:val="17"/>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have developed certain advertising business management rules containing these mandatory content review and conduct requirements, and are establishing internal mechanisms to implement these rules.</w:t>
      </w:r>
    </w:p>
    <w:p>
      <w:pPr>
        <w:spacing w:after="0" w:line="178" w:lineRule="exact"/>
        <w:rPr>
          <w:sz w:val="20"/>
          <w:szCs w:val="20"/>
          <w:color w:val="auto"/>
        </w:rPr>
      </w:pPr>
    </w:p>
    <w:p>
      <w:pPr>
        <w:ind w:right="60" w:firstLine="513"/>
        <w:spacing w:after="0" w:line="281" w:lineRule="auto"/>
        <w:rPr>
          <w:sz w:val="20"/>
          <w:szCs w:val="20"/>
          <w:color w:val="auto"/>
        </w:rPr>
      </w:pPr>
      <w:r>
        <w:rPr>
          <w:rFonts w:ascii="Arial" w:cs="Arial" w:eastAsia="Arial" w:hAnsi="Arial"/>
          <w:sz w:val="16"/>
          <w:szCs w:val="16"/>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Internet Information Service</w:t>
      </w:r>
    </w:p>
    <w:p>
      <w:pPr>
        <w:spacing w:after="0" w:line="117" w:lineRule="exact"/>
        <w:rPr>
          <w:sz w:val="20"/>
          <w:szCs w:val="20"/>
          <w:color w:val="auto"/>
        </w:rPr>
      </w:pPr>
    </w:p>
    <w:p>
      <w:pPr>
        <w:ind w:firstLine="513"/>
        <w:spacing w:after="0" w:line="296" w:lineRule="auto"/>
        <w:rPr>
          <w:sz w:val="20"/>
          <w:szCs w:val="20"/>
          <w:color w:val="auto"/>
        </w:rPr>
      </w:pPr>
      <w:r>
        <w:rPr>
          <w:rFonts w:ascii="Arial" w:cs="Arial" w:eastAsia="Arial" w:hAnsi="Arial"/>
          <w:sz w:val="15"/>
          <w:szCs w:val="15"/>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 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Value-added Telecommunication Services</w:t>
      </w:r>
    </w:p>
    <w:p>
      <w:pPr>
        <w:spacing w:after="0" w:line="117" w:lineRule="exact"/>
        <w:rPr>
          <w:sz w:val="20"/>
          <w:szCs w:val="20"/>
          <w:color w:val="auto"/>
        </w:rPr>
      </w:pPr>
    </w:p>
    <w:p>
      <w:pPr>
        <w:ind w:right="80" w:firstLine="513"/>
        <w:spacing w:after="0" w:line="302" w:lineRule="auto"/>
        <w:rPr>
          <w:sz w:val="20"/>
          <w:szCs w:val="20"/>
          <w:color w:val="auto"/>
        </w:rPr>
      </w:pPr>
      <w:r>
        <w:rPr>
          <w:rFonts w:ascii="Arial" w:cs="Arial" w:eastAsia="Arial" w:hAnsi="Arial"/>
          <w:sz w:val="15"/>
          <w:szCs w:val="15"/>
          <w:color w:val="auto"/>
        </w:rPr>
        <w:t>On September 25, 2000, the State Council promulgated the Telecommunications Regulations of the People’s Republic of China, or the Telecom Regulations, which was amended on July 29, 2014 and February 6, 2016. The Telecom Regulations is the primary PRC law governing telecommunication services and sets out the general regulatory framework for telecommunication services provided by PRC companies. The Telecom Regulations distinguishes between “basic telecommunication services” and “value-added telecommunication services.” The Telecom Regulations defines value-added telecommunications services as telecommunications and information services provided through public network infrastructures. Pursuant to the Telecom Regulations, commercial operators of value-added telecommunications services must first obtain an operating license from the MIIT, or its provincial level counterparts.</w:t>
      </w:r>
    </w:p>
    <w:p>
      <w:pPr>
        <w:spacing w:after="0" w:line="155" w:lineRule="exact"/>
        <w:rPr>
          <w:sz w:val="20"/>
          <w:szCs w:val="20"/>
          <w:color w:val="auto"/>
        </w:rPr>
      </w:pPr>
    </w:p>
    <w:p>
      <w:pPr>
        <w:ind w:right="180" w:firstLine="513"/>
        <w:spacing w:after="0" w:line="265" w:lineRule="auto"/>
        <w:rPr>
          <w:sz w:val="20"/>
          <w:szCs w:val="20"/>
          <w:color w:val="auto"/>
        </w:rPr>
      </w:pPr>
      <w:r>
        <w:rPr>
          <w:rFonts w:ascii="Arial" w:cs="Arial" w:eastAsia="Arial" w:hAnsi="Arial"/>
          <w:sz w:val="17"/>
          <w:szCs w:val="17"/>
          <w:color w:val="auto"/>
        </w:rPr>
        <w:t>The Catalog of Telecommunications Business, or the Catalog, which was issued as an attachment to the Telecom Regulations and updated in June 11, 2001, February 21, 2003, December 28, 2015 and June 6, 2019, further categorizes value-added telecommunication services into two classes: Class 1 value-added telecommunication services and Class 2 value-added telecommunication services. Information services provided via cable networks, mobile networks or internet fall within Class 2 value-added telecommunications services.</w:t>
      </w:r>
    </w:p>
    <w:p>
      <w:pPr>
        <w:spacing w:after="0" w:line="177" w:lineRule="exact"/>
        <w:rPr>
          <w:sz w:val="20"/>
          <w:szCs w:val="20"/>
          <w:color w:val="auto"/>
        </w:rPr>
      </w:pPr>
    </w:p>
    <w:p>
      <w:pPr>
        <w:ind w:right="40" w:firstLine="513"/>
        <w:spacing w:after="0" w:line="261" w:lineRule="auto"/>
        <w:rPr>
          <w:sz w:val="20"/>
          <w:szCs w:val="20"/>
          <w:color w:val="auto"/>
        </w:rPr>
      </w:pPr>
      <w:r>
        <w:rPr>
          <w:rFonts w:ascii="Arial" w:cs="Arial" w:eastAsia="Arial" w:hAnsi="Arial"/>
          <w:sz w:val="17"/>
          <w:szCs w:val="17"/>
          <w:color w:val="auto"/>
        </w:rPr>
        <w:t>On July 3, 2017, the MIIT issued the Measures on the Administration of Telecommunications Business Operating Permits, or the Telecom License Measures, which became effective on September 1, 2017, to supplement the Telecom Regulations. The Telecom License Measures sets forth the types of licenses required to operate value-added telecommunications services and the qualifications and procedures for obtaining such licenses. The Telecom License Measures also provides that an operator providing value-added services in multiple provinces is required to obtain an inter-regional license, whereas an operator providing value-added services in one province is required to obtain an intra-provincial license. Any telecommunication services operator must conduct its business in accordance with the specifications in its license.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i w:val="1"/>
          <w:iCs w:val="1"/>
          <w:color w:val="auto"/>
        </w:rPr>
        <w:t>Regulations on Foreign Direct Investment in Value-Added Telecommunications Companies</w:t>
      </w:r>
    </w:p>
    <w:p>
      <w:pPr>
        <w:spacing w:after="0" w:line="117" w:lineRule="exact"/>
        <w:rPr>
          <w:sz w:val="20"/>
          <w:szCs w:val="20"/>
          <w:color w:val="auto"/>
        </w:rPr>
      </w:pPr>
    </w:p>
    <w:p>
      <w:pPr>
        <w:ind w:right="20" w:firstLine="513"/>
        <w:spacing w:after="0" w:line="279" w:lineRule="auto"/>
        <w:rPr>
          <w:sz w:val="20"/>
          <w:szCs w:val="20"/>
          <w:color w:val="auto"/>
        </w:rPr>
      </w:pPr>
      <w:r>
        <w:rPr>
          <w:rFonts w:ascii="Arial" w:cs="Arial" w:eastAsia="Arial" w:hAnsi="Arial"/>
          <w:sz w:val="16"/>
          <w:szCs w:val="16"/>
          <w:color w:val="auto"/>
        </w:rPr>
        <w:t>Foreign direct investment in telecommunications companies in China is governed by the Provisions on the Administration of Foreign-Invested Telecommunications Enterprises, which was promulgated by the State Council on December 11, 2001 and amended on September 10, 2008 and February 6, 2016. These regulations require that foreign-invested value-added telecommunications enterprises in China must be established as Sino-foreign equity joint ventures and that the foreign investors may acquire up to 50% equity interests in such joint ventures. In addition, a major foreign investor in a value-added telecommunications business in China must demonstrate a good track record and experience in operating value-added telecommunications businesses. Moreover, foreign investors that meet these requirements must obtain approvals from the MIIT and the MOFCOM, to provide value-added telecommunication services in China and the MIIT and the MOFCOM retain considerable discretion in granting such approvals.</w:t>
      </w:r>
    </w:p>
    <w:p>
      <w:pPr>
        <w:spacing w:after="0" w:line="168" w:lineRule="exact"/>
        <w:rPr>
          <w:sz w:val="20"/>
          <w:szCs w:val="20"/>
          <w:color w:val="auto"/>
        </w:rPr>
      </w:pPr>
    </w:p>
    <w:p>
      <w:pPr>
        <w:ind w:right="80" w:firstLine="513"/>
        <w:spacing w:after="0" w:line="300" w:lineRule="auto"/>
        <w:rPr>
          <w:sz w:val="20"/>
          <w:szCs w:val="20"/>
          <w:color w:val="auto"/>
        </w:rPr>
      </w:pPr>
      <w:r>
        <w:rPr>
          <w:rFonts w:ascii="Arial" w:cs="Arial" w:eastAsia="Arial" w:hAnsi="Arial"/>
          <w:sz w:val="15"/>
          <w:szCs w:val="15"/>
          <w:color w:val="auto"/>
        </w:rPr>
        <w:t>On July 13, 2006, the Ministry of Information Industry, or the MII, released the Notice on Strengthening the Administration of Foreign Investment in the Operation of Value-added Telecommunications Business, or the MII Notice, pursuant to which, for any foreign investor to invest in telecommunications businesses in China, a foreign-invested telecommunications enterprise must be established and such enterprise must apply for the relevant telecommunications business operation licenses. Furthermore, under the MII Notice, domestic telecommunications enterprises may not rent, transfer or sell a telecommunications business operation license to foreign investors in any form, and they may not provide any resources, premises, facilities and other assistance in any form to foreign investors for their illegal operation of any telecommunications business in China. In addition, under the MII Notice, the internet domain names and registered trademarks used by a value-added telecommunication service operator shall be legally owned by such operator or its shareholders.</w:t>
      </w:r>
    </w:p>
    <w:p>
      <w:pPr>
        <w:spacing w:after="0" w:line="156" w:lineRule="exact"/>
        <w:rPr>
          <w:sz w:val="20"/>
          <w:szCs w:val="20"/>
          <w:color w:val="auto"/>
        </w:rPr>
      </w:pPr>
    </w:p>
    <w:p>
      <w:pPr>
        <w:ind w:right="60" w:firstLine="513"/>
        <w:spacing w:after="0" w:line="297" w:lineRule="auto"/>
        <w:rPr>
          <w:sz w:val="20"/>
          <w:szCs w:val="20"/>
          <w:color w:val="auto"/>
        </w:rPr>
      </w:pPr>
      <w:r>
        <w:rPr>
          <w:rFonts w:ascii="Arial" w:cs="Arial" w:eastAsia="Arial" w:hAnsi="Arial"/>
          <w:sz w:val="15"/>
          <w:szCs w:val="15"/>
          <w:color w:val="auto"/>
        </w:rPr>
        <w:t>Furthermore, the Guidance Catalog of Industries for Foreign Investment, or the Foreign Investment Catalog, the latest version of which was promulgated jointly by MOFCOM and the National Development and Reform Commission, or the NDRC, on June 28, 2017 and became effective on July 28, 2017, classifies businesses into three categories with regard to foreign investment:(i) “encouraged,” (ii) “restricted,” and (iii) “prohibited.” The latter two categories are included in the negative list, which was first introduced into the Foreign Investment Catalog in 2017, and listed, in a unified manner, the restrictive measures for the entry of foreign investment. On June 28, 2018, MOFCOM and NDRC jointly promulgated the Special Administrative Measures (Negative List 2018) for Foreign Investment Access, or the Special Administrative Measures, which replaced the negative list attached to the Foreign Investment Catalog in 2017. On June 30, 2019, MOFCOM and NDRC jointly promulgated the Special Administrative Measures (Negative List 2019) for Foreign Investment Access, which replaced the negative list attached to the Foreign Investment Catalog in 2018. Industries that are not listed in the Foreign Investment Catalog or the Special Administrative Measures are permitted areas for foreign investments, and are generally open to foreign investment unless specifically restricted by other PRC regulations. Our business falls under value-added telecommunications services, which are listed under the Special Administrative Measures.</w:t>
      </w:r>
    </w:p>
    <w:p>
      <w:pPr>
        <w:spacing w:after="0" w:line="155" w:lineRule="exact"/>
        <w:rPr>
          <w:sz w:val="20"/>
          <w:szCs w:val="20"/>
          <w:color w:val="auto"/>
        </w:rPr>
      </w:pPr>
    </w:p>
    <w:p>
      <w:pPr>
        <w:ind w:firstLine="513"/>
        <w:spacing w:after="0" w:line="277" w:lineRule="auto"/>
        <w:rPr>
          <w:sz w:val="20"/>
          <w:szCs w:val="20"/>
          <w:color w:val="auto"/>
        </w:rPr>
      </w:pPr>
      <w:r>
        <w:rPr>
          <w:rFonts w:ascii="Arial" w:cs="Arial" w:eastAsia="Arial" w:hAnsi="Arial"/>
          <w:sz w:val="16"/>
          <w:szCs w:val="16"/>
          <w:color w:val="auto"/>
        </w:rPr>
        <w:t>In view of these restrictions on foreign direct investment in value-added telecommunications services and certain other types of businesses under which our business may fall, we have established domestic consolidated affiliated entities to engage in value- added telecommunications services. For a detailed discussion of our consolidated affiliated entities, see “Item 4. Information on the Company—C. Organizational Structure.” Due to the lack of interpretative guidance from the relevant PRC governmental authorities, there are uncertainties regarding whether PRC governmental authorities would consider our corporate structure and contractual arrangements to constitute foreign ownership of a value-added telecommunications business. In order to comply with PRC regulatory requirements, we operate a substantial portion of our business through our consolidated affiliated entities, which we have contractual relationships with but we do not have actual ownership interests in. If our current ownership structure is found to be in violation of current or future PRC laws, rules or regulations regarding the legality of foreign investment in value-added telecommunications services and other types of businesses on which foreign investment is restricted or prohibited, we could be subject to severe penalties.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Internet Content Providers</w:t>
      </w:r>
    </w:p>
    <w:p>
      <w:pPr>
        <w:spacing w:after="0" w:line="117" w:lineRule="exact"/>
        <w:rPr>
          <w:sz w:val="20"/>
          <w:szCs w:val="20"/>
          <w:color w:val="auto"/>
        </w:rPr>
      </w:pPr>
    </w:p>
    <w:p>
      <w:pPr>
        <w:ind w:right="160" w:firstLine="513"/>
        <w:spacing w:after="0" w:line="276" w:lineRule="auto"/>
        <w:rPr>
          <w:sz w:val="20"/>
          <w:szCs w:val="20"/>
          <w:color w:val="auto"/>
        </w:rPr>
      </w:pPr>
      <w:r>
        <w:rPr>
          <w:rFonts w:ascii="Arial" w:cs="Arial" w:eastAsia="Arial" w:hAnsi="Arial"/>
          <w:sz w:val="16"/>
          <w:szCs w:val="16"/>
          <w:color w:val="auto"/>
        </w:rPr>
        <w:t>The Administrative Measures on Internet Information Services, or the Internet Content Measures, which was promulgated by the State Council on September 25, 2000 and amended on January 8, 2011, set out guidelines on the provision of internet information services. The Internet Content Measures specifies that internet information services regarding news, publications, education, medical and health care, pharmacy and medical appliances, among other things, are required to be examined, approved and regulated by the relevant authorities.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such prohibition may face criminal charges or administrative sanctions. If any prohibited content is found, they must remove the content immediately, keep a record of such content and report to the relevant authorities. In accordance with Provisions on the Governance of Network Information Content Ecology promulgated by Cyberspace Administration of China on December 15, 2019, which became effective on March 15, 2020, the utilization of the personalized algorithm recommendation technology tanken in the internet content provision service shall be in compliance with all the requirements as stated above as well.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9" w:name="page60"/>
    <w:bookmarkEnd w:id="59"/>
    <w:p>
      <w:pPr>
        <w:ind w:right="100" w:firstLine="513"/>
        <w:spacing w:after="0" w:line="270" w:lineRule="auto"/>
        <w:rPr>
          <w:sz w:val="20"/>
          <w:szCs w:val="20"/>
          <w:color w:val="auto"/>
        </w:rPr>
      </w:pPr>
      <w:r>
        <w:rPr>
          <w:rFonts w:ascii="Arial" w:cs="Arial" w:eastAsia="Arial" w:hAnsi="Arial"/>
          <w:sz w:val="17"/>
          <w:szCs w:val="17"/>
          <w:color w:val="auto"/>
        </w:rPr>
        <w:t>The Internet Content Measures classifies internet information services into commercial internet information services and non- commercial internet information services. Commercial internet information services refer to services that provide information or services to internet users with charge. A provider of commercial internet information services must obtain the value-added telecommunications business operation license.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Privacy Protection</w:t>
      </w:r>
    </w:p>
    <w:p>
      <w:pPr>
        <w:spacing w:after="0" w:line="117" w:lineRule="exact"/>
        <w:rPr>
          <w:sz w:val="20"/>
          <w:szCs w:val="20"/>
          <w:color w:val="auto"/>
        </w:rPr>
      </w:pPr>
    </w:p>
    <w:p>
      <w:pPr>
        <w:ind w:right="40" w:firstLine="513"/>
        <w:spacing w:after="0" w:line="261"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82" w:lineRule="exact"/>
        <w:rPr>
          <w:sz w:val="20"/>
          <w:szCs w:val="20"/>
          <w:color w:val="auto"/>
        </w:rPr>
      </w:pPr>
    </w:p>
    <w:p>
      <w:pPr>
        <w:ind w:right="40" w:firstLine="513"/>
        <w:spacing w:after="0" w:line="260" w:lineRule="auto"/>
        <w:rPr>
          <w:sz w:val="20"/>
          <w:szCs w:val="20"/>
          <w:color w:val="auto"/>
        </w:rPr>
      </w:pPr>
      <w:r>
        <w:rPr>
          <w:rFonts w:ascii="Arial" w:cs="Arial" w:eastAsia="Arial" w:hAnsi="Arial"/>
          <w:sz w:val="17"/>
          <w:szCs w:val="17"/>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3" w:lineRule="exact"/>
        <w:rPr>
          <w:sz w:val="20"/>
          <w:szCs w:val="20"/>
          <w:color w:val="auto"/>
        </w:rPr>
      </w:pPr>
    </w:p>
    <w:p>
      <w:pPr>
        <w:ind w:right="300" w:firstLine="513"/>
        <w:spacing w:after="0" w:line="265" w:lineRule="auto"/>
        <w:rPr>
          <w:sz w:val="20"/>
          <w:szCs w:val="20"/>
          <w:color w:val="auto"/>
        </w:rPr>
      </w:pPr>
      <w:r>
        <w:rPr>
          <w:rFonts w:ascii="Arial" w:cs="Arial" w:eastAsia="Arial" w:hAnsi="Arial"/>
          <w:sz w:val="17"/>
          <w:szCs w:val="17"/>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77" w:lineRule="exact"/>
        <w:rPr>
          <w:sz w:val="20"/>
          <w:szCs w:val="20"/>
          <w:color w:val="auto"/>
        </w:rPr>
      </w:pPr>
    </w:p>
    <w:p>
      <w:pPr>
        <w:ind w:right="20" w:firstLine="513"/>
        <w:spacing w:after="0" w:line="259"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Information Security, Censorship and Privacy</w:t>
      </w:r>
    </w:p>
    <w:p>
      <w:pPr>
        <w:spacing w:after="0" w:line="117" w:lineRule="exact"/>
        <w:rPr>
          <w:sz w:val="20"/>
          <w:szCs w:val="20"/>
          <w:color w:val="auto"/>
        </w:rPr>
      </w:pPr>
    </w:p>
    <w:p>
      <w:pPr>
        <w:ind w:firstLine="513"/>
        <w:spacing w:after="0" w:line="275" w:lineRule="auto"/>
        <w:rPr>
          <w:sz w:val="20"/>
          <w:szCs w:val="20"/>
          <w:color w:val="auto"/>
        </w:rPr>
      </w:pPr>
      <w:r>
        <w:rPr>
          <w:rFonts w:ascii="Arial" w:cs="Arial" w:eastAsia="Arial" w:hAnsi="Arial"/>
          <w:sz w:val="16"/>
          <w:szCs w:val="16"/>
          <w:color w:val="auto"/>
        </w:rPr>
        <w:t>The Standing Committee of the National People’s Congress, China’s national legislative body, enacted the Decisions on the Maintenance of Internet Security on December 28, 2000 and amended them on August 27, 2009 that may subject persons to criminal liabilities in China for any attempt to use the internet to: (i) gain improper entry to a computer or system of strategic importance; (ii) disseminate politically disruptive information; (iii) leak state secrets; (iv) spread false commercial information or (v) infringe upon intellectual property rights. In 1997, the Ministry of Public Security issued the Administration Measures on the Security Protection of Computer Information Network with International Connections which was amended in 2011 and prohibits using the internet to leak state secrets or to spread socially destabilizing materials. If an ICP license holder violates these measures, the PRC government may revoke its ICP license and shut down its websites. Pursuant to the Ninth Amendment to the Criminal Law issued by the Standing Committee of the National People’s Congress on August 29, 2015, effective on November 1, 2015, any ICP provider that fails to fulfill the obligations related to internet information security as required by applicable laws and refuses to take corrective measures, will be subject to criminal liability for (i) any large-scale dissemination of illegal information; (ii) any severe effect due to the leakage of users’ personal information; (iii) any serious loss of evidence of criminal activities; or (iv) other severe situations, and any individual or entity that (i) sells or provides personal information to others unlawfully or (ii) steals or illegally obtains any personal information will be subject to criminal liability in severe situations.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60" w:name="page61"/>
    <w:bookmarkEnd w:id="60"/>
    <w:p>
      <w:pPr>
        <w:ind w:right="60" w:firstLine="513"/>
        <w:spacing w:after="0" w:line="276" w:lineRule="auto"/>
        <w:rPr>
          <w:sz w:val="20"/>
          <w:szCs w:val="20"/>
          <w:color w:val="auto"/>
        </w:rPr>
      </w:pPr>
      <w:r>
        <w:rPr>
          <w:rFonts w:ascii="Arial" w:cs="Arial" w:eastAsia="Arial" w:hAnsi="Arial"/>
          <w:sz w:val="16"/>
          <w:szCs w:val="16"/>
          <w:color w:val="auto"/>
        </w:rPr>
        <w:t>The Cybersecurity Law of the PRC, or the Cybersecurity Law, which was promulgated on November 7, 2016 by the Standing Committee of the National People’s Congress and came into effect on June 1, 2017, provides that network operators shall meet their cyber security obligations and shall take technical measures and other necessary measures to protect the safety and stability of their networks. Under the Cybersecurity Law, network operators are subject to various security protection-related obligations, including: (i) network operators shall comply with certain obligations regarding maintenance of the security of internet systems; (ii) network operators shall verify users’ identities before signing agreements or providing certain services such as information publishing or real- time communication services; (iii) when collecting or using personal information, network operators shall clearly indicate the purposes, methods and scope of the information collection, the use of information collection, and obtain the consent of those from whom the information is collected; (iv) network operators shall strictly preserve the privacy of user information they collect, and establish and maintain systems to protect user privacy; (v) 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Foreign-related Surveys Measures</w:t>
      </w:r>
    </w:p>
    <w:p>
      <w:pPr>
        <w:spacing w:after="0" w:line="117" w:lineRule="exact"/>
        <w:rPr>
          <w:sz w:val="20"/>
          <w:szCs w:val="20"/>
          <w:color w:val="auto"/>
        </w:rPr>
      </w:pPr>
    </w:p>
    <w:p>
      <w:pPr>
        <w:ind w:right="100" w:firstLine="513"/>
        <w:spacing w:after="0" w:line="276" w:lineRule="auto"/>
        <w:rPr>
          <w:sz w:val="20"/>
          <w:szCs w:val="20"/>
          <w:color w:val="auto"/>
        </w:rPr>
      </w:pPr>
      <w:r>
        <w:rPr>
          <w:rFonts w:ascii="Arial" w:cs="Arial" w:eastAsia="Arial" w:hAnsi="Arial"/>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(2017 version), only a domestic enterprise or a sino-foreign enterprise which meet the several requirements stipulated in the Foreign-related Surveys Measures can apply for license for the foreign- related survey. On June 30, 2019, MOFCOM and NDRC jointly promulgated the Special Administrative Measures (Negative List 2019) for Foreign Investment Access, which replaced the negative list attached to the Foreign Investment Catalog in 2018. Industries that are not listed in the Special Administrative Measures are permitted areas for foreign investments, and are generally open to foreign investment unless specifically restricted by other PRC regulations.</w:t>
      </w:r>
    </w:p>
    <w:p>
      <w:pPr>
        <w:spacing w:after="0" w:line="170" w:lineRule="exact"/>
        <w:rPr>
          <w:sz w:val="20"/>
          <w:szCs w:val="20"/>
          <w:color w:val="auto"/>
        </w:rPr>
      </w:pPr>
    </w:p>
    <w:p>
      <w:pPr>
        <w:ind w:right="40" w:firstLine="513"/>
        <w:spacing w:after="0" w:line="277" w:lineRule="auto"/>
        <w:rPr>
          <w:sz w:val="20"/>
          <w:szCs w:val="20"/>
          <w:color w:val="auto"/>
        </w:rPr>
      </w:pPr>
      <w:r>
        <w:rPr>
          <w:rFonts w:ascii="Arial" w:cs="Arial" w:eastAsia="Arial" w:hAnsi="Arial"/>
          <w:sz w:val="16"/>
          <w:szCs w:val="16"/>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Intellectual Property Rights</w:t>
      </w:r>
    </w:p>
    <w:p>
      <w:pPr>
        <w:spacing w:after="0" w:line="117" w:lineRule="exact"/>
        <w:rPr>
          <w:sz w:val="20"/>
          <w:szCs w:val="20"/>
          <w:color w:val="auto"/>
        </w:rPr>
      </w:pPr>
    </w:p>
    <w:p>
      <w:pPr>
        <w:ind w:firstLine="513"/>
        <w:spacing w:after="0" w:line="270" w:lineRule="auto"/>
        <w:rPr>
          <w:sz w:val="20"/>
          <w:szCs w:val="20"/>
          <w:color w:val="auto"/>
        </w:rPr>
      </w:pPr>
      <w:r>
        <w:rPr>
          <w:rFonts w:ascii="Arial" w:cs="Arial" w:eastAsia="Arial" w:hAnsi="Arial"/>
          <w:sz w:val="17"/>
          <w:szCs w:val="17"/>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Computer Software Copyright</w:t>
      </w:r>
    </w:p>
    <w:p>
      <w:pPr>
        <w:spacing w:after="0" w:line="117" w:lineRule="exact"/>
        <w:rPr>
          <w:sz w:val="20"/>
          <w:szCs w:val="20"/>
          <w:color w:val="auto"/>
        </w:rPr>
      </w:pPr>
    </w:p>
    <w:p>
      <w:pPr>
        <w:ind w:firstLine="513"/>
        <w:spacing w:after="0" w:line="270" w:lineRule="auto"/>
        <w:rPr>
          <w:sz w:val="20"/>
          <w:szCs w:val="20"/>
          <w:color w:val="auto"/>
        </w:rPr>
      </w:pPr>
      <w:r>
        <w:rPr>
          <w:rFonts w:ascii="Arial" w:cs="Arial" w:eastAsia="Arial" w:hAnsi="Arial"/>
          <w:sz w:val="17"/>
          <w:szCs w:val="17"/>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556" w:right="379" w:bottom="1440" w:gutter="0" w:footer="0" w:header="0"/>
        </w:sectPr>
      </w:pPr>
    </w:p>
    <w:bookmarkStart w:id="61" w:name="page62"/>
    <w:bookmarkEnd w:id="61"/>
    <w:p>
      <w:pPr>
        <w:spacing w:after="0"/>
        <w:rPr>
          <w:sz w:val="20"/>
          <w:szCs w:val="20"/>
          <w:color w:val="auto"/>
        </w:rPr>
      </w:pPr>
      <w:r>
        <w:rPr>
          <w:rFonts w:ascii="Arial" w:cs="Arial" w:eastAsia="Arial" w:hAnsi="Arial"/>
          <w:sz w:val="17"/>
          <w:szCs w:val="17"/>
          <w:i w:val="1"/>
          <w:iCs w:val="1"/>
          <w:color w:val="auto"/>
        </w:rPr>
        <w:t>Patent</w:t>
      </w:r>
    </w:p>
    <w:p>
      <w:pPr>
        <w:spacing w:after="0" w:line="117" w:lineRule="exact"/>
        <w:rPr>
          <w:sz w:val="20"/>
          <w:szCs w:val="20"/>
          <w:color w:val="auto"/>
        </w:rPr>
      </w:pPr>
    </w:p>
    <w:p>
      <w:pPr>
        <w:ind w:right="100" w:firstLine="513"/>
        <w:spacing w:after="0" w:line="263" w:lineRule="auto"/>
        <w:rPr>
          <w:sz w:val="20"/>
          <w:szCs w:val="20"/>
          <w:color w:val="auto"/>
        </w:rPr>
      </w:pPr>
      <w:r>
        <w:rPr>
          <w:rFonts w:ascii="Arial" w:cs="Arial" w:eastAsia="Arial" w:hAnsi="Arial"/>
          <w:sz w:val="17"/>
          <w:szCs w:val="17"/>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Trademark</w:t>
      </w:r>
    </w:p>
    <w:p>
      <w:pPr>
        <w:spacing w:after="0" w:line="117" w:lineRule="exact"/>
        <w:rPr>
          <w:sz w:val="20"/>
          <w:szCs w:val="20"/>
          <w:color w:val="auto"/>
        </w:rPr>
      </w:pPr>
    </w:p>
    <w:p>
      <w:pPr>
        <w:ind w:right="20" w:firstLine="513"/>
        <w:spacing w:after="0" w:line="283" w:lineRule="auto"/>
        <w:rPr>
          <w:sz w:val="20"/>
          <w:szCs w:val="20"/>
          <w:color w:val="auto"/>
        </w:rPr>
      </w:pPr>
      <w:r>
        <w:rPr>
          <w:rFonts w:ascii="Arial" w:cs="Arial" w:eastAsia="Arial" w:hAnsi="Arial"/>
          <w:sz w:val="16"/>
          <w:szCs w:val="16"/>
          <w:color w:val="auto"/>
        </w:rPr>
        <w:t>The PRC Trademark Law, promulgated in 1983 and most recently amended in 2019, which such amendments became effective on November 1, 2019,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Domain Name</w:t>
      </w:r>
    </w:p>
    <w:p>
      <w:pPr>
        <w:spacing w:after="0" w:line="117" w:lineRule="exact"/>
        <w:rPr>
          <w:sz w:val="20"/>
          <w:szCs w:val="20"/>
          <w:color w:val="auto"/>
        </w:rPr>
      </w:pPr>
    </w:p>
    <w:p>
      <w:pPr>
        <w:ind w:right="20" w:firstLine="513"/>
        <w:spacing w:after="0" w:line="300" w:lineRule="auto"/>
        <w:rPr>
          <w:sz w:val="20"/>
          <w:szCs w:val="20"/>
          <w:color w:val="auto"/>
        </w:rPr>
      </w:pPr>
      <w:r>
        <w:rPr>
          <w:rFonts w:ascii="Arial" w:cs="Arial" w:eastAsia="Arial" w:hAnsi="Arial"/>
          <w:sz w:val="15"/>
          <w:szCs w:val="15"/>
          <w:color w:val="auto"/>
        </w:rPr>
        <w:t>The Ministry of Industry and Information Technology promulgated the Measures on Administration of Internet Domain Names, or the Domain Name Measures, on August 24, 2017, which took effect on November 1, 2017 and replaced the Administrative Measures on China Internet Domain Name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 of such domain names upon the completion of the registration procedure.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Employment</w:t>
      </w:r>
    </w:p>
    <w:p>
      <w:pPr>
        <w:spacing w:after="0" w:line="117" w:lineRule="exact"/>
        <w:rPr>
          <w:sz w:val="20"/>
          <w:szCs w:val="20"/>
          <w:color w:val="auto"/>
        </w:rPr>
      </w:pPr>
    </w:p>
    <w:p>
      <w:pPr>
        <w:ind w:right="20" w:firstLine="513"/>
        <w:spacing w:after="0" w:line="260" w:lineRule="auto"/>
        <w:rPr>
          <w:sz w:val="20"/>
          <w:szCs w:val="20"/>
          <w:color w:val="auto"/>
        </w:rPr>
      </w:pPr>
      <w:r>
        <w:rPr>
          <w:rFonts w:ascii="Arial" w:cs="Arial" w:eastAsia="Arial" w:hAnsi="Arial"/>
          <w:sz w:val="17"/>
          <w:szCs w:val="17"/>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amended and became effective on December 29, 2018,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amended and became effective on December 29, 2018, or the Social Insurance Law, which was, and (iv) the Regulations on the Management of Housing Provident Fund, promulgated by the State Council on March 24, 2002 and amended and became effective on March 4, 2019.</w:t>
      </w:r>
    </w:p>
    <w:p>
      <w:pPr>
        <w:spacing w:after="0" w:line="183" w:lineRule="exact"/>
        <w:rPr>
          <w:sz w:val="20"/>
          <w:szCs w:val="20"/>
          <w:color w:val="auto"/>
        </w:rPr>
      </w:pPr>
    </w:p>
    <w:p>
      <w:pPr>
        <w:ind w:firstLine="513"/>
        <w:spacing w:after="0" w:line="261"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Taxation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PRC Enterprise Income Tax</w:t>
      </w:r>
    </w:p>
    <w:p>
      <w:pPr>
        <w:spacing w:after="0" w:line="117" w:lineRule="exact"/>
        <w:rPr>
          <w:sz w:val="20"/>
          <w:szCs w:val="20"/>
          <w:color w:val="auto"/>
        </w:rPr>
      </w:pPr>
    </w:p>
    <w:p>
      <w:pPr>
        <w:ind w:firstLine="513"/>
        <w:spacing w:after="0" w:line="281" w:lineRule="auto"/>
        <w:rPr>
          <w:sz w:val="20"/>
          <w:szCs w:val="20"/>
          <w:color w:val="auto"/>
        </w:rPr>
      </w:pPr>
      <w:r>
        <w:rPr>
          <w:rFonts w:ascii="Arial" w:cs="Arial" w:eastAsia="Arial" w:hAnsi="Arial"/>
          <w:sz w:val="16"/>
          <w:szCs w:val="16"/>
          <w:color w:val="auto"/>
        </w:rPr>
        <w:t>PRC enterprise income tax is calculated based on taxable income, which is determined under (i) the PRC Enterprise Income Tax Law, promulgated by the National People’s Congress of China and implemented on January 1, 2008, amended and became effective on December 29, 2018, or the EIT Law, and (ii) the implementation rules to the EIT Law promulgated by the State Council and implemented on January 1, 2008 and amended on April 23, 2019.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2" w:name="page63"/>
    <w:bookmarkEnd w:id="62"/>
    <w:p>
      <w:pPr>
        <w:ind w:right="20" w:firstLine="513"/>
        <w:spacing w:after="0" w:line="277"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70" w:lineRule="exact"/>
        <w:rPr>
          <w:sz w:val="20"/>
          <w:szCs w:val="20"/>
          <w:color w:val="auto"/>
        </w:rPr>
      </w:pPr>
    </w:p>
    <w:p>
      <w:pPr>
        <w:ind w:right="20" w:firstLine="513"/>
        <w:spacing w:after="0" w:line="260"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83" w:lineRule="exact"/>
        <w:rPr>
          <w:sz w:val="20"/>
          <w:szCs w:val="20"/>
          <w:color w:val="auto"/>
        </w:rPr>
      </w:pPr>
    </w:p>
    <w:p>
      <w:pPr>
        <w:ind w:right="80" w:firstLine="513"/>
        <w:spacing w:after="0" w:line="270" w:lineRule="auto"/>
        <w:rPr>
          <w:sz w:val="20"/>
          <w:szCs w:val="20"/>
          <w:color w:val="auto"/>
        </w:rPr>
      </w:pPr>
      <w:r>
        <w:rPr>
          <w:rFonts w:ascii="Arial" w:cs="Arial" w:eastAsia="Arial" w:hAnsi="Arial"/>
          <w:sz w:val="17"/>
          <w:szCs w:val="17"/>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for Share Transfers</w:t>
      </w:r>
    </w:p>
    <w:p>
      <w:pPr>
        <w:spacing w:after="0" w:line="117" w:lineRule="exact"/>
        <w:rPr>
          <w:sz w:val="20"/>
          <w:szCs w:val="20"/>
          <w:color w:val="auto"/>
        </w:rPr>
      </w:pPr>
    </w:p>
    <w:p>
      <w:pPr>
        <w:ind w:firstLine="513"/>
        <w:spacing w:after="0" w:line="275" w:lineRule="auto"/>
        <w:rPr>
          <w:sz w:val="20"/>
          <w:szCs w:val="20"/>
          <w:color w:val="auto"/>
        </w:rPr>
      </w:pPr>
      <w:r>
        <w:rPr>
          <w:rFonts w:ascii="Arial" w:cs="Arial" w:eastAsia="Arial" w:hAnsi="Arial"/>
          <w:sz w:val="16"/>
          <w:szCs w:val="16"/>
          <w:color w:val="auto"/>
        </w:rPr>
        <w:t>According to the Notice on Strengthening Administration of Enterprise Income Tax for Share Transfers by Non-Resident Enterprises, or Circular 698, promulgated by the SAT on December 10, 2009, which is replaced by the Circular on Issues of Tax Withholding regarding Non-PRC Resident Enterprise Income Tax, or Circular 37, promulgated by the SAT on October 17, 2017,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71" w:lineRule="exact"/>
        <w:rPr>
          <w:sz w:val="20"/>
          <w:szCs w:val="20"/>
          <w:color w:val="auto"/>
        </w:rPr>
      </w:pPr>
    </w:p>
    <w:p>
      <w:pPr>
        <w:ind w:right="100" w:firstLine="513"/>
        <w:spacing w:after="0" w:line="283" w:lineRule="auto"/>
        <w:rPr>
          <w:sz w:val="20"/>
          <w:szCs w:val="20"/>
          <w:color w:val="auto"/>
        </w:rPr>
      </w:pPr>
      <w:r>
        <w:rPr>
          <w:rFonts w:ascii="Arial" w:cs="Arial" w:eastAsia="Arial" w:hAnsi="Arial"/>
          <w:sz w:val="16"/>
          <w:szCs w:val="16"/>
          <w:color w:val="auto"/>
        </w:rPr>
        <w:t>There is uncertainty as to the application of Circular 37 and Circular 7. Circular 37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37 and Circular 7, and we may be required to expend valuable resources to comply with Circular 37 and Circular 7 or to establish that we should not be taxed under the general anti-avoidance rule of the EIT Law, which may have a material adverse effect on our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Value Added Tax</w:t>
      </w:r>
    </w:p>
    <w:p>
      <w:pPr>
        <w:spacing w:after="0" w:line="117" w:lineRule="exact"/>
        <w:rPr>
          <w:sz w:val="20"/>
          <w:szCs w:val="20"/>
          <w:color w:val="auto"/>
        </w:rPr>
      </w:pPr>
    </w:p>
    <w:p>
      <w:pPr>
        <w:ind w:right="60" w:firstLine="513"/>
        <w:spacing w:after="0" w:line="279"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63" w:name="page64"/>
    <w:bookmarkEnd w:id="63"/>
    <w:p>
      <w:pPr>
        <w:ind w:right="60"/>
        <w:spacing w:after="0" w:line="276" w:lineRule="auto"/>
        <w:rPr>
          <w:sz w:val="20"/>
          <w:szCs w:val="20"/>
          <w:color w:val="auto"/>
        </w:rPr>
      </w:pPr>
      <w:r>
        <w:rPr>
          <w:rFonts w:ascii="Arial" w:cs="Arial" w:eastAsia="Arial" w:hAnsi="Arial"/>
          <w:sz w:val="16"/>
          <w:szCs w:val="16"/>
          <w:color w:val="auto"/>
        </w:rPr>
        <w:t>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 On November 19, 2017, the State Council promulgated The Decisions on Abolishing the Provisional Regulations of the PRC on Business Tax and Amending the Provisional Regulations of the PRC on Value-added Tax, or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The Notice of the Ministry of Finance and the SAT on Adjusting Value-added Tax Rates, or the Notice, was promulgated on April 4, 2018 and came into effect on May 1, 2018. According to the Notice, the VAT tax rate of 17% and 11% are changed into 16% and 10%, respectively. On March 20, 2019, the Ministry of Finance, State Taxation Administration and General Administration of Customs jointly promulgated the Relevant Policies Notice on Deepening Reform of VAT Tax, or the Notice 39, effective on April 1, 2019, which lowers the VAT tax rate of 16% and 10% to 13% and 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 Withholding Tax</w:t>
      </w:r>
    </w:p>
    <w:p>
      <w:pPr>
        <w:spacing w:after="0" w:line="117" w:lineRule="exact"/>
        <w:rPr>
          <w:sz w:val="20"/>
          <w:szCs w:val="20"/>
          <w:color w:val="auto"/>
        </w:rPr>
      </w:pPr>
    </w:p>
    <w:p>
      <w:pPr>
        <w:ind w:right="120" w:firstLine="513"/>
        <w:spacing w:after="0" w:line="265" w:lineRule="auto"/>
        <w:rPr>
          <w:sz w:val="20"/>
          <w:szCs w:val="20"/>
          <w:color w:val="auto"/>
        </w:rPr>
      </w:pPr>
      <w:r>
        <w:rPr>
          <w:rFonts w:ascii="Arial" w:cs="Arial" w:eastAsia="Arial" w:hAnsi="Arial"/>
          <w:sz w:val="17"/>
          <w:szCs w:val="17"/>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77" w:lineRule="exact"/>
        <w:rPr>
          <w:sz w:val="20"/>
          <w:szCs w:val="20"/>
          <w:color w:val="auto"/>
        </w:rPr>
      </w:pPr>
    </w:p>
    <w:p>
      <w:pPr>
        <w:ind w:firstLine="513"/>
        <w:spacing w:after="0" w:line="295" w:lineRule="auto"/>
        <w:rPr>
          <w:sz w:val="20"/>
          <w:szCs w:val="20"/>
          <w:color w:val="auto"/>
        </w:rPr>
      </w:pPr>
      <w:r>
        <w:rPr>
          <w:rFonts w:ascii="Arial" w:cs="Arial" w:eastAsia="Arial" w:hAnsi="Arial"/>
          <w:sz w:val="15"/>
          <w:szCs w:val="15"/>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Announcement of the State Taxation Administration on Issuing the Administrative Measures for Entitlement to Treaty Benefits for Non-resident Taxpayers, or Non-Resident Tax Treatments Measures, which became effective in October 14, 2019, require that non-resident taxpayers collect, gather and retain relevant materials for future reference in accordance with the provisions of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62" w:lineRule="exact"/>
        <w:rPr>
          <w:sz w:val="20"/>
          <w:szCs w:val="20"/>
          <w:color w:val="auto"/>
        </w:rPr>
      </w:pPr>
    </w:p>
    <w:p>
      <w:pPr>
        <w:ind w:right="20" w:firstLine="513"/>
        <w:spacing w:after="0" w:line="270" w:lineRule="auto"/>
        <w:rPr>
          <w:sz w:val="20"/>
          <w:szCs w:val="20"/>
          <w:color w:val="auto"/>
        </w:rPr>
      </w:pPr>
      <w:r>
        <w:rPr>
          <w:rFonts w:ascii="Arial" w:cs="Arial" w:eastAsia="Arial" w:hAnsi="Arial"/>
          <w:sz w:val="17"/>
          <w:szCs w:val="17"/>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Foreign Exchange</w:t>
      </w:r>
    </w:p>
    <w:p>
      <w:pPr>
        <w:spacing w:after="0" w:line="117" w:lineRule="exact"/>
        <w:rPr>
          <w:sz w:val="20"/>
          <w:szCs w:val="20"/>
          <w:color w:val="auto"/>
        </w:rPr>
      </w:pPr>
    </w:p>
    <w:p>
      <w:pPr>
        <w:ind w:right="140" w:firstLine="513"/>
        <w:spacing w:after="0" w:line="287" w:lineRule="auto"/>
        <w:rPr>
          <w:sz w:val="20"/>
          <w:szCs w:val="20"/>
          <w:color w:val="auto"/>
        </w:rPr>
      </w:pPr>
      <w:r>
        <w:rPr>
          <w:rFonts w:ascii="Arial" w:cs="Arial" w:eastAsia="Arial" w:hAnsi="Arial"/>
          <w:sz w:val="16"/>
          <w:szCs w:val="16"/>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Settlement and Overseas Remittance of Foreign-Invested Enterprises</w:t>
      </w:r>
    </w:p>
    <w:p>
      <w:pPr>
        <w:spacing w:after="0" w:line="117" w:lineRule="exact"/>
        <w:rPr>
          <w:sz w:val="20"/>
          <w:szCs w:val="20"/>
          <w:color w:val="auto"/>
        </w:rPr>
      </w:pPr>
    </w:p>
    <w:p>
      <w:pPr>
        <w:ind w:firstLine="513"/>
        <w:spacing w:after="0" w:line="275"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64" w:name="page65"/>
    <w:bookmarkEnd w:id="64"/>
    <w:p>
      <w:pPr>
        <w:ind w:right="20" w:firstLine="513"/>
        <w:spacing w:after="0" w:line="283"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64" w:lineRule="exact"/>
        <w:rPr>
          <w:sz w:val="20"/>
          <w:szCs w:val="20"/>
          <w:color w:val="auto"/>
        </w:rPr>
      </w:pPr>
    </w:p>
    <w:p>
      <w:pPr>
        <w:ind w:firstLine="513"/>
        <w:spacing w:after="0" w:line="263" w:lineRule="auto"/>
        <w:rPr>
          <w:sz w:val="20"/>
          <w:szCs w:val="20"/>
          <w:color w:val="auto"/>
        </w:rPr>
      </w:pPr>
      <w:r>
        <w:rPr>
          <w:rFonts w:ascii="Arial" w:cs="Arial" w:eastAsia="Arial" w:hAnsi="Arial"/>
          <w:sz w:val="17"/>
          <w:szCs w:val="17"/>
          <w:color w:val="auto"/>
        </w:rPr>
        <w:t>On January 12, 2017, the People’s Bank of China promulgated the Circular on Management of Cross-border Financing. According to this circular, an enterprise shall file the cross-border financing contracts for the record 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Outbound Investment and Financing and Roundtrip Investment</w:t>
      </w:r>
    </w:p>
    <w:p>
      <w:pPr>
        <w:spacing w:after="0" w:line="117" w:lineRule="exact"/>
        <w:rPr>
          <w:sz w:val="20"/>
          <w:szCs w:val="20"/>
          <w:color w:val="auto"/>
        </w:rPr>
      </w:pPr>
    </w:p>
    <w:p>
      <w:pPr>
        <w:ind w:right="60" w:firstLine="513"/>
        <w:spacing w:after="0" w:line="263" w:lineRule="auto"/>
        <w:rPr>
          <w:sz w:val="20"/>
          <w:szCs w:val="20"/>
          <w:color w:val="auto"/>
        </w:rPr>
      </w:pPr>
      <w:r>
        <w:rPr>
          <w:rFonts w:ascii="Arial" w:cs="Arial" w:eastAsia="Arial" w:hAnsi="Arial"/>
          <w:sz w:val="17"/>
          <w:szCs w:val="17"/>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Incentive Plans</w:t>
      </w:r>
    </w:p>
    <w:p>
      <w:pPr>
        <w:spacing w:after="0" w:line="117" w:lineRule="exact"/>
        <w:rPr>
          <w:sz w:val="20"/>
          <w:szCs w:val="20"/>
          <w:color w:val="auto"/>
        </w:rPr>
      </w:pPr>
    </w:p>
    <w:p>
      <w:pPr>
        <w:ind w:right="120" w:firstLine="513"/>
        <w:spacing w:after="0" w:line="259" w:lineRule="auto"/>
        <w:rPr>
          <w:sz w:val="20"/>
          <w:szCs w:val="20"/>
          <w:color w:val="auto"/>
        </w:rPr>
      </w:pPr>
      <w:r>
        <w:rPr>
          <w:rFonts w:ascii="Arial" w:cs="Arial" w:eastAsia="Arial" w:hAnsi="Arial"/>
          <w:sz w:val="17"/>
          <w:szCs w:val="17"/>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Dividend Distribution</w:t>
      </w:r>
    </w:p>
    <w:p>
      <w:pPr>
        <w:spacing w:after="0" w:line="117" w:lineRule="exact"/>
        <w:rPr>
          <w:sz w:val="20"/>
          <w:szCs w:val="20"/>
          <w:color w:val="auto"/>
        </w:rPr>
      </w:pPr>
    </w:p>
    <w:p>
      <w:pPr>
        <w:ind w:right="260" w:firstLine="513"/>
        <w:spacing w:after="0" w:line="260"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October 26, 2018, and (ii) Foreign Investment Law of the People’s Republic of China, which was promulgated on March 15, 2019 and effective from January 1, 2020.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Foreign Investment</w:t>
      </w:r>
    </w:p>
    <w:p>
      <w:pPr>
        <w:spacing w:after="0" w:line="117" w:lineRule="exact"/>
        <w:rPr>
          <w:sz w:val="20"/>
          <w:szCs w:val="20"/>
          <w:color w:val="auto"/>
        </w:rPr>
      </w:pPr>
    </w:p>
    <w:p>
      <w:pPr>
        <w:ind w:right="120" w:firstLine="513"/>
        <w:spacing w:after="0" w:line="270" w:lineRule="auto"/>
        <w:rPr>
          <w:sz w:val="20"/>
          <w:szCs w:val="20"/>
          <w:color w:val="auto"/>
        </w:rPr>
      </w:pPr>
      <w:r>
        <w:rPr>
          <w:rFonts w:ascii="Arial" w:cs="Arial" w:eastAsia="Arial" w:hAnsi="Arial"/>
          <w:sz w:val="17"/>
          <w:szCs w:val="17"/>
          <w:color w:val="auto"/>
        </w:rPr>
        <w:t>According to the Negative List 2019,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73" w:lineRule="exact"/>
        <w:rPr>
          <w:sz w:val="20"/>
          <w:szCs w:val="20"/>
          <w:color w:val="auto"/>
        </w:rPr>
      </w:pPr>
    </w:p>
    <w:p>
      <w:pPr>
        <w:ind w:right="40" w:firstLine="513"/>
        <w:spacing w:after="0" w:line="286" w:lineRule="auto"/>
        <w:rPr>
          <w:sz w:val="20"/>
          <w:szCs w:val="20"/>
          <w:color w:val="auto"/>
        </w:rPr>
      </w:pPr>
      <w:r>
        <w:rPr>
          <w:rFonts w:ascii="Arial" w:cs="Arial" w:eastAsia="Arial" w:hAnsi="Arial"/>
          <w:sz w:val="17"/>
          <w:szCs w:val="17"/>
          <w:color w:val="auto"/>
        </w:rPr>
        <w:t>According to the Negative List 2019, market survey falls into the catalogue of restrictions, which means foreign investors can engage in businesses in this industry only through a sino-foreign enterprise, while social survey falls into the catalogue of prohibitions.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65" w:name="page66"/>
    <w:bookmarkEnd w:id="65"/>
    <w:p>
      <w:pPr>
        <w:ind w:right="80" w:firstLine="513"/>
        <w:spacing w:after="0" w:line="259" w:lineRule="auto"/>
        <w:rPr>
          <w:sz w:val="20"/>
          <w:szCs w:val="20"/>
          <w:color w:val="auto"/>
        </w:rPr>
      </w:pPr>
      <w:r>
        <w:rPr>
          <w:rFonts w:ascii="Arial" w:cs="Arial" w:eastAsia="Arial" w:hAnsi="Arial"/>
          <w:sz w:val="17"/>
          <w:szCs w:val="17"/>
          <w:color w:val="auto"/>
        </w:rPr>
        <w:t>On March 15, 2019, the National People’s Congress approved the Foreign Investment Law, which came into effect on January 1, 2020 on December 26, 2019, the State Council adopted Implementing Rules for the Foreign Investment Law of the People’s Republic of China which took effect from January 1, 2020, to interprete and implement the Foreign Investment Law. These rules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organization form and activities of foreign-invested enterprises shall be governed by the laws of the Company Law of the People’s Republic of China and the Partnership Enterprise Law of the People’s Republic of China. Foreign-invested enterprises established before the implementation of the Foreign Investment Law may retain the original business organization and so on within five years after the implementation of the Foreign Investment Law.</w:t>
      </w:r>
    </w:p>
    <w:p>
      <w:pPr>
        <w:spacing w:after="0" w:line="186" w:lineRule="exact"/>
        <w:rPr>
          <w:sz w:val="20"/>
          <w:szCs w:val="20"/>
          <w:color w:val="auto"/>
        </w:rPr>
      </w:pPr>
    </w:p>
    <w:p>
      <w:pPr>
        <w:ind w:right="60" w:firstLine="513"/>
        <w:spacing w:after="0" w:line="281" w:lineRule="auto"/>
        <w:rPr>
          <w:sz w:val="20"/>
          <w:szCs w:val="20"/>
          <w:color w:val="auto"/>
        </w:rPr>
      </w:pPr>
      <w:r>
        <w:rPr>
          <w:rFonts w:ascii="Arial" w:cs="Arial" w:eastAsia="Arial" w:hAnsi="Arial"/>
          <w:sz w:val="16"/>
          <w:szCs w:val="16"/>
          <w:color w:val="auto"/>
        </w:rPr>
        <w:t>The Foreign Investment Law is formulated to further expand opening-up, promote foreign investment and protect the legitimate rights and interests of foreign investors. 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shall not be less favorable than that of domestic investors and their investments. The negative list management system means that the state implements special administrative measures for access of foreign investment in specific fields. Foreign investors shall not invest in any forbidden fields stipulated in the negative list effective on June 2018 and shall meet the conditions stipulated in the negative list before investing in any restricted fields.</w:t>
      </w:r>
    </w:p>
    <w:p>
      <w:pPr>
        <w:spacing w:after="0" w:line="165" w:lineRule="exact"/>
        <w:rPr>
          <w:sz w:val="20"/>
          <w:szCs w:val="20"/>
          <w:color w:val="auto"/>
        </w:rPr>
      </w:pPr>
    </w:p>
    <w:p>
      <w:pPr>
        <w:ind w:right="180" w:firstLine="513"/>
        <w:spacing w:after="0" w:line="300" w:lineRule="auto"/>
        <w:rPr>
          <w:sz w:val="20"/>
          <w:szCs w:val="20"/>
          <w:color w:val="auto"/>
        </w:rPr>
      </w:pPr>
      <w:r>
        <w:rPr>
          <w:rFonts w:ascii="Arial" w:cs="Arial" w:eastAsia="Arial" w:hAnsi="Arial"/>
          <w:sz w:val="15"/>
          <w:szCs w:val="15"/>
          <w:color w:val="auto"/>
        </w:rPr>
        <w:t>The Foreign Investment Law does not mention the relevant concept and regulatory regime of VIE structures, since it is relatively new, uncertainties still exist in relation to its interpretation and implementation. 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56" w:lineRule="exact"/>
        <w:rPr>
          <w:sz w:val="20"/>
          <w:szCs w:val="20"/>
          <w:color w:val="auto"/>
        </w:rPr>
      </w:pPr>
    </w:p>
    <w:p>
      <w:pPr>
        <w:ind w:firstLine="513"/>
        <w:spacing w:after="0" w:line="277" w:lineRule="auto"/>
        <w:rPr>
          <w:sz w:val="20"/>
          <w:szCs w:val="20"/>
          <w:color w:val="auto"/>
        </w:rPr>
      </w:pPr>
      <w:r>
        <w:rPr>
          <w:rFonts w:ascii="Arial" w:cs="Arial" w:eastAsia="Arial" w:hAnsi="Arial"/>
          <w:sz w:val="16"/>
          <w:szCs w:val="16"/>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the VIE and shareholders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274" w:lineRule="exact"/>
        <w:rPr>
          <w:sz w:val="20"/>
          <w:szCs w:val="20"/>
          <w:color w:val="auto"/>
        </w:rPr>
      </w:pPr>
    </w:p>
    <w:p>
      <w:pPr>
        <w:ind w:left="560" w:hanging="556"/>
        <w:spacing w:after="0"/>
        <w:tabs>
          <w:tab w:leader="none" w:pos="56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Organizational Structure</w:t>
      </w:r>
    </w:p>
    <w:p>
      <w:pPr>
        <w:spacing w:after="0" w:line="117" w:lineRule="exact"/>
        <w:rPr>
          <w:sz w:val="20"/>
          <w:szCs w:val="20"/>
          <w:color w:val="auto"/>
        </w:rPr>
      </w:pPr>
    </w:p>
    <w:p>
      <w:pPr>
        <w:ind w:right="40" w:firstLine="513"/>
        <w:spacing w:after="0" w:line="286" w:lineRule="auto"/>
        <w:rPr>
          <w:sz w:val="20"/>
          <w:szCs w:val="20"/>
          <w:color w:val="auto"/>
        </w:rPr>
      </w:pPr>
      <w:r>
        <w:rPr>
          <w:rFonts w:ascii="Arial" w:cs="Arial" w:eastAsia="Arial" w:hAnsi="Arial"/>
          <w:sz w:val="17"/>
          <w:szCs w:val="17"/>
          <w:color w:val="auto"/>
        </w:rPr>
        <w:t>The following chart illustrates our company’s organizational structure, including our principal subsidiaries and consolidated affiliated entities as of March 31, 2020: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320040</wp:posOffset>
            </wp:positionV>
            <wp:extent cx="7195185" cy="5724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195185" cy="572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89535</wp:posOffset>
            </wp:positionV>
            <wp:extent cx="715391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jc w:val="both"/>
        <w:ind w:right="40" w:firstLine="4"/>
        <w:spacing w:after="0" w:line="319" w:lineRule="auto"/>
        <w:tabs>
          <w:tab w:leader="none" w:pos="80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nominee shareholders of OptAim Network are Ms. Jie Jiao and Mr. Jian Tang, who hold 51% and 49% equity interests in OptAim Network, respectively. Ms. Jie Jiao was our former chief financial officer, and Mr. Jian Tang is our co- founder, director and chief executive officer. As of the date of this annual report, Mr. Jian Tang and Ms. Jie Jiao are the nominee shareholders of OptAim Network, and we are arranging the transfer of Ms. Jie Jiao’s equity interest in OptAim Network to an affiliate of our company.</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conduct substantially all our operations through the following consolidated subsidiaries:</w:t>
      </w:r>
    </w:p>
    <w:p>
      <w:pPr>
        <w:spacing w:after="0" w:line="117" w:lineRule="exact"/>
        <w:rPr>
          <w:sz w:val="20"/>
          <w:szCs w:val="20"/>
          <w:color w:val="auto"/>
        </w:rPr>
      </w:pPr>
    </w:p>
    <w:p>
      <w:pPr>
        <w:ind w:left="1040" w:right="260" w:hanging="516"/>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iClick Interactive Asia Limited: primarily focusing on providing both mobile marketing solutions and other marketing solutions to Hong Kong and overseas clients</w:t>
      </w:r>
    </w:p>
    <w:p>
      <w:pPr>
        <w:spacing w:after="0" w:line="54" w:lineRule="exact"/>
        <w:rPr>
          <w:rFonts w:ascii="Arial" w:cs="Arial" w:eastAsia="Arial" w:hAnsi="Arial"/>
          <w:sz w:val="17"/>
          <w:szCs w:val="17"/>
          <w:color w:val="auto"/>
        </w:rPr>
      </w:pPr>
    </w:p>
    <w:p>
      <w:pPr>
        <w:ind w:left="1040" w:hanging="516"/>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Tetris Media Limited and Tetris Media (Shanghai) Co., Ltd.: primarily focusing on providing our other marketing solutions to agency clients and its business are gradually being transferred to iClick Interactive Asia Limited</w:t>
      </w:r>
    </w:p>
    <w:p>
      <w:pPr>
        <w:spacing w:after="0" w:line="54" w:lineRule="exact"/>
        <w:rPr>
          <w:rFonts w:ascii="Arial" w:cs="Arial" w:eastAsia="Arial" w:hAnsi="Arial"/>
          <w:sz w:val="17"/>
          <w:szCs w:val="17"/>
          <w:color w:val="auto"/>
        </w:rPr>
      </w:pPr>
    </w:p>
    <w:p>
      <w:pPr>
        <w:ind w:left="1040" w:right="320" w:hanging="516"/>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Performance Media Group Limited: primarily focusing on providing mobile marketing solutions and other marketing solutions to Hong Kong clients</w:t>
      </w:r>
    </w:p>
    <w:p>
      <w:pPr>
        <w:spacing w:after="0" w:line="54" w:lineRule="exact"/>
        <w:rPr>
          <w:rFonts w:ascii="Arial" w:cs="Arial" w:eastAsia="Arial" w:hAnsi="Arial"/>
          <w:sz w:val="17"/>
          <w:szCs w:val="17"/>
          <w:color w:val="auto"/>
        </w:rPr>
      </w:pPr>
    </w:p>
    <w:p>
      <w:pPr>
        <w:ind w:left="1040" w:hanging="516"/>
        <w:spacing w:after="0"/>
        <w:tabs>
          <w:tab w:leader="none" w:pos="10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China Search (Asia) Limited and its subsidiary: promoting content distribution opportunities for the publisher under our sales agency arrangement</w:t>
      </w:r>
    </w:p>
    <w:p>
      <w:pPr>
        <w:spacing w:after="0" w:line="139" w:lineRule="exact"/>
        <w:rPr>
          <w:rFonts w:ascii="Arial" w:cs="Arial" w:eastAsia="Arial" w:hAnsi="Arial"/>
          <w:sz w:val="15"/>
          <w:szCs w:val="15"/>
          <w:color w:val="auto"/>
        </w:rPr>
      </w:pPr>
    </w:p>
    <w:p>
      <w:pPr>
        <w:ind w:left="1040" w:right="620" w:hanging="516"/>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iClick Interactive (Singapore) Pte. Ltd: primarily focusing on providing both mobile marketing solutions and other marketing solutions to Singapore and other overseas clients</w:t>
      </w:r>
    </w:p>
    <w:p>
      <w:pPr>
        <w:spacing w:after="0" w:line="54" w:lineRule="exact"/>
        <w:rPr>
          <w:rFonts w:ascii="Arial" w:cs="Arial" w:eastAsia="Arial" w:hAnsi="Arial"/>
          <w:sz w:val="17"/>
          <w:szCs w:val="17"/>
          <w:color w:val="auto"/>
        </w:rPr>
      </w:pPr>
    </w:p>
    <w:p>
      <w:pPr>
        <w:ind w:left="1040" w:right="20" w:hanging="516"/>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iClick Data Technology (Beijing) Limited (previously named iClick Interactive (Beijing) Advertisement Co., Ltd.): primarily focusing on providing our other marketing solutions to PRC clients</w:t>
      </w:r>
    </w:p>
    <w:p>
      <w:pPr>
        <w:spacing w:after="0" w:line="54" w:lineRule="exact"/>
        <w:rPr>
          <w:rFonts w:ascii="Arial" w:cs="Arial" w:eastAsia="Arial" w:hAnsi="Arial"/>
          <w:sz w:val="17"/>
          <w:szCs w:val="17"/>
          <w:color w:val="auto"/>
        </w:rPr>
      </w:pPr>
    </w:p>
    <w:p>
      <w:pPr>
        <w:ind w:left="1040" w:hanging="516"/>
        <w:spacing w:after="0"/>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Anhui Zhiyunzhong Information Technology Co., Ltd.: primarily focusing on providing mobile marketing solutions to PRC clients</w:t>
      </w:r>
    </w:p>
    <w:p>
      <w:pPr>
        <w:spacing w:after="0" w:line="116" w:lineRule="exact"/>
        <w:rPr>
          <w:rFonts w:ascii="Arial" w:cs="Arial" w:eastAsia="Arial" w:hAnsi="Arial"/>
          <w:sz w:val="17"/>
          <w:szCs w:val="17"/>
          <w:color w:val="auto"/>
        </w:rPr>
      </w:pPr>
    </w:p>
    <w:p>
      <w:pPr>
        <w:ind w:left="1040" w:right="100" w:hanging="516"/>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OptAim (Beijing) Information Technology Co., Ltd.: primarily focusing on providing mobile marketing solutions to PRC clients through our VIE and the VIE’s subsidiary</w:t>
      </w:r>
    </w:p>
    <w:p>
      <w:pPr>
        <w:spacing w:after="0" w:line="54" w:lineRule="exact"/>
        <w:rPr>
          <w:rFonts w:ascii="Arial" w:cs="Arial" w:eastAsia="Arial" w:hAnsi="Arial"/>
          <w:sz w:val="17"/>
          <w:szCs w:val="17"/>
          <w:color w:val="auto"/>
        </w:rPr>
      </w:pPr>
    </w:p>
    <w:p>
      <w:pPr>
        <w:ind w:left="1040" w:right="100" w:hanging="516"/>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Beijing OptAim Network Technology Co., Ltd. which is our VIE, and its subsidiary: primarily focusing on providing mobile marketing solutions to PRC clients</w:t>
      </w:r>
    </w:p>
    <w:p>
      <w:pPr>
        <w:spacing w:after="0" w:line="54" w:lineRule="exact"/>
        <w:rPr>
          <w:rFonts w:ascii="Arial" w:cs="Arial" w:eastAsia="Arial" w:hAnsi="Arial"/>
          <w:sz w:val="17"/>
          <w:szCs w:val="17"/>
          <w:color w:val="auto"/>
        </w:rPr>
      </w:pPr>
    </w:p>
    <w:p>
      <w:pPr>
        <w:ind w:left="1040" w:right="540" w:hanging="516"/>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Changyi (Shanghai) Information Technology Co., Ltd. and Xi'an Changzhan Information Technology Ltd.: primarily focusing on providing enterprise solutions</w:t>
      </w:r>
    </w:p>
    <w:p>
      <w:pPr>
        <w:spacing w:after="0" w:line="54" w:lineRule="exact"/>
        <w:rPr>
          <w:rFonts w:ascii="Arial" w:cs="Arial" w:eastAsia="Arial" w:hAnsi="Arial"/>
          <w:sz w:val="17"/>
          <w:szCs w:val="17"/>
          <w:color w:val="auto"/>
        </w:rPr>
      </w:pPr>
    </w:p>
    <w:p>
      <w:pPr>
        <w:ind w:left="1040" w:hanging="516"/>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Shanghai Myhayo Technology Co., Ltd. and Anhui Myhayo Technology Co., Ltd.: primarily focusing on providing mobile content distributions in</w:t>
      </w:r>
    </w:p>
    <w:p>
      <w:pPr>
        <w:spacing w:after="0" w:line="36"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7"/>
          <w:szCs w:val="17"/>
          <w:color w:val="auto"/>
        </w:rPr>
        <w:t>PRC</w:t>
      </w:r>
    </w:p>
    <w:p>
      <w:pPr>
        <w:spacing w:after="0" w:line="208" w:lineRule="exact"/>
        <w:rPr>
          <w:sz w:val="20"/>
          <w:szCs w:val="20"/>
          <w:color w:val="auto"/>
        </w:rPr>
      </w:pPr>
    </w:p>
    <w:p>
      <w:pPr>
        <w:ind w:right="60" w:firstLine="532"/>
        <w:spacing w:after="0" w:line="261" w:lineRule="auto"/>
        <w:rPr>
          <w:sz w:val="20"/>
          <w:szCs w:val="20"/>
          <w:color w:val="auto"/>
        </w:rPr>
      </w:pPr>
      <w:r>
        <w:rPr>
          <w:rFonts w:ascii="Arial" w:cs="Arial" w:eastAsia="Arial" w:hAnsi="Arial"/>
          <w:sz w:val="17"/>
          <w:szCs w:val="17"/>
          <w:color w:val="auto"/>
        </w:rPr>
        <w:t>After the abolishment of the foreign ownership restriction in advertising business, we had been transferring the advertising business previously operated by our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acquired the controlling investment in Shanghai Myhayo Technology Co., Ltd. and Anhui Myhayo Technology Co., Ltd. in November 2018 and March 2019 respectively, providing a content distribution channel and a mobile content aggregator of articles and short videos in the PRC, which presents customized feeds to users via its mobile application.</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Arrangements with OptAim Network</w:t>
      </w:r>
    </w:p>
    <w:p>
      <w:pPr>
        <w:spacing w:after="0" w:line="123" w:lineRule="exact"/>
        <w:rPr>
          <w:sz w:val="20"/>
          <w:szCs w:val="20"/>
          <w:color w:val="auto"/>
        </w:rPr>
      </w:pPr>
    </w:p>
    <w:p>
      <w:pPr>
        <w:ind w:right="60" w:firstLine="532"/>
        <w:spacing w:after="0" w:line="279" w:lineRule="auto"/>
        <w:rPr>
          <w:sz w:val="20"/>
          <w:szCs w:val="20"/>
          <w:color w:val="auto"/>
        </w:rPr>
      </w:pPr>
      <w:r>
        <w:rPr>
          <w:rFonts w:ascii="Arial" w:cs="Arial" w:eastAsia="Arial" w:hAnsi="Arial"/>
          <w:sz w:val="16"/>
          <w:szCs w:val="16"/>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8" w:name="page69"/>
    <w:bookmarkEnd w:id="68"/>
    <w:p>
      <w:pPr>
        <w:ind w:firstLine="532"/>
        <w:spacing w:after="0" w:line="274"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 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 See “Item 3. Key Information—D. Risk Factors—Risk Related to Our Corporate Structure—We rely on the contractual arrangements that establish the structure for certain of our operations in China and we will need to rely on the contractual arrangements when and to the extent our operations are deemed as foreign-related survey.”</w:t>
      </w:r>
    </w:p>
    <w:p>
      <w:pPr>
        <w:spacing w:after="0" w:line="178" w:lineRule="exact"/>
        <w:rPr>
          <w:sz w:val="20"/>
          <w:szCs w:val="20"/>
          <w:color w:val="auto"/>
        </w:rPr>
      </w:pPr>
    </w:p>
    <w:p>
      <w:pPr>
        <w:ind w:firstLine="532"/>
        <w:spacing w:after="0" w:line="277" w:lineRule="auto"/>
        <w:rPr>
          <w:sz w:val="20"/>
          <w:szCs w:val="20"/>
          <w:color w:val="auto"/>
        </w:rPr>
      </w:pPr>
      <w:r>
        <w:rPr>
          <w:rFonts w:ascii="Arial" w:cs="Arial" w:eastAsia="Arial" w:hAnsi="Arial"/>
          <w:sz w:val="16"/>
          <w:szCs w:val="16"/>
          <w:color w:val="auto"/>
        </w:rPr>
        <w:t>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“Regulations -Regulations on Value-added Telecommunication Services” and “—Regulations on Internet Content Providers.” It is unclear whether Myhayo’s business model would render it a commercial operator of value-added telecommunication services under the relevant PRC laws, in which case Myhayo would be required to hold a value-added telecommunication license. Pursuant to the Negative List 2019, jointly promulgated by the MOFCOM and NDRC on October 24, 2019, foreign investment in value- added telecommunication services is subject to certain restrictions. See “—Regulations—Regulations on Foreign Direct Investment in Value-Added Telecommunications Companies”. As a result, we made our controlling investment in Myhayo through OptAim Network, our VIE. In August 2019, Myhayo obtained the value-added telecommunication business operation license from the relevant local counterpart of MIIT.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contractual arrangements between OptAim Beijing, OptAim Network and the shareholders of OptAim Network allow us to:</w:t>
      </w:r>
    </w:p>
    <w:p>
      <w:pPr>
        <w:spacing w:after="0" w:line="117" w:lineRule="exact"/>
        <w:rPr>
          <w:sz w:val="20"/>
          <w:szCs w:val="20"/>
          <w:color w:val="auto"/>
        </w:rPr>
      </w:pPr>
    </w:p>
    <w:p>
      <w:pPr>
        <w:ind w:left="1040" w:hanging="516"/>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exercise effective control over OptAim Network and its subsidiaries;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receive substantially all of the economic benefits of OptAim Network and its subsidiaries; and</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have an exclusive option to purchase all or part of the equity interests and assets in OptAim Network.</w:t>
      </w:r>
    </w:p>
    <w:p>
      <w:pPr>
        <w:spacing w:after="0" w:line="221" w:lineRule="exact"/>
        <w:rPr>
          <w:sz w:val="20"/>
          <w:szCs w:val="20"/>
          <w:color w:val="auto"/>
        </w:rPr>
      </w:pPr>
    </w:p>
    <w:p>
      <w:pPr>
        <w:jc w:val="both"/>
        <w:ind w:right="240" w:firstLine="532"/>
        <w:spacing w:after="0" w:line="270" w:lineRule="auto"/>
        <w:rPr>
          <w:sz w:val="20"/>
          <w:szCs w:val="20"/>
          <w:color w:val="auto"/>
        </w:rPr>
      </w:pPr>
      <w:r>
        <w:rPr>
          <w:rFonts w:ascii="Arial" w:cs="Arial" w:eastAsia="Arial" w:hAnsi="Arial"/>
          <w:sz w:val="17"/>
          <w:szCs w:val="17"/>
          <w:color w:val="auto"/>
        </w:rPr>
        <w:t>As a result of these contractual arrangements, we have effective control over, and are the primary beneficiary of, OptAim Network and therefore treat OptAim Network and its subsidiaries as our consolidated affiliated entities under U.S. GAAP and have consolidated their financial results in our consolidated financial statements in accordance with U.S. GAAP.</w:t>
      </w:r>
    </w:p>
    <w:p>
      <w:pPr>
        <w:spacing w:after="0" w:line="173" w:lineRule="exact"/>
        <w:rPr>
          <w:sz w:val="20"/>
          <w:szCs w:val="20"/>
          <w:color w:val="auto"/>
        </w:rPr>
      </w:pPr>
    </w:p>
    <w:p>
      <w:pPr>
        <w:ind w:right="140" w:firstLine="532"/>
        <w:spacing w:after="0" w:line="286" w:lineRule="auto"/>
        <w:rPr>
          <w:sz w:val="20"/>
          <w:szCs w:val="20"/>
          <w:color w:val="auto"/>
        </w:rPr>
      </w:pPr>
      <w:r>
        <w:rPr>
          <w:rFonts w:ascii="Arial" w:cs="Arial" w:eastAsia="Arial" w:hAnsi="Arial"/>
          <w:sz w:val="17"/>
          <w:szCs w:val="17"/>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Agreements that Provide Us with Effective Control over OptAim Network Second Amended and Restated Equity Pledge Agreement</w:t>
      </w:r>
    </w:p>
    <w:p>
      <w:pPr>
        <w:spacing w:after="0" w:line="117" w:lineRule="exact"/>
        <w:rPr>
          <w:sz w:val="20"/>
          <w:szCs w:val="20"/>
          <w:color w:val="auto"/>
        </w:rPr>
      </w:pPr>
    </w:p>
    <w:p>
      <w:pPr>
        <w:ind w:right="20" w:firstLine="532"/>
        <w:spacing w:after="0" w:line="281"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180"/>
          </w:cols>
          <w:pgMar w:left="320" w:top="556" w:right="399" w:bottom="1440" w:gutter="0" w:footer="0" w:header="0"/>
        </w:sectPr>
      </w:pPr>
    </w:p>
    <w:bookmarkStart w:id="69" w:name="page70"/>
    <w:bookmarkEnd w:id="69"/>
    <w:p>
      <w:pPr>
        <w:ind w:right="80"/>
        <w:spacing w:after="0" w:line="260" w:lineRule="auto"/>
        <w:rPr>
          <w:sz w:val="20"/>
          <w:szCs w:val="20"/>
          <w:color w:val="auto"/>
        </w:rPr>
      </w:pPr>
      <w:r>
        <w:rPr>
          <w:rFonts w:ascii="Arial" w:cs="Arial" w:eastAsia="Arial" w:hAnsi="Arial"/>
          <w:sz w:val="17"/>
          <w:szCs w:val="17"/>
          <w:color w:val="auto"/>
        </w:rPr>
        <w:t>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Powers of Attorney</w:t>
      </w:r>
    </w:p>
    <w:p>
      <w:pPr>
        <w:spacing w:after="0" w:line="117" w:lineRule="exact"/>
        <w:rPr>
          <w:sz w:val="20"/>
          <w:szCs w:val="20"/>
          <w:color w:val="auto"/>
        </w:rPr>
      </w:pPr>
    </w:p>
    <w:p>
      <w:pPr>
        <w:ind w:firstLine="532"/>
        <w:spacing w:after="0" w:line="261" w:lineRule="auto"/>
        <w:rPr>
          <w:sz w:val="20"/>
          <w:szCs w:val="20"/>
          <w:color w:val="auto"/>
        </w:rPr>
      </w:pPr>
      <w:r>
        <w:rPr>
          <w:rFonts w:ascii="Arial" w:cs="Arial" w:eastAsia="Arial" w:hAnsi="Arial"/>
          <w:sz w:val="17"/>
          <w:szCs w:val="17"/>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Spousal Consent</w:t>
      </w:r>
    </w:p>
    <w:p>
      <w:pPr>
        <w:spacing w:after="0" w:line="117" w:lineRule="exact"/>
        <w:rPr>
          <w:sz w:val="20"/>
          <w:szCs w:val="20"/>
          <w:color w:val="auto"/>
        </w:rPr>
      </w:pPr>
    </w:p>
    <w:p>
      <w:pPr>
        <w:ind w:right="20" w:firstLine="532"/>
        <w:spacing w:after="0" w:line="281" w:lineRule="auto"/>
        <w:rPr>
          <w:sz w:val="20"/>
          <w:szCs w:val="20"/>
          <w:color w:val="auto"/>
        </w:rPr>
      </w:pPr>
      <w:r>
        <w:rPr>
          <w:rFonts w:ascii="Arial" w:cs="Arial" w:eastAsia="Arial" w:hAnsi="Arial"/>
          <w:sz w:val="16"/>
          <w:szCs w:val="16"/>
          <w:color w:val="auto"/>
        </w:rPr>
        <w:t>The spouse of Mr. Jian Tang signed a spousal consent letter on May 26, 2017. Mr. Jian Tang holds 49% equity interest in OptAim Network. Under the spousal consent letter, the signing spouse unconditionally and irrevocably agreed that she was aware of the disposal of OptAim Network shares held by Mr. Jian Tang in the following second amended and restated exclusive call option agreement, the abovementioned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 that Allows Us to Receive Economic Benefits from OptAim Network Exclusive Business Cooperation Agreement</w:t>
      </w:r>
    </w:p>
    <w:p>
      <w:pPr>
        <w:spacing w:after="0" w:line="117" w:lineRule="exact"/>
        <w:rPr>
          <w:sz w:val="20"/>
          <w:szCs w:val="20"/>
          <w:color w:val="auto"/>
        </w:rPr>
      </w:pPr>
    </w:p>
    <w:p>
      <w:pPr>
        <w:ind w:right="260" w:firstLine="532"/>
        <w:spacing w:after="0" w:line="259" w:lineRule="auto"/>
        <w:rPr>
          <w:sz w:val="20"/>
          <w:szCs w:val="20"/>
          <w:color w:val="auto"/>
        </w:rPr>
      </w:pPr>
      <w:r>
        <w:rPr>
          <w:rFonts w:ascii="Arial" w:cs="Arial" w:eastAsia="Arial" w:hAnsi="Arial"/>
          <w:sz w:val="17"/>
          <w:szCs w:val="17"/>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290"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b w:val="1"/>
          <w:bCs w:val="1"/>
          <w:i w:val="1"/>
          <w:iCs w:val="1"/>
          <w:color w:val="auto"/>
        </w:rPr>
        <w:t>Agreement that Provides Us with the Option to Purchase the Equity Interest in OptAim Network Second Amended and Restated Exclusive Call Option Agreement</w:t>
      </w:r>
    </w:p>
    <w:p>
      <w:pPr>
        <w:spacing w:after="0" w:line="54" w:lineRule="exact"/>
        <w:rPr>
          <w:sz w:val="20"/>
          <w:szCs w:val="20"/>
          <w:color w:val="auto"/>
        </w:rPr>
      </w:pPr>
    </w:p>
    <w:p>
      <w:pPr>
        <w:ind w:right="20" w:firstLine="532"/>
        <w:spacing w:after="0" w:line="276"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70" w:name="page71"/>
    <w:bookmarkEnd w:id="70"/>
    <w:p>
      <w:pPr>
        <w:spacing w:after="0" w:line="323" w:lineRule="auto"/>
        <w:rPr>
          <w:sz w:val="20"/>
          <w:szCs w:val="20"/>
          <w:color w:val="auto"/>
        </w:rPr>
      </w:pPr>
      <w:r>
        <w:rPr>
          <w:rFonts w:ascii="Arial" w:cs="Arial" w:eastAsia="Arial" w:hAnsi="Arial"/>
          <w:sz w:val="15"/>
          <w:szCs w:val="15"/>
          <w:color w:val="auto"/>
        </w:rPr>
        <w:t>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In the opinion of Jingtian &amp; Gongcheng, our PRC legal counsel:</w:t>
      </w:r>
    </w:p>
    <w:p>
      <w:pPr>
        <w:spacing w:after="0" w:line="117" w:lineRule="exact"/>
        <w:rPr>
          <w:sz w:val="20"/>
          <w:szCs w:val="20"/>
          <w:color w:val="auto"/>
        </w:rPr>
      </w:pPr>
    </w:p>
    <w:p>
      <w:pPr>
        <w:ind w:left="1040" w:right="200" w:hanging="516"/>
        <w:spacing w:after="0" w:line="286"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ownership structures of OptAim Beijing and OptAim Network do not contravene any applicable PRC laws or regulations currently in effect; and</w:t>
      </w:r>
    </w:p>
    <w:p>
      <w:pPr>
        <w:spacing w:after="0" w:line="54" w:lineRule="exact"/>
        <w:rPr>
          <w:rFonts w:ascii="Arial" w:cs="Arial" w:eastAsia="Arial" w:hAnsi="Arial"/>
          <w:sz w:val="17"/>
          <w:szCs w:val="17"/>
          <w:color w:val="auto"/>
        </w:rPr>
      </w:pPr>
    </w:p>
    <w:p>
      <w:pPr>
        <w:ind w:left="1040" w:hanging="516"/>
        <w:spacing w:after="0" w:line="286" w:lineRule="auto"/>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contractual arrangements among OptAim Beijing, OptAim Network, the shareholders of OptAim Network and Zhiyunzhong governed by PRC law are valid, binding and enforceable, and do not contravene any PRC laws or regulations currently in effect.</w:t>
      </w:r>
    </w:p>
    <w:p>
      <w:pPr>
        <w:spacing w:after="0" w:line="159" w:lineRule="exact"/>
        <w:rPr>
          <w:sz w:val="20"/>
          <w:szCs w:val="20"/>
          <w:color w:val="auto"/>
        </w:rPr>
      </w:pPr>
    </w:p>
    <w:p>
      <w:pPr>
        <w:ind w:right="60" w:firstLine="532"/>
        <w:spacing w:after="0" w:line="259"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“Item 3. Key Information—D. Risk Factors—Risks Related to Our Corporate Structure—We rely on the contractual arrangements that establish the structure for certain of our operations in China and we will need to rely on the contractual arrangements when and to the extent our operations are deemed as foreign-related survey,” and “—Substantial uncertainties exist with respect to the newly enacted PRC Foreign Investment Law and how it may impact the viability of our current corporate structure, corporate governance and business operations.”</w:t>
      </w:r>
    </w:p>
    <w:p>
      <w:pPr>
        <w:spacing w:after="0" w:line="287" w:lineRule="exact"/>
        <w:rPr>
          <w:sz w:val="20"/>
          <w:szCs w:val="20"/>
          <w:color w:val="auto"/>
        </w:rPr>
      </w:pPr>
    </w:p>
    <w:p>
      <w:pPr>
        <w:ind w:left="600" w:hanging="596"/>
        <w:spacing w:after="0"/>
        <w:tabs>
          <w:tab w:leader="none" w:pos="60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Property, Plant and Equipment</w:t>
      </w:r>
    </w:p>
    <w:p>
      <w:pPr>
        <w:spacing w:after="0" w:line="117" w:lineRule="exact"/>
        <w:rPr>
          <w:sz w:val="20"/>
          <w:szCs w:val="20"/>
          <w:color w:val="auto"/>
        </w:rPr>
      </w:pPr>
    </w:p>
    <w:p>
      <w:pPr>
        <w:ind w:right="100" w:firstLine="532"/>
        <w:spacing w:after="0" w:line="311" w:lineRule="auto"/>
        <w:rPr>
          <w:sz w:val="20"/>
          <w:szCs w:val="20"/>
          <w:color w:val="auto"/>
        </w:rPr>
      </w:pPr>
      <w:r>
        <w:rPr>
          <w:rFonts w:ascii="Arial" w:cs="Arial" w:eastAsia="Arial" w:hAnsi="Arial"/>
          <w:sz w:val="15"/>
          <w:szCs w:val="15"/>
          <w:color w:val="auto"/>
        </w:rPr>
        <w:t>Our headquarters and principal executive office are located in Hong Kong, in an approximately 830 square-meter facility, under certain lease agreements expiring on December 31, 2021. As of December 31, 2019, we leased approximately 5,400 square-meter office space in China located in Beijing, Shanghai, Shenzhen, Anhui and Guangzhou, which primarily carry out the functions of technology and data engineering, sales and business development and operation support. Outside of China and Hong Kong, we also have subsidiaries or sales offices in Singapore, Taiwan, Korea, Thailand and London.</w:t>
      </w:r>
    </w:p>
    <w:p>
      <w:pPr>
        <w:spacing w:after="0" w:line="147" w:lineRule="exact"/>
        <w:rPr>
          <w:sz w:val="20"/>
          <w:szCs w:val="20"/>
          <w:color w:val="auto"/>
        </w:rPr>
      </w:pPr>
    </w:p>
    <w:p>
      <w:pPr>
        <w:jc w:val="both"/>
        <w:ind w:right="120" w:firstLine="532"/>
        <w:spacing w:after="0" w:line="270" w:lineRule="auto"/>
        <w:rPr>
          <w:sz w:val="20"/>
          <w:szCs w:val="20"/>
          <w:color w:val="auto"/>
        </w:rPr>
      </w:pPr>
      <w:r>
        <w:rPr>
          <w:rFonts w:ascii="Arial" w:cs="Arial" w:eastAsia="Arial" w:hAnsi="Arial"/>
          <w:sz w:val="17"/>
          <w:szCs w:val="17"/>
          <w:color w:val="auto"/>
        </w:rPr>
        <w:t>We lease all of our facilities and do not own any real property. Our leases will expire from 2020 to 2021, and we have renewed leases that expired on or before the date of this annual report. We believe that our current facilities are suitable and adequate to meet our current needs. If we require additional space, we expect to be able to obtain additional facilities on commercially reasonable terms.</w:t>
      </w:r>
    </w:p>
    <w:p>
      <w:pPr>
        <w:sectPr>
          <w:pgSz w:w="11900" w:h="16838" w:orient="portrait"/>
          <w:cols w:equalWidth="0" w:num="1">
            <w:col w:w="11240"/>
          </w:cols>
          <w:pgMar w:left="320" w:top="452" w:right="3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UNRESOLVED STAFF COMMENTS</w:t>
      </w:r>
    </w:p>
    <w:p>
      <w:pPr>
        <w:spacing w:after="0" w:line="123" w:lineRule="exact"/>
        <w:rPr>
          <w:sz w:val="20"/>
          <w:szCs w:val="20"/>
          <w:color w:val="auto"/>
        </w:rPr>
      </w:pPr>
    </w:p>
    <w:p>
      <w:pPr>
        <w:sectPr>
          <w:pgSz w:w="11900" w:h="16838" w:orient="portrait"/>
          <w:cols w:equalWidth="0" w:num="2">
            <w:col w:w="1420" w:space="720"/>
            <w:col w:w="9100"/>
          </w:cols>
          <w:pgMar w:left="320" w:top="452" w:right="33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452" w:right="339" w:bottom="1440" w:gutter="0" w:footer="0" w:header="0"/>
          <w:type w:val="continuous"/>
        </w:sect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AND FINANCIAL REVIEW AND PROSPECTS</w:t>
      </w:r>
    </w:p>
    <w:p>
      <w:pPr>
        <w:spacing w:after="0" w:line="123" w:lineRule="exact"/>
        <w:rPr>
          <w:sz w:val="20"/>
          <w:szCs w:val="20"/>
          <w:color w:val="auto"/>
        </w:rPr>
      </w:pPr>
    </w:p>
    <w:p>
      <w:pPr>
        <w:sectPr>
          <w:pgSz w:w="11900" w:h="16838" w:orient="portrait"/>
          <w:cols w:equalWidth="0" w:num="2">
            <w:col w:w="1280" w:space="720"/>
            <w:col w:w="9240"/>
          </w:cols>
          <w:pgMar w:left="320" w:top="452" w:right="339" w:bottom="1440" w:gutter="0" w:footer="0" w:header="0"/>
          <w:type w:val="continuous"/>
        </w:sectPr>
      </w:pPr>
    </w:p>
    <w:p>
      <w:pPr>
        <w:ind w:left="600" w:hanging="596"/>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Operating Results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Key Factors Affecting Our Results of Operations</w:t>
      </w:r>
    </w:p>
    <w:p>
      <w:pPr>
        <w:spacing w:after="0" w:line="12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We believe the key factors affecting our financial condition and results of operations include the following:</w:t>
      </w:r>
    </w:p>
    <w:p>
      <w:pPr>
        <w:spacing w:after="0" w:line="117" w:lineRule="exact"/>
        <w:rPr>
          <w:sz w:val="20"/>
          <w:szCs w:val="20"/>
          <w:color w:val="auto"/>
        </w:rPr>
      </w:pPr>
    </w:p>
    <w:p>
      <w:pPr>
        <w:ind w:left="1300" w:hanging="515"/>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expand mobile app channels;</w:t>
      </w:r>
    </w:p>
    <w:p>
      <w:pPr>
        <w:spacing w:after="0" w:line="116" w:lineRule="exact"/>
        <w:rPr>
          <w:rFonts w:ascii="Arial" w:cs="Arial" w:eastAsia="Arial" w:hAnsi="Arial"/>
          <w:sz w:val="17"/>
          <w:szCs w:val="17"/>
          <w:color w:val="auto"/>
        </w:rPr>
      </w:pPr>
    </w:p>
    <w:p>
      <w:pPr>
        <w:ind w:left="1300" w:hanging="515"/>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expand enterprise solutions;</w:t>
      </w:r>
    </w:p>
    <w:p>
      <w:pPr>
        <w:spacing w:after="0" w:line="116" w:lineRule="exact"/>
        <w:rPr>
          <w:rFonts w:ascii="Arial" w:cs="Arial" w:eastAsia="Arial" w:hAnsi="Arial"/>
          <w:sz w:val="17"/>
          <w:szCs w:val="17"/>
          <w:color w:val="auto"/>
        </w:rPr>
      </w:pPr>
    </w:p>
    <w:p>
      <w:pPr>
        <w:ind w:left="1300" w:hanging="515"/>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revenue models;</w:t>
      </w:r>
    </w:p>
    <w:p>
      <w:pPr>
        <w:spacing w:after="0" w:line="116" w:lineRule="exact"/>
        <w:rPr>
          <w:rFonts w:ascii="Arial" w:cs="Arial" w:eastAsia="Arial" w:hAnsi="Arial"/>
          <w:sz w:val="17"/>
          <w:szCs w:val="17"/>
          <w:color w:val="auto"/>
        </w:rPr>
      </w:pPr>
    </w:p>
    <w:p>
      <w:pPr>
        <w:ind w:left="1300" w:hanging="515"/>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optimize client base and increase client spending;</w:t>
      </w:r>
    </w:p>
    <w:p>
      <w:pPr>
        <w:spacing w:after="0" w:line="116" w:lineRule="exact"/>
        <w:rPr>
          <w:rFonts w:ascii="Arial" w:cs="Arial" w:eastAsia="Arial" w:hAnsi="Arial"/>
          <w:sz w:val="17"/>
          <w:szCs w:val="17"/>
          <w:color w:val="auto"/>
        </w:rPr>
      </w:pPr>
    </w:p>
    <w:p>
      <w:pPr>
        <w:ind w:left="1300" w:hanging="515"/>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enlarge audience data set, strengthen data analytics capabilities and innovate technologies; and</w:t>
      </w:r>
    </w:p>
    <w:p>
      <w:pPr>
        <w:spacing w:after="0" w:line="116" w:lineRule="exact"/>
        <w:rPr>
          <w:rFonts w:ascii="Arial" w:cs="Arial" w:eastAsia="Arial" w:hAnsi="Arial"/>
          <w:sz w:val="17"/>
          <w:szCs w:val="17"/>
          <w:color w:val="auto"/>
        </w:rPr>
      </w:pPr>
    </w:p>
    <w:p>
      <w:pPr>
        <w:ind w:left="1300" w:hanging="515"/>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Expand Mobile App Channels</w:t>
      </w:r>
    </w:p>
    <w:p>
      <w:pPr>
        <w:spacing w:after="0" w:line="117" w:lineRule="exact"/>
        <w:rPr>
          <w:sz w:val="20"/>
          <w:szCs w:val="20"/>
          <w:color w:val="auto"/>
        </w:rPr>
      </w:pPr>
    </w:p>
    <w:p>
      <w:pPr>
        <w:jc w:val="both"/>
        <w:ind w:right="140" w:firstLine="782"/>
        <w:spacing w:after="0" w:line="295" w:lineRule="auto"/>
        <w:rPr>
          <w:sz w:val="20"/>
          <w:szCs w:val="20"/>
          <w:color w:val="auto"/>
        </w:rPr>
      </w:pPr>
      <w:r>
        <w:rPr>
          <w:rFonts w:ascii="Arial" w:cs="Arial" w:eastAsia="Arial" w:hAnsi="Arial"/>
          <w:sz w:val="16"/>
          <w:szCs w:val="16"/>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54" w:lineRule="exact"/>
        <w:rPr>
          <w:sz w:val="20"/>
          <w:szCs w:val="20"/>
          <w:color w:val="auto"/>
        </w:rPr>
      </w:pPr>
    </w:p>
    <w:p>
      <w:pPr>
        <w:ind w:right="20" w:firstLine="782"/>
        <w:spacing w:after="0" w:line="295" w:lineRule="auto"/>
        <w:rPr>
          <w:sz w:val="20"/>
          <w:szCs w:val="20"/>
          <w:color w:val="auto"/>
        </w:rPr>
      </w:pPr>
      <w:r>
        <w:rPr>
          <w:rFonts w:ascii="Arial" w:cs="Arial" w:eastAsia="Arial" w:hAnsi="Arial"/>
          <w:sz w:val="15"/>
          <w:szCs w:val="15"/>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marketing solutions, which have resulted in a downward pricing pressure on our mobile marketing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marketing solutions. Furthermore, consistent with the general industry trends for online marketing on mobile channels and on non-mobile channels, a higher percentage of marketing campaigns involving our mobile marketing solutions were conducted on a specified action (i.e., gross) basis while a higher percentage of marketing campaigns involving our other marketing solutions were conducted on a cost-plus (i.e., net) basis in 2019 compared to 2018. See “—Key Components of Results of Operations—Net Revenues” and “—Key Factors Affecting Our Results of Operations—Our revenue models.” Therefore, gross profit margins for our mobile marketing solutions were significantly lower than those for our other marketing solutions for the same periods historically, and we expect the trend to continue. As a result, an increase in the percentage of revenue from our mobile marketing solutions may have a positive impact on our gross billing and net revenues but a negative impact on our gross profit margin.</w:t>
      </w:r>
    </w:p>
    <w:p>
      <w:pPr>
        <w:spacing w:after="0" w:line="162" w:lineRule="exact"/>
        <w:rPr>
          <w:sz w:val="20"/>
          <w:szCs w:val="20"/>
          <w:color w:val="auto"/>
        </w:rPr>
      </w:pPr>
    </w:p>
    <w:p>
      <w:pPr>
        <w:ind w:right="160" w:firstLine="782"/>
        <w:spacing w:after="0" w:line="265" w:lineRule="auto"/>
        <w:rPr>
          <w:sz w:val="20"/>
          <w:szCs w:val="20"/>
          <w:color w:val="auto"/>
        </w:rPr>
      </w:pPr>
      <w:r>
        <w:rPr>
          <w:rFonts w:ascii="Arial" w:cs="Arial" w:eastAsia="Arial" w:hAnsi="Arial"/>
          <w:sz w:val="17"/>
          <w:szCs w:val="17"/>
          <w:color w:val="auto"/>
        </w:rPr>
        <w:t>Furthermore, as we continue to focus on the growth of our mobile marketing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27.7%, 28.1% and 33.9% of our clients in 2017, 2018 and 2019, respectively.</w:t>
      </w:r>
    </w:p>
    <w:p>
      <w:pPr>
        <w:spacing w:after="0" w:line="177" w:lineRule="exact"/>
        <w:rPr>
          <w:sz w:val="20"/>
          <w:szCs w:val="20"/>
          <w:color w:val="auto"/>
        </w:rPr>
      </w:pPr>
    </w:p>
    <w:p>
      <w:pPr>
        <w:ind w:firstLine="782"/>
        <w:spacing w:after="0" w:line="277" w:lineRule="auto"/>
        <w:rPr>
          <w:sz w:val="20"/>
          <w:szCs w:val="20"/>
          <w:color w:val="auto"/>
        </w:rPr>
      </w:pPr>
      <w:r>
        <w:rPr>
          <w:rFonts w:ascii="Arial" w:cs="Arial" w:eastAsia="Arial" w:hAnsi="Arial"/>
          <w:sz w:val="16"/>
          <w:szCs w:val="16"/>
          <w:color w:val="auto"/>
        </w:rPr>
        <w:t>We primarily rely on third-party content distribution channels to access content distribution opportunities. To further expand our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 In addition, in November 2018, we made a controlling investment in Myhayo, a content distribution channel and a mobile content aggregator of articles and short videos in the PRC, which presents customized feeds to users via its mobile application. In February 2020, we agreed to make a controlling investment in Optimal Power Limited, a wholly owned subsidiary of Creative Big Limited. As of the date of this annual report, we are still in the process of negotiating and finalizing the terms of a definitive agreement for this investment, and we expect to complete the investment in the second quarter of 2020. As part of the transaction, Creative Big Limited will inject certain premium media licensing assets into Optimal Power Limited covering a number of jurisdictions in Asia-Pacific.</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Our Ability to Expand Enterprise Solutions</w:t>
      </w:r>
    </w:p>
    <w:p>
      <w:pPr>
        <w:spacing w:after="0" w:line="117" w:lineRule="exact"/>
        <w:rPr>
          <w:sz w:val="20"/>
          <w:szCs w:val="20"/>
          <w:color w:val="auto"/>
        </w:rPr>
      </w:pPr>
    </w:p>
    <w:p>
      <w:pPr>
        <w:ind w:right="60" w:firstLine="782"/>
        <w:spacing w:after="0" w:line="260" w:lineRule="auto"/>
        <w:rPr>
          <w:sz w:val="20"/>
          <w:szCs w:val="20"/>
          <w:color w:val="auto"/>
        </w:rPr>
      </w:pPr>
      <w:r>
        <w:rPr>
          <w:rFonts w:ascii="Arial" w:cs="Arial" w:eastAsia="Arial" w:hAnsi="Arial"/>
          <w:sz w:val="17"/>
          <w:szCs w:val="17"/>
          <w:color w:val="auto"/>
        </w:rPr>
        <w:t>Our future growth also depends on our ability to expand our enterprise solutions. The markets for certain of our offerings remain relatively new and it is uncertain whether our efforts, and related investments, will ever result in significant profits for us. Also, if we are unable to develop enhancements to and new features for our existing services that keep pace with rapid technological developments, our business could be impacted. The success of our development, and implementation of new features and services depends on several factors, including the timely completion, introduction and market acceptance of the feature, service or enhancement by customers, administrators and developers, as well as our ability to integrate all of our service offerings and develop adequate selling capabilities in this new market. Failure in this regard may significantly impair our revenue growth as well as negatively impact our operating results if additional costs are not offset by additional revenues.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Models</w:t>
      </w:r>
    </w:p>
    <w:p>
      <w:pPr>
        <w:spacing w:after="0" w:line="117" w:lineRule="exact"/>
        <w:rPr>
          <w:sz w:val="20"/>
          <w:szCs w:val="20"/>
          <w:color w:val="auto"/>
        </w:rPr>
      </w:pPr>
    </w:p>
    <w:p>
      <w:pPr>
        <w:ind w:right="100" w:firstLine="782"/>
        <w:spacing w:after="0" w:line="261" w:lineRule="auto"/>
        <w:rPr>
          <w:sz w:val="20"/>
          <w:szCs w:val="20"/>
          <w:color w:val="auto"/>
        </w:rPr>
      </w:pPr>
      <w:r>
        <w:rPr>
          <w:rFonts w:ascii="Arial" w:cs="Arial" w:eastAsia="Arial" w:hAnsi="Arial"/>
          <w:sz w:val="17"/>
          <w:szCs w:val="17"/>
          <w:color w:val="auto"/>
        </w:rPr>
        <w:t>We derive revenue for our marketing solutions business primarily from four sources and report them on either the net or gross basis: (i) revenue from incentives earned from the website publishers, for which we act as a sales agent for their content distribution opportunities, or the sales agency arrangement, which is reported as a net basis, (ii) revenue from performing cost-plus marketing campaigns, which is reported on a net basis, (iii) revenue from performing specified actions marketing campaigns (i.e., a CPM, CPC, CPA, CPS, CPL or ROI basis), which is reported on a gross basis; and (iv) revenue from SaaS products offering under our enterprise solutions business, which is reported on a gross basis and a net basis. Please see “—Key Components of Results of Operations—Net Revenues” above for more details.</w:t>
      </w:r>
    </w:p>
    <w:p>
      <w:pPr>
        <w:spacing w:after="0" w:line="182" w:lineRule="exact"/>
        <w:rPr>
          <w:sz w:val="20"/>
          <w:szCs w:val="20"/>
          <w:color w:val="auto"/>
        </w:rPr>
      </w:pPr>
    </w:p>
    <w:p>
      <w:pPr>
        <w:ind w:right="60" w:firstLine="782"/>
        <w:spacing w:after="0" w:line="261" w:lineRule="auto"/>
        <w:rPr>
          <w:sz w:val="20"/>
          <w:szCs w:val="20"/>
          <w:color w:val="auto"/>
        </w:rPr>
      </w:pPr>
      <w:r>
        <w:rPr>
          <w:rFonts w:ascii="Arial" w:cs="Arial" w:eastAsia="Arial" w:hAnsi="Arial"/>
          <w:sz w:val="17"/>
          <w:szCs w:val="17"/>
          <w:color w:val="auto"/>
        </w:rPr>
        <w:t>With respect to our marketing solutions, 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w:t>
      </w:r>
    </w:p>
    <w:p>
      <w:pPr>
        <w:spacing w:after="0" w:line="182" w:lineRule="exact"/>
        <w:rPr>
          <w:sz w:val="20"/>
          <w:szCs w:val="20"/>
          <w:color w:val="auto"/>
        </w:rPr>
      </w:pPr>
    </w:p>
    <w:p>
      <w:pPr>
        <w:ind w:right="20" w:firstLine="782"/>
        <w:spacing w:after="0" w:line="281" w:lineRule="auto"/>
        <w:rPr>
          <w:sz w:val="20"/>
          <w:szCs w:val="20"/>
          <w:color w:val="auto"/>
        </w:rPr>
      </w:pPr>
      <w:r>
        <w:rPr>
          <w:rFonts w:ascii="Arial" w:cs="Arial" w:eastAsia="Arial" w:hAnsi="Arial"/>
          <w:sz w:val="16"/>
          <w:szCs w:val="16"/>
          <w:color w:val="auto"/>
        </w:rPr>
        <w:t>Our mobile marketing solutions, other marketing solutions, and enterprise solutions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proportion of our gross billing recognized as net revenues on a gross basis and a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Optimize Client Base and Increase Client Spending</w:t>
      </w:r>
    </w:p>
    <w:p>
      <w:pPr>
        <w:spacing w:after="0" w:line="117" w:lineRule="exact"/>
        <w:rPr>
          <w:sz w:val="20"/>
          <w:szCs w:val="20"/>
          <w:color w:val="auto"/>
        </w:rPr>
      </w:pPr>
    </w:p>
    <w:p>
      <w:pPr>
        <w:ind w:firstLine="782"/>
        <w:spacing w:after="0" w:line="278" w:lineRule="auto"/>
        <w:rPr>
          <w:sz w:val="20"/>
          <w:szCs w:val="20"/>
          <w:color w:val="auto"/>
        </w:rPr>
      </w:pPr>
      <w:r>
        <w:rPr>
          <w:rFonts w:ascii="Arial" w:cs="Arial" w:eastAsia="Arial" w:hAnsi="Arial"/>
          <w:sz w:val="16"/>
          <w:szCs w:val="16"/>
          <w:color w:val="auto"/>
        </w:rPr>
        <w:t>Our growth and profitability are dependent upon our ability to optimize our client base and increase our clients’ spending related to marketing and customer management. We started a comprehensive review of our client base for other marketing solutions in 2016 to focus on profitability and liquidity. For example, we terminated relationships with certain clients for our other marketing solutions, which had relatively long account receivable cycles and yielded relatively low operating profit margins in 2016 and the first half of 2017. We have also been focused, and expect to continue our focus, on sales to direct marketer clients, which tend to command higher gross profit margin compared to agency clients. However, as we continue to focus on the growth of our mobile marketing solutions, we may, from time to time, prioritize on engaging with marketing agency clients, which may generate larger marketing spend per client compared to direct marketer clients. Furthermore, our growth and profitability also depend on our ability to attract more marketers to our self-service model, and to further diversify our client base to capture the growth in additional industry verticals and geographic markets.</w:t>
      </w:r>
    </w:p>
    <w:p>
      <w:pPr>
        <w:spacing w:after="0" w:line="168" w:lineRule="exact"/>
        <w:rPr>
          <w:sz w:val="20"/>
          <w:szCs w:val="20"/>
          <w:color w:val="auto"/>
        </w:rPr>
      </w:pPr>
    </w:p>
    <w:p>
      <w:pPr>
        <w:ind w:right="160" w:firstLine="782"/>
        <w:spacing w:after="0" w:line="263" w:lineRule="auto"/>
        <w:rPr>
          <w:sz w:val="20"/>
          <w:szCs w:val="20"/>
          <w:color w:val="auto"/>
        </w:rPr>
      </w:pPr>
      <w:r>
        <w:rPr>
          <w:rFonts w:ascii="Arial" w:cs="Arial" w:eastAsia="Arial" w:hAnsi="Arial"/>
          <w:sz w:val="17"/>
          <w:szCs w:val="17"/>
          <w:color w:val="auto"/>
        </w:rPr>
        <w:t>Our ability to increase clients’ spending on our platform depends on whether our solutions can effectively address marketers’ evolving and diverse needs in a cost-efficient manner. To that end, we plan to develop and offer more tailored, innovative and user- friendly solutions and services and enhance our sales, marketing and account servicing efforts. For example, we strive to promote our newly launched enterprise solutions to clients by enhancing our ability to effectively identify and address clients’ needs on CRM and comprehensive and customized data acquisition, mining and analytics for real-time, data-driven and more accurate decision making.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right="60" w:firstLine="782"/>
        <w:spacing w:after="0" w:line="277" w:lineRule="auto"/>
        <w:rPr>
          <w:sz w:val="20"/>
          <w:szCs w:val="20"/>
          <w:color w:val="auto"/>
        </w:rPr>
      </w:pPr>
      <w:r>
        <w:rPr>
          <w:rFonts w:ascii="Arial" w:cs="Arial" w:eastAsia="Arial" w:hAnsi="Arial"/>
          <w:sz w:val="16"/>
          <w:szCs w:val="16"/>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70" w:lineRule="exact"/>
        <w:rPr>
          <w:sz w:val="20"/>
          <w:szCs w:val="20"/>
          <w:color w:val="auto"/>
        </w:rPr>
      </w:pPr>
    </w:p>
    <w:p>
      <w:pPr>
        <w:jc w:val="both"/>
        <w:ind w:firstLine="782"/>
        <w:spacing w:after="0" w:line="270" w:lineRule="auto"/>
        <w:rPr>
          <w:sz w:val="20"/>
          <w:szCs w:val="20"/>
          <w:color w:val="auto"/>
        </w:rPr>
      </w:pPr>
      <w:r>
        <w:rPr>
          <w:rFonts w:ascii="Arial" w:cs="Arial" w:eastAsia="Arial" w:hAnsi="Arial"/>
          <w:sz w:val="17"/>
          <w:szCs w:val="17"/>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17" w:lineRule="exact"/>
        <w:rPr>
          <w:sz w:val="20"/>
          <w:szCs w:val="20"/>
          <w:color w:val="auto"/>
        </w:rPr>
      </w:pPr>
    </w:p>
    <w:p>
      <w:pPr>
        <w:ind w:right="60" w:firstLine="782"/>
        <w:spacing w:after="0" w:line="281"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23" w:lineRule="exact"/>
        <w:rPr>
          <w:sz w:val="20"/>
          <w:szCs w:val="20"/>
          <w:color w:val="auto"/>
        </w:rPr>
      </w:pPr>
    </w:p>
    <w:p>
      <w:pPr>
        <w:ind w:right="80" w:firstLine="782"/>
        <w:spacing w:after="0" w:line="259" w:lineRule="auto"/>
        <w:rPr>
          <w:sz w:val="20"/>
          <w:szCs w:val="20"/>
          <w:color w:val="auto"/>
        </w:rPr>
      </w:pPr>
      <w:r>
        <w:rPr>
          <w:rFonts w:ascii="Arial" w:cs="Arial" w:eastAsia="Arial" w:hAnsi="Arial"/>
          <w:sz w:val="17"/>
          <w:szCs w:val="17"/>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 For further information on our critical accounting policies, see Note 2 to our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Consolidation of Variable Interest Entities</w:t>
      </w:r>
    </w:p>
    <w:p>
      <w:pPr>
        <w:spacing w:after="0" w:line="117" w:lineRule="exact"/>
        <w:rPr>
          <w:sz w:val="20"/>
          <w:szCs w:val="20"/>
          <w:color w:val="auto"/>
        </w:rPr>
      </w:pPr>
    </w:p>
    <w:p>
      <w:pPr>
        <w:ind w:right="180" w:firstLine="782"/>
        <w:spacing w:after="0" w:line="270"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69" w:lineRule="exact"/>
        <w:rPr>
          <w:sz w:val="20"/>
          <w:szCs w:val="20"/>
          <w:color w:val="auto"/>
        </w:rPr>
      </w:pPr>
    </w:p>
    <w:p>
      <w:pPr>
        <w:ind w:left="1300" w:hanging="515"/>
        <w:spacing w:after="0"/>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exercise effective control over OptAim Network and its subsidiaries;</w:t>
      </w:r>
    </w:p>
    <w:p>
      <w:pPr>
        <w:spacing w:after="0" w:line="116" w:lineRule="exact"/>
        <w:rPr>
          <w:rFonts w:ascii="Arial" w:cs="Arial" w:eastAsia="Arial" w:hAnsi="Arial"/>
          <w:sz w:val="17"/>
          <w:szCs w:val="17"/>
          <w:color w:val="auto"/>
        </w:rPr>
      </w:pPr>
    </w:p>
    <w:p>
      <w:pPr>
        <w:ind w:left="1300" w:hanging="515"/>
        <w:spacing w:after="0"/>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receive substantially all of the economic benefits of OptAim Network and its subsidiaries; and</w:t>
      </w:r>
    </w:p>
    <w:p>
      <w:pPr>
        <w:spacing w:after="0" w:line="116" w:lineRule="exact"/>
        <w:rPr>
          <w:rFonts w:ascii="Arial" w:cs="Arial" w:eastAsia="Arial" w:hAnsi="Arial"/>
          <w:sz w:val="17"/>
          <w:szCs w:val="17"/>
          <w:color w:val="auto"/>
        </w:rPr>
      </w:pPr>
    </w:p>
    <w:p>
      <w:pPr>
        <w:ind w:left="1300" w:right="40" w:hanging="515"/>
        <w:spacing w:after="0" w:line="286" w:lineRule="auto"/>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have an exclusive option to purchase all or part of the equity interests and assets in OptAim Network when and to the extent permitted by PRC law.</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Our consolidated financial statements include the financial statements of the Company, its subsidiaries, its VIE and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74" w:name="page75"/>
    <w:bookmarkEnd w:id="74"/>
    <w:p>
      <w:pPr>
        <w:ind w:right="160"/>
        <w:spacing w:after="0" w:line="286" w:lineRule="auto"/>
        <w:rPr>
          <w:sz w:val="20"/>
          <w:szCs w:val="20"/>
          <w:color w:val="auto"/>
        </w:rPr>
      </w:pPr>
      <w:r>
        <w:rPr>
          <w:rFonts w:ascii="Arial" w:cs="Arial" w:eastAsia="Arial" w:hAnsi="Arial"/>
          <w:sz w:val="17"/>
          <w:szCs w:val="17"/>
          <w:color w:val="auto"/>
        </w:rPr>
        <w:t>VIE’s subsidiaries for which we are the primary beneficiary. All transactions and balances among we, our subsidiaries, our VIE and the VIE’s subsidiaries have been eliminated upon consolidation.</w:t>
      </w:r>
    </w:p>
    <w:p>
      <w:pPr>
        <w:spacing w:after="0" w:line="159" w:lineRule="exact"/>
        <w:rPr>
          <w:sz w:val="20"/>
          <w:szCs w:val="20"/>
          <w:color w:val="auto"/>
        </w:rPr>
      </w:pPr>
    </w:p>
    <w:p>
      <w:pPr>
        <w:ind w:right="240" w:firstLine="782"/>
        <w:spacing w:after="0" w:line="270" w:lineRule="auto"/>
        <w:rPr>
          <w:sz w:val="20"/>
          <w:szCs w:val="20"/>
          <w:color w:val="auto"/>
        </w:rPr>
      </w:pPr>
      <w:r>
        <w:rPr>
          <w:rFonts w:ascii="Arial" w:cs="Arial" w:eastAsia="Arial" w:hAnsi="Arial"/>
          <w:sz w:val="17"/>
          <w:szCs w:val="17"/>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73" w:lineRule="exact"/>
        <w:rPr>
          <w:sz w:val="20"/>
          <w:szCs w:val="20"/>
          <w:color w:val="auto"/>
        </w:rPr>
      </w:pPr>
    </w:p>
    <w:p>
      <w:pPr>
        <w:jc w:val="both"/>
        <w:ind w:right="20" w:firstLine="782"/>
        <w:spacing w:after="0" w:line="263"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subsidiaries, and has been determined to be the primary beneficiary of the VIE.</w:t>
      </w:r>
    </w:p>
    <w:p>
      <w:pPr>
        <w:spacing w:after="0" w:line="178" w:lineRule="exact"/>
        <w:rPr>
          <w:sz w:val="20"/>
          <w:szCs w:val="20"/>
          <w:color w:val="auto"/>
        </w:rPr>
      </w:pPr>
    </w:p>
    <w:p>
      <w:pPr>
        <w:ind w:right="60" w:firstLine="782"/>
        <w:spacing w:after="0" w:line="261" w:lineRule="auto"/>
        <w:rPr>
          <w:sz w:val="20"/>
          <w:szCs w:val="20"/>
          <w:color w:val="auto"/>
        </w:rPr>
      </w:pPr>
      <w:r>
        <w:rPr>
          <w:rFonts w:ascii="Arial" w:cs="Arial" w:eastAsia="Arial" w:hAnsi="Arial"/>
          <w:sz w:val="17"/>
          <w:szCs w:val="17"/>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subsidiaries amounting to US$2.0 million, US$2.0 million and US$2.0 million, respectively, as of December 31, 2017, 2018 and 2019. As the VIE was incorporated as limited liability company under the PRC Company Law, the creditors do not have recourse to our general credit for all the liabilities of the VIE. Currently there is no contractual arrangement that could require us to provide additional financial support to the VIE.</w:t>
      </w:r>
    </w:p>
    <w:p>
      <w:pPr>
        <w:spacing w:after="0" w:line="182" w:lineRule="exact"/>
        <w:rPr>
          <w:sz w:val="20"/>
          <w:szCs w:val="20"/>
          <w:color w:val="auto"/>
        </w:rPr>
      </w:pPr>
    </w:p>
    <w:p>
      <w:pPr>
        <w:ind w:firstLine="782"/>
        <w:spacing w:after="0" w:line="286" w:lineRule="auto"/>
        <w:rPr>
          <w:sz w:val="20"/>
          <w:szCs w:val="20"/>
          <w:color w:val="auto"/>
        </w:rPr>
      </w:pPr>
      <w:r>
        <w:rPr>
          <w:rFonts w:ascii="Arial" w:cs="Arial" w:eastAsia="Arial" w:hAnsi="Arial"/>
          <w:sz w:val="17"/>
          <w:szCs w:val="17"/>
          <w:color w:val="auto"/>
        </w:rPr>
        <w:t>As we are conducting our PRC online advertising services business through OptAim Network, we will, if needed, provide such support on a discretion basis in the future, which could expose us to a loss.</w:t>
      </w:r>
    </w:p>
    <w:p>
      <w:pPr>
        <w:spacing w:after="0" w:line="159" w:lineRule="exact"/>
        <w:rPr>
          <w:sz w:val="20"/>
          <w:szCs w:val="20"/>
          <w:color w:val="auto"/>
        </w:rPr>
      </w:pPr>
    </w:p>
    <w:p>
      <w:pPr>
        <w:ind w:right="20" w:firstLine="782"/>
        <w:spacing w:after="0" w:line="265" w:lineRule="auto"/>
        <w:rPr>
          <w:sz w:val="20"/>
          <w:szCs w:val="20"/>
          <w:color w:val="auto"/>
        </w:rPr>
      </w:pPr>
      <w:r>
        <w:rPr>
          <w:rFonts w:ascii="Arial" w:cs="Arial" w:eastAsia="Arial" w:hAnsi="Arial"/>
          <w:sz w:val="17"/>
          <w:szCs w:val="17"/>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77" w:lineRule="exact"/>
        <w:rPr>
          <w:sz w:val="20"/>
          <w:szCs w:val="20"/>
          <w:color w:val="auto"/>
        </w:rPr>
      </w:pPr>
    </w:p>
    <w:p>
      <w:pPr>
        <w:ind w:right="120" w:firstLine="782"/>
        <w:spacing w:after="0" w:line="286" w:lineRule="auto"/>
        <w:rPr>
          <w:sz w:val="20"/>
          <w:szCs w:val="20"/>
          <w:color w:val="auto"/>
        </w:rPr>
      </w:pPr>
      <w:r>
        <w:rPr>
          <w:rFonts w:ascii="Arial" w:cs="Arial" w:eastAsia="Arial" w:hAnsi="Arial"/>
          <w:sz w:val="17"/>
          <w:szCs w:val="17"/>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Determination Related to the Accounting for Business Combinations</w:t>
      </w:r>
    </w:p>
    <w:p>
      <w:pPr>
        <w:spacing w:after="0" w:line="117" w:lineRule="exact"/>
        <w:rPr>
          <w:sz w:val="20"/>
          <w:szCs w:val="20"/>
          <w:color w:val="auto"/>
        </w:rPr>
      </w:pPr>
    </w:p>
    <w:p>
      <w:pPr>
        <w:ind w:right="240" w:firstLine="782"/>
        <w:spacing w:after="0" w:line="260" w:lineRule="auto"/>
        <w:rPr>
          <w:sz w:val="20"/>
          <w:szCs w:val="20"/>
          <w:color w:val="auto"/>
        </w:rPr>
      </w:pPr>
      <w:r>
        <w:rPr>
          <w:rFonts w:ascii="Arial" w:cs="Arial" w:eastAsia="Arial" w:hAnsi="Arial"/>
          <w:sz w:val="17"/>
          <w:szCs w:val="17"/>
          <w:color w:val="auto"/>
        </w:rPr>
        <w:t>We completed business combinations during 2015, 2018 and 2019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Goodwill</w:t>
      </w:r>
    </w:p>
    <w:p>
      <w:pPr>
        <w:spacing w:after="0" w:line="117" w:lineRule="exact"/>
        <w:rPr>
          <w:sz w:val="20"/>
          <w:szCs w:val="20"/>
          <w:color w:val="auto"/>
        </w:rPr>
      </w:pPr>
    </w:p>
    <w:p>
      <w:pPr>
        <w:ind w:right="20" w:firstLine="782"/>
        <w:spacing w:after="0" w:line="260"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spacing w:after="0" w:line="278" w:lineRule="auto"/>
        <w:rPr>
          <w:sz w:val="20"/>
          <w:szCs w:val="20"/>
          <w:color w:val="auto"/>
        </w:rPr>
      </w:pPr>
      <w:r>
        <w:rPr>
          <w:rFonts w:ascii="Arial" w:cs="Arial" w:eastAsia="Arial" w:hAnsi="Arial"/>
          <w:sz w:val="16"/>
          <w:szCs w:val="16"/>
          <w:color w:val="auto"/>
        </w:rPr>
        <w:t>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Application of a goodwill impairment test requires significant management judgment, including the identification of reporting units, assigning assets, liabilities and goodwill to reporting units, and determining the fair value of each reporting unit. The judgment in estimating the fair value of each reporting unit includes estimating future cash flows, determining appropriate discount rates, control premium, comparable companies’ multipliers and making other assumptions. Changes in these estimates and assumptions could materially affect the determination of fair value for each reporting unit.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ind w:right="100" w:firstLine="782"/>
        <w:spacing w:after="0" w:line="261" w:lineRule="auto"/>
        <w:rPr>
          <w:sz w:val="20"/>
          <w:szCs w:val="20"/>
          <w:color w:val="auto"/>
        </w:rPr>
      </w:pPr>
      <w:r>
        <w:rPr>
          <w:rFonts w:ascii="Arial" w:cs="Arial" w:eastAsia="Arial" w:hAnsi="Arial"/>
          <w:sz w:val="17"/>
          <w:szCs w:val="17"/>
          <w:color w:val="auto"/>
        </w:rPr>
        <w:t>On January 1, 2018, we adopted ASU 2014-09 “Revenue from Contracts with Customers (Topic 606)” and subsequent amendments to the initial guidance or implementation guidance issued between August 2015 and December 2016 within ASU 2015- 14, ASU 2016-08, ASU 2016-10, ASU 2016-12 and ASU 2016-20 (collectively, “ASC 606”) using a modified retrospective approach applied to contracts that were not completed as of January 1, 2018. The adoption did not have a material impact on the accumulated deficit as of January 1, 2018. Results for reporting periods beginning on or after January 1, 2018 are presented under ASC 606, while prior period amounts are not adjusted and continue to be reported in accordance with the our historic accounting under ASC 605.</w:t>
      </w:r>
    </w:p>
    <w:p>
      <w:pPr>
        <w:spacing w:after="0" w:line="77" w:lineRule="exact"/>
        <w:rPr>
          <w:sz w:val="20"/>
          <w:szCs w:val="20"/>
          <w:color w:val="auto"/>
        </w:rPr>
      </w:pPr>
    </w:p>
    <w:p>
      <w:pPr>
        <w:ind w:right="240" w:firstLine="782"/>
        <w:spacing w:after="0" w:line="311" w:lineRule="auto"/>
        <w:rPr>
          <w:sz w:val="20"/>
          <w:szCs w:val="20"/>
          <w:color w:val="auto"/>
        </w:rPr>
      </w:pPr>
      <w:r>
        <w:rPr>
          <w:rFonts w:ascii="Arial" w:cs="Arial" w:eastAsia="Arial" w:hAnsi="Arial"/>
          <w:sz w:val="15"/>
          <w:szCs w:val="15"/>
          <w:color w:val="auto"/>
        </w:rPr>
        <w:t>Our services are the provision of online marketing services. We utilize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presents our revenue recognized from contracts with customers disaggregated by the four types of pricing models: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For the years ended</w:t>
            </w: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56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8"/>
              </w:rPr>
              <w:t>December 31, 2017</w:t>
            </w:r>
          </w:p>
        </w:tc>
        <w:tc>
          <w:tcPr>
            <w:tcW w:w="156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8"/>
              </w:rPr>
              <w:t>December 31, 2018</w:t>
            </w:r>
          </w:p>
        </w:tc>
        <w:tc>
          <w:tcPr>
            <w:tcW w:w="13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0"/>
              </w:rPr>
              <w:t>December 31, 2019</w:t>
            </w:r>
          </w:p>
        </w:tc>
        <w:tc>
          <w:tcPr>
            <w:tcW w:w="100" w:type="dxa"/>
            <w:vAlign w:val="bottom"/>
          </w:tcPr>
          <w:p>
            <w:pPr>
              <w:spacing w:after="0"/>
              <w:rPr>
                <w:sz w:val="12"/>
                <w:szCs w:val="12"/>
                <w:color w:val="auto"/>
              </w:rPr>
            </w:pPr>
          </w:p>
        </w:tc>
      </w:tr>
      <w:tr>
        <w:trPr>
          <w:trHeight w:val="166"/>
        </w:trPr>
        <w:tc>
          <w:tcPr>
            <w:tcW w:w="3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Under ASC 605</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Under ASC 606</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Under ASC 606</w:t>
            </w:r>
          </w:p>
        </w:tc>
      </w:tr>
      <w:tr>
        <w:trPr>
          <w:trHeight w:val="214"/>
        </w:trPr>
        <w:tc>
          <w:tcPr>
            <w:tcW w:w="6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Recognized over time</w:t>
            </w: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3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6340" w:type="dxa"/>
            <w:vAlign w:val="bottom"/>
          </w:tcPr>
          <w:p>
            <w:pPr>
              <w:spacing w:after="0"/>
              <w:rPr>
                <w:sz w:val="20"/>
                <w:szCs w:val="20"/>
                <w:color w:val="auto"/>
              </w:rPr>
            </w:pPr>
            <w:r>
              <w:rPr>
                <w:rFonts w:ascii="Arial" w:cs="Arial" w:eastAsia="Arial" w:hAnsi="Arial"/>
                <w:sz w:val="17"/>
                <w:szCs w:val="17"/>
                <w:color w:val="auto"/>
              </w:rPr>
              <w:t>Sales agent</w:t>
            </w:r>
          </w:p>
        </w:tc>
        <w:tc>
          <w:tcPr>
            <w:tcW w:w="1300" w:type="dxa"/>
            <w:vAlign w:val="bottom"/>
          </w:tcPr>
          <w:p>
            <w:pPr>
              <w:jc w:val="right"/>
              <w:spacing w:after="0"/>
              <w:rPr>
                <w:sz w:val="20"/>
                <w:szCs w:val="20"/>
                <w:color w:val="auto"/>
              </w:rPr>
            </w:pPr>
            <w:r>
              <w:rPr>
                <w:rFonts w:ascii="Arial" w:cs="Arial" w:eastAsia="Arial" w:hAnsi="Arial"/>
                <w:sz w:val="17"/>
                <w:szCs w:val="17"/>
                <w:color w:val="auto"/>
              </w:rPr>
              <w:t>8,311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8,671</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6,563</w:t>
            </w:r>
          </w:p>
        </w:tc>
        <w:tc>
          <w:tcPr>
            <w:tcW w:w="100" w:type="dxa"/>
            <w:vAlign w:val="bottom"/>
          </w:tcPr>
          <w:p>
            <w:pPr>
              <w:spacing w:after="0"/>
              <w:rPr>
                <w:sz w:val="19"/>
                <w:szCs w:val="19"/>
                <w:color w:val="auto"/>
              </w:rPr>
            </w:pPr>
          </w:p>
        </w:tc>
      </w:tr>
      <w:tr>
        <w:trPr>
          <w:trHeight w:val="221"/>
        </w:trPr>
        <w:tc>
          <w:tcPr>
            <w:tcW w:w="3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6340" w:type="dxa"/>
            <w:vAlign w:val="bottom"/>
            <w:shd w:val="clear" w:color="auto" w:fill="CFF0FC"/>
          </w:tcPr>
          <w:p>
            <w:pPr>
              <w:spacing w:after="0"/>
              <w:rPr>
                <w:sz w:val="20"/>
                <w:szCs w:val="20"/>
                <w:color w:val="auto"/>
              </w:rPr>
            </w:pPr>
            <w:r>
              <w:rPr>
                <w:rFonts w:ascii="Arial" w:cs="Arial" w:eastAsia="Arial" w:hAnsi="Arial"/>
                <w:sz w:val="17"/>
                <w:szCs w:val="17"/>
                <w:color w:val="auto"/>
              </w:rPr>
              <w:t>Cost-plus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10,788</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12,192</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17,146</w:t>
            </w:r>
          </w:p>
        </w:tc>
        <w:tc>
          <w:tcPr>
            <w:tcW w:w="100" w:type="dxa"/>
            <w:vAlign w:val="bottom"/>
            <w:shd w:val="clear" w:color="auto" w:fill="CFF0FC"/>
          </w:tcPr>
          <w:p>
            <w:pPr>
              <w:spacing w:after="0"/>
              <w:rPr>
                <w:sz w:val="19"/>
                <w:szCs w:val="19"/>
                <w:color w:val="auto"/>
              </w:rPr>
            </w:pPr>
          </w:p>
        </w:tc>
      </w:tr>
      <w:tr>
        <w:trPr>
          <w:trHeight w:val="221"/>
        </w:trPr>
        <w:tc>
          <w:tcPr>
            <w:tcW w:w="3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6340" w:type="dxa"/>
            <w:vAlign w:val="bottom"/>
          </w:tcPr>
          <w:p>
            <w:pPr>
              <w:spacing w:after="0"/>
              <w:rPr>
                <w:sz w:val="20"/>
                <w:szCs w:val="20"/>
                <w:color w:val="auto"/>
              </w:rPr>
            </w:pPr>
            <w:r>
              <w:rPr>
                <w:rFonts w:ascii="Arial" w:cs="Arial" w:eastAsia="Arial" w:hAnsi="Arial"/>
                <w:sz w:val="17"/>
                <w:szCs w:val="17"/>
                <w:color w:val="auto"/>
              </w:rPr>
              <w:t>SaaS products offering</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8,687</w:t>
            </w:r>
          </w:p>
        </w:tc>
        <w:tc>
          <w:tcPr>
            <w:tcW w:w="100" w:type="dxa"/>
            <w:vAlign w:val="bottom"/>
          </w:tcPr>
          <w:p>
            <w:pPr>
              <w:spacing w:after="0"/>
              <w:rPr>
                <w:sz w:val="19"/>
                <w:szCs w:val="19"/>
                <w:color w:val="auto"/>
              </w:rPr>
            </w:pPr>
          </w:p>
        </w:tc>
      </w:tr>
      <w:tr>
        <w:trPr>
          <w:trHeight w:val="214"/>
        </w:trPr>
        <w:tc>
          <w:tcPr>
            <w:tcW w:w="360" w:type="dxa"/>
            <w:vAlign w:val="bottom"/>
            <w:tcBorders>
              <w:top w:val="single" w:sz="8" w:color="CFF0FC"/>
            </w:tcBorders>
            <w:shd w:val="clear" w:color="auto" w:fill="CFF0FC"/>
          </w:tcPr>
          <w:p>
            <w:pPr>
              <w:spacing w:after="0"/>
              <w:rPr>
                <w:sz w:val="18"/>
                <w:szCs w:val="18"/>
                <w:color w:val="auto"/>
              </w:rPr>
            </w:pPr>
          </w:p>
        </w:tc>
        <w:tc>
          <w:tcPr>
            <w:tcW w:w="63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19,099</w:t>
            </w: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20,863</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32,396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6700" w:type="dxa"/>
            <w:vAlign w:val="bottom"/>
            <w:gridSpan w:val="2"/>
          </w:tcPr>
          <w:p>
            <w:pPr>
              <w:spacing w:after="0"/>
              <w:rPr>
                <w:sz w:val="20"/>
                <w:szCs w:val="20"/>
                <w:color w:val="auto"/>
              </w:rPr>
            </w:pPr>
            <w:r>
              <w:rPr>
                <w:rFonts w:ascii="Arial" w:cs="Arial" w:eastAsia="Arial" w:hAnsi="Arial"/>
                <w:sz w:val="17"/>
                <w:szCs w:val="17"/>
                <w:color w:val="auto"/>
              </w:rPr>
              <w:t>Recognized at point in time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3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6340" w:type="dxa"/>
            <w:vAlign w:val="bottom"/>
            <w:shd w:val="clear" w:color="auto" w:fill="CFF0FC"/>
          </w:tcPr>
          <w:p>
            <w:pPr>
              <w:spacing w:after="0"/>
              <w:rPr>
                <w:sz w:val="20"/>
                <w:szCs w:val="20"/>
                <w:color w:val="auto"/>
              </w:rPr>
            </w:pPr>
            <w:r>
              <w:rPr>
                <w:rFonts w:ascii="Arial" w:cs="Arial" w:eastAsia="Arial" w:hAnsi="Arial"/>
                <w:sz w:val="17"/>
                <w:szCs w:val="17"/>
                <w:color w:val="auto"/>
              </w:rPr>
              <w:t>Specified actions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106,159</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139,154</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165,263</w:t>
            </w:r>
          </w:p>
        </w:tc>
        <w:tc>
          <w:tcPr>
            <w:tcW w:w="100" w:type="dxa"/>
            <w:vAlign w:val="bottom"/>
            <w:shd w:val="clear" w:color="auto" w:fill="CFF0FC"/>
          </w:tcPr>
          <w:p>
            <w:pPr>
              <w:spacing w:after="0"/>
              <w:rPr>
                <w:sz w:val="19"/>
                <w:szCs w:val="19"/>
                <w:color w:val="auto"/>
              </w:rPr>
            </w:pPr>
          </w:p>
        </w:tc>
      </w:tr>
      <w:tr>
        <w:trPr>
          <w:trHeight w:val="221"/>
        </w:trPr>
        <w:tc>
          <w:tcPr>
            <w:tcW w:w="3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6340" w:type="dxa"/>
            <w:vAlign w:val="bottom"/>
          </w:tcPr>
          <w:p>
            <w:pPr>
              <w:spacing w:after="0"/>
              <w:rPr>
                <w:sz w:val="20"/>
                <w:szCs w:val="20"/>
                <w:color w:val="auto"/>
              </w:rPr>
            </w:pPr>
            <w:r>
              <w:rPr>
                <w:rFonts w:ascii="Arial" w:cs="Arial" w:eastAsia="Arial" w:hAnsi="Arial"/>
                <w:sz w:val="17"/>
                <w:szCs w:val="17"/>
                <w:color w:val="auto"/>
              </w:rPr>
              <w:t>SaaS products offering</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1,749</w:t>
            </w:r>
          </w:p>
        </w:tc>
        <w:tc>
          <w:tcPr>
            <w:tcW w:w="100" w:type="dxa"/>
            <w:vAlign w:val="bottom"/>
          </w:tcPr>
          <w:p>
            <w:pPr>
              <w:spacing w:after="0"/>
              <w:rPr>
                <w:sz w:val="19"/>
                <w:szCs w:val="19"/>
                <w:color w:val="auto"/>
              </w:rPr>
            </w:pPr>
          </w:p>
        </w:tc>
      </w:tr>
      <w:tr>
        <w:trPr>
          <w:trHeight w:val="214"/>
        </w:trPr>
        <w:tc>
          <w:tcPr>
            <w:tcW w:w="360" w:type="dxa"/>
            <w:vAlign w:val="bottom"/>
            <w:tcBorders>
              <w:top w:val="single" w:sz="8" w:color="CFF0FC"/>
            </w:tcBorders>
            <w:shd w:val="clear" w:color="auto" w:fill="CFF0FC"/>
          </w:tcPr>
          <w:p>
            <w:pPr>
              <w:spacing w:after="0"/>
              <w:rPr>
                <w:sz w:val="18"/>
                <w:szCs w:val="18"/>
                <w:color w:val="auto"/>
              </w:rPr>
            </w:pPr>
          </w:p>
        </w:tc>
        <w:tc>
          <w:tcPr>
            <w:tcW w:w="63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106,159</w:t>
            </w: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139,154</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167,012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360" w:type="dxa"/>
            <w:vAlign w:val="bottom"/>
          </w:tcPr>
          <w:p>
            <w:pPr>
              <w:spacing w:after="0"/>
              <w:rPr>
                <w:sz w:val="20"/>
                <w:szCs w:val="20"/>
                <w:color w:val="auto"/>
              </w:rPr>
            </w:pPr>
            <w:r>
              <w:rPr>
                <w:rFonts w:ascii="Arial" w:cs="Arial" w:eastAsia="Arial" w:hAnsi="Arial"/>
                <w:sz w:val="17"/>
                <w:szCs w:val="17"/>
                <w:color w:val="auto"/>
                <w:w w:val="89"/>
              </w:rPr>
              <w:t>Total</w:t>
            </w:r>
          </w:p>
        </w:tc>
        <w:tc>
          <w:tcPr>
            <w:tcW w:w="63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125,258</w:t>
            </w:r>
          </w:p>
        </w:tc>
        <w:tc>
          <w:tcPr>
            <w:tcW w:w="2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160,017</w:t>
            </w:r>
          </w:p>
        </w:tc>
        <w:tc>
          <w:tcPr>
            <w:tcW w:w="2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199,408</w:t>
            </w:r>
          </w:p>
        </w:tc>
        <w:tc>
          <w:tcPr>
            <w:tcW w:w="10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As noted above, in accordance with the modified retrospective method upon adoption of ASC 606, prior period amounts have not been adjusted.</w:t>
      </w:r>
    </w:p>
    <w:p>
      <w:pPr>
        <w:spacing w:after="0" w:line="232" w:lineRule="exact"/>
        <w:rPr>
          <w:sz w:val="20"/>
          <w:szCs w:val="20"/>
          <w:color w:val="auto"/>
        </w:rPr>
      </w:pPr>
    </w:p>
    <w:p>
      <w:pPr>
        <w:ind w:right="180" w:firstLine="776"/>
        <w:spacing w:after="0" w:line="263" w:lineRule="auto"/>
        <w:rPr>
          <w:sz w:val="20"/>
          <w:szCs w:val="20"/>
          <w:color w:val="auto"/>
        </w:rPr>
      </w:pPr>
      <w:r>
        <w:rPr>
          <w:rFonts w:ascii="Arial" w:cs="Arial" w:eastAsia="Arial" w:hAnsi="Arial"/>
          <w:sz w:val="17"/>
          <w:szCs w:val="17"/>
          <w:color w:val="auto"/>
        </w:rPr>
        <w:t>We recognize revenue when we satisfy a performance obligation by transferring a promised service to a customer. We consider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Revenues are recorded net of value-added taxes.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i w:val="1"/>
          <w:iCs w:val="1"/>
          <w:color w:val="auto"/>
        </w:rPr>
        <w:t>Sales agent</w:t>
      </w:r>
    </w:p>
    <w:p>
      <w:pPr>
        <w:spacing w:after="0" w:line="117" w:lineRule="exact"/>
        <w:rPr>
          <w:sz w:val="20"/>
          <w:szCs w:val="20"/>
          <w:color w:val="auto"/>
        </w:rPr>
      </w:pPr>
    </w:p>
    <w:p>
      <w:pPr>
        <w:ind w:right="80" w:firstLine="782"/>
        <w:spacing w:after="0" w:line="265" w:lineRule="auto"/>
        <w:rPr>
          <w:sz w:val="20"/>
          <w:szCs w:val="20"/>
          <w:color w:val="auto"/>
        </w:rPr>
      </w:pPr>
      <w:r>
        <w:rPr>
          <w:rFonts w:ascii="Arial" w:cs="Arial" w:eastAsia="Arial" w:hAnsi="Arial"/>
          <w:sz w:val="17"/>
          <w:szCs w:val="17"/>
          <w:color w:val="auto"/>
        </w:rPr>
        <w:t>In the arrangement with a particular publisher, we act as a sales agent for this publisher in selling marketing spaces to marketing clients. In return, we earn incentives from this publisher based on contractually stipulated amounts when certain spending thresholds are achieved. We consider this particular publisher as a customer and record such incentives as net revenues. Incentives from this publisher are calculated on both a quarterly and an annual basis in accordance with the terms as set out in the arrangement.</w:t>
      </w:r>
    </w:p>
    <w:p>
      <w:pPr>
        <w:spacing w:after="0" w:line="177" w:lineRule="exact"/>
        <w:rPr>
          <w:sz w:val="20"/>
          <w:szCs w:val="20"/>
          <w:color w:val="auto"/>
        </w:rPr>
      </w:pPr>
    </w:p>
    <w:p>
      <w:pPr>
        <w:ind w:right="140" w:firstLine="782"/>
        <w:spacing w:after="0" w:line="265" w:lineRule="auto"/>
        <w:rPr>
          <w:sz w:val="20"/>
          <w:szCs w:val="20"/>
          <w:color w:val="auto"/>
        </w:rPr>
      </w:pPr>
      <w:r>
        <w:rPr>
          <w:rFonts w:ascii="Arial" w:cs="Arial" w:eastAsia="Arial" w:hAnsi="Arial"/>
          <w:sz w:val="17"/>
          <w:szCs w:val="17"/>
          <w:color w:val="auto"/>
        </w:rPr>
        <w:t>Revenue under this arrangement is recognized over-time given we consider this particular publisher simultaneously receives and consumes the benefits provided by our performance as we perform. In other words, when we purchase marketing spaces on behalf of the marketing clients throughout the marketing campaigns as requested by them, this particular publisher simultaneously receives and consumes the benefit of the marketing spaces being purchased and therefore we are entitled to incentive payment from this publisher.</w:t>
      </w:r>
    </w:p>
    <w:p>
      <w:pPr>
        <w:spacing w:after="0" w:line="177" w:lineRule="exact"/>
        <w:rPr>
          <w:sz w:val="20"/>
          <w:szCs w:val="20"/>
          <w:color w:val="auto"/>
        </w:rPr>
      </w:pPr>
    </w:p>
    <w:p>
      <w:pPr>
        <w:ind w:right="140" w:firstLine="782"/>
        <w:spacing w:after="0" w:line="356" w:lineRule="auto"/>
        <w:rPr>
          <w:sz w:val="20"/>
          <w:szCs w:val="20"/>
          <w:color w:val="auto"/>
        </w:rPr>
      </w:pPr>
      <w:r>
        <w:rPr>
          <w:rFonts w:ascii="Arial" w:cs="Arial" w:eastAsia="Arial" w:hAnsi="Arial"/>
          <w:sz w:val="15"/>
          <w:szCs w:val="15"/>
          <w:color w:val="auto"/>
        </w:rPr>
        <w:t>We grant rebates to marketing clients under the sales agent arrangement. The majority of marketing clients under this arrangement are not customers under either the cost-plus arrangement or specified actions arrangement. We record rebates granted to such marketing clients as reduction of revenue.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Cost-plus</w:t>
      </w:r>
    </w:p>
    <w:p>
      <w:pPr>
        <w:spacing w:after="0" w:line="117" w:lineRule="exact"/>
        <w:rPr>
          <w:sz w:val="20"/>
          <w:szCs w:val="20"/>
          <w:color w:val="auto"/>
        </w:rPr>
      </w:pPr>
    </w:p>
    <w:p>
      <w:pPr>
        <w:ind w:right="60" w:firstLine="782"/>
        <w:spacing w:after="0" w:line="278" w:lineRule="auto"/>
        <w:rPr>
          <w:sz w:val="20"/>
          <w:szCs w:val="20"/>
          <w:color w:val="auto"/>
        </w:rPr>
      </w:pPr>
      <w:r>
        <w:rPr>
          <w:rFonts w:ascii="Arial" w:cs="Arial" w:eastAsia="Arial" w:hAnsi="Arial"/>
          <w:sz w:val="16"/>
          <w:szCs w:val="16"/>
          <w:color w:val="auto"/>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we are acting as the principal or an agent in the transactions. In the normal course of business, we act as an intermediary in executing transactions between website publishers and marketing clients. The specified service in the cost-plus arrangement is the provision of marketing space, which is controlled by the website publishers, rather than us. We assist the marketing clients to place orders with specific website publishers based on specification set out the marketing clients. We do not have the ability to direct the use of marketing space and do not have any inventory risk. Pricing is generally based on the actual advertising spending incurred by the marketing clients plus a margin. Accordingly, we conclude that we are not the principal in these arrangements and reports revenue earned and costs incurred related to these transactions on a net basis.</w:t>
      </w:r>
    </w:p>
    <w:p>
      <w:pPr>
        <w:spacing w:after="0" w:line="168" w:lineRule="exact"/>
        <w:rPr>
          <w:sz w:val="20"/>
          <w:szCs w:val="20"/>
          <w:color w:val="auto"/>
        </w:rPr>
      </w:pPr>
    </w:p>
    <w:p>
      <w:pPr>
        <w:ind w:right="120" w:firstLine="782"/>
        <w:spacing w:after="0" w:line="323" w:lineRule="auto"/>
        <w:rPr>
          <w:sz w:val="20"/>
          <w:szCs w:val="20"/>
          <w:color w:val="auto"/>
        </w:rPr>
      </w:pPr>
      <w:r>
        <w:rPr>
          <w:rFonts w:ascii="Arial" w:cs="Arial" w:eastAsia="Arial" w:hAnsi="Arial"/>
          <w:sz w:val="15"/>
          <w:szCs w:val="15"/>
          <w:color w:val="auto"/>
        </w:rPr>
        <w:t>Revenue under this arrangement is recognized over-time as we consider our customers simultaneously receive and consume the benefits provided by our performance. At the time we purchase marketing spaces during the contract term for our customers, the customers’ advertisements could be placed throughout the marketing campaign. Revenue recognition under this arrangement is not based on an occurrence of significant act or milestone method.</w:t>
      </w:r>
    </w:p>
    <w:p>
      <w:pPr>
        <w:spacing w:after="0" w:line="136" w:lineRule="exact"/>
        <w:rPr>
          <w:sz w:val="20"/>
          <w:szCs w:val="20"/>
          <w:color w:val="auto"/>
        </w:rPr>
      </w:pPr>
    </w:p>
    <w:p>
      <w:pPr>
        <w:ind w:firstLine="782"/>
        <w:spacing w:after="0" w:line="281" w:lineRule="auto"/>
        <w:rPr>
          <w:sz w:val="20"/>
          <w:szCs w:val="20"/>
          <w:color w:val="auto"/>
        </w:rPr>
      </w:pPr>
      <w:r>
        <w:rPr>
          <w:rFonts w:ascii="Arial" w:cs="Arial" w:eastAsia="Arial" w:hAnsi="Arial"/>
          <w:sz w:val="16"/>
          <w:szCs w:val="16"/>
          <w:color w:val="auto"/>
        </w:rPr>
        <w:t>Throughout the various services delivered to clients under the cost-plus arrangements, we earn rebates from publishers and grant rebates to marketing clients. The rebates that we grant to marketing clients under cost-plus arrangement are recorded as reduction of revenue and are recorded based on the amount the marketing clients would ultimately need to spend to earn the corresponding level of rebates. We are also able to reasonably estimate the spending the customers can ultimately achieve based on the historical spending patterns of the customers with similar arrangements. The rebates that we receive from publishers under the cost-plus arrangements are recorded as revenue. These rebates are recognized when a particular milestone is achieved (i.e. applying the relevant rebates based on the level of spending threshold actually achieved) and spending has actually occurred.</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Specified actions</w:t>
      </w:r>
    </w:p>
    <w:p>
      <w:pPr>
        <w:spacing w:after="0" w:line="117" w:lineRule="exact"/>
        <w:rPr>
          <w:sz w:val="20"/>
          <w:szCs w:val="20"/>
          <w:color w:val="auto"/>
        </w:rPr>
      </w:pPr>
    </w:p>
    <w:p>
      <w:pPr>
        <w:ind w:firstLine="782"/>
        <w:spacing w:after="0" w:line="299" w:lineRule="auto"/>
        <w:rPr>
          <w:sz w:val="20"/>
          <w:szCs w:val="20"/>
          <w:color w:val="auto"/>
        </w:rPr>
      </w:pPr>
      <w:r>
        <w:rPr>
          <w:rFonts w:ascii="Arial" w:cs="Arial" w:eastAsia="Arial" w:hAnsi="Arial"/>
          <w:sz w:val="15"/>
          <w:szCs w:val="15"/>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For the specified actions advertisement campaigns, we are the principal as we have the obligation to deliver successful actions requested by marketing clients. Also, we will only be paid if successful actions can be delivered and is exposed to risk of loss. In terms of pricing, we have complete latitude in establishing the selling prices of each of the CPM, CPC, CPA, CPS, CPL or ROI pricing model. Our margin may vary as the costs incurred to deliver successful actions may vary and we are therefore exposed to risk of loss whereby validating our degree of responsibility to our customers. Although the inventory risk under specified actions arrangement is considered to be low, we conclude that we are the principal in such arrangement as we are the principal ultimately responsible for delivering successful actions and in charge of establishing the price per action. Accordingly, we report revenue earned and costs incurred related to these transactions on 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gross basis.</w:t>
      </w:r>
    </w:p>
    <w:p>
      <w:pPr>
        <w:spacing w:after="0" w:line="221" w:lineRule="exact"/>
        <w:rPr>
          <w:sz w:val="20"/>
          <w:szCs w:val="20"/>
          <w:color w:val="auto"/>
        </w:rPr>
      </w:pPr>
    </w:p>
    <w:p>
      <w:pPr>
        <w:ind w:right="40" w:firstLine="782"/>
        <w:spacing w:after="0" w:line="261" w:lineRule="auto"/>
        <w:rPr>
          <w:sz w:val="20"/>
          <w:szCs w:val="20"/>
          <w:color w:val="auto"/>
        </w:rPr>
      </w:pPr>
      <w:r>
        <w:rPr>
          <w:rFonts w:ascii="Arial" w:cs="Arial" w:eastAsia="Arial" w:hAnsi="Arial"/>
          <w:sz w:val="17"/>
          <w:szCs w:val="17"/>
          <w:color w:val="auto"/>
        </w:rPr>
        <w:t>Revenues under this arrangement is recognized at point-in-time when we are able to deliver the specified actions as requested by the customers. Upon the occurrence of the specified actions, the customers take control of the specified actions and this is when we recognize the corresponding revenue. Unlike the cost-plus arrangement, when we purchase marketing spaces in order to deliver the specified actions, the customers do not receive and consume the benefit as the benefit to be received by the customers is the occurrence of the specified actions. Also, we do not create or enhance an asset that the customers control as the marketing spaces ultimately belong to the publishers. We do not have any right to payment for simply purchasing the marketing spaces and would only be compensated upon delivery of the specified actions.</w:t>
      </w:r>
    </w:p>
    <w:p>
      <w:pPr>
        <w:spacing w:after="0" w:line="182" w:lineRule="exact"/>
        <w:rPr>
          <w:sz w:val="20"/>
          <w:szCs w:val="20"/>
          <w:color w:val="auto"/>
        </w:rPr>
      </w:pPr>
    </w:p>
    <w:p>
      <w:pPr>
        <w:ind w:right="40" w:firstLine="782"/>
        <w:spacing w:after="0" w:line="281" w:lineRule="auto"/>
        <w:rPr>
          <w:sz w:val="20"/>
          <w:szCs w:val="20"/>
          <w:color w:val="auto"/>
        </w:rPr>
      </w:pPr>
      <w:r>
        <w:rPr>
          <w:rFonts w:ascii="Arial" w:cs="Arial" w:eastAsia="Arial" w:hAnsi="Arial"/>
          <w:sz w:val="16"/>
          <w:szCs w:val="16"/>
          <w:color w:val="auto"/>
        </w:rPr>
        <w:t>Similar to the cost-plus arrangements, we earn rebates from publishers and grant rebates to marketing clients under specified action arrangement. Likewise, the rebates that we grant to marketing clients under specified action arrangement are recorded as reduction of revenue and are recorded based on the amount the marketing clients would ultimately need to spend to earn the corresponding level of rebates based on the historical spending patterns of the customers with similar arrangements. The rebates that we receive from publishers under the specified action arrangements are recorded as a reduction of cost of revenues. Similar to the cost-plus arrangement, these rebates under specified action arrangements are recognized when a particular milestone is achieved (i.e. applying the relevant rebates based on the level of spending threshold actually achieved) and spending has actually occurred.</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SaaS products offering</w:t>
      </w:r>
    </w:p>
    <w:p>
      <w:pPr>
        <w:spacing w:after="0" w:line="117" w:lineRule="exact"/>
        <w:rPr>
          <w:sz w:val="20"/>
          <w:szCs w:val="20"/>
          <w:color w:val="auto"/>
        </w:rPr>
      </w:pPr>
    </w:p>
    <w:p>
      <w:pPr>
        <w:ind w:right="300" w:firstLine="782"/>
        <w:spacing w:after="0" w:line="263" w:lineRule="auto"/>
        <w:rPr>
          <w:sz w:val="20"/>
          <w:szCs w:val="20"/>
          <w:color w:val="auto"/>
        </w:rPr>
      </w:pPr>
      <w:r>
        <w:rPr>
          <w:rFonts w:ascii="Arial" w:cs="Arial" w:eastAsia="Arial" w:hAnsi="Arial"/>
          <w:sz w:val="17"/>
          <w:szCs w:val="17"/>
          <w:color w:val="auto"/>
        </w:rPr>
        <w:t>Under this arrangement, we offer SaaS products which are cloud-hosted software offering enterprise solutions to customers through provision of software licenses and retail and CRM.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and maintenance services provided by us. Contracts with customers under this arrangement are generally with a term of 1 to 24 months.</w:t>
      </w:r>
    </w:p>
    <w:p>
      <w:pPr>
        <w:spacing w:after="0" w:line="178" w:lineRule="exact"/>
        <w:rPr>
          <w:sz w:val="20"/>
          <w:szCs w:val="20"/>
          <w:color w:val="auto"/>
        </w:rPr>
      </w:pPr>
    </w:p>
    <w:p>
      <w:pPr>
        <w:ind w:firstLine="782"/>
        <w:spacing w:after="0" w:line="265" w:lineRule="auto"/>
        <w:rPr>
          <w:sz w:val="20"/>
          <w:szCs w:val="20"/>
          <w:color w:val="auto"/>
        </w:rPr>
      </w:pPr>
      <w:r>
        <w:rPr>
          <w:rFonts w:ascii="Arial" w:cs="Arial" w:eastAsia="Arial" w:hAnsi="Arial"/>
          <w:sz w:val="17"/>
          <w:szCs w:val="17"/>
          <w:color w:val="auto"/>
        </w:rPr>
        <w:t>Revenues from licensing of existing cloud applications are generally recognized ratably over time over the contract term beginning on the date that the licensing service is made available to the customer, whereby we consider that our customers simultaneously receive and consume the benefits provided by the use of existing cloud applications. We do not have other right to consideration in exchange for goods or service that we have transferred to a customer when that right is conditioned on something other than the passage of time.</w:t>
      </w:r>
    </w:p>
    <w:p>
      <w:pPr>
        <w:spacing w:after="0" w:line="177" w:lineRule="exact"/>
        <w:rPr>
          <w:sz w:val="20"/>
          <w:szCs w:val="20"/>
          <w:color w:val="auto"/>
        </w:rPr>
      </w:pPr>
    </w:p>
    <w:p>
      <w:pPr>
        <w:jc w:val="both"/>
        <w:ind w:firstLine="782"/>
        <w:spacing w:after="0" w:line="323" w:lineRule="auto"/>
        <w:rPr>
          <w:sz w:val="20"/>
          <w:szCs w:val="20"/>
          <w:color w:val="auto"/>
        </w:rPr>
      </w:pPr>
      <w:r>
        <w:rPr>
          <w:rFonts w:ascii="Arial" w:cs="Arial" w:eastAsia="Arial" w:hAnsi="Arial"/>
          <w:sz w:val="15"/>
          <w:szCs w:val="15"/>
          <w:color w:val="auto"/>
        </w:rPr>
        <w:t>Revenues of developing new cloud applications exclusively customized for customers are recognized at point-in-time when we are able to deliver the cloud applications to customers. We consider the transfer of control of new cloud applications to customer, which represents a distinct performance obligation, to be completed when such cloud applications are on-premise and fully functional such that the customer can use and benefit from the cloud applications on its own.</w:t>
      </w:r>
    </w:p>
    <w:p>
      <w:pPr>
        <w:spacing w:after="0" w:line="136" w:lineRule="exact"/>
        <w:rPr>
          <w:sz w:val="20"/>
          <w:szCs w:val="20"/>
          <w:color w:val="auto"/>
        </w:rPr>
      </w:pPr>
    </w:p>
    <w:p>
      <w:pPr>
        <w:ind w:firstLine="782"/>
        <w:spacing w:after="0" w:line="265" w:lineRule="auto"/>
        <w:rPr>
          <w:sz w:val="20"/>
          <w:szCs w:val="20"/>
          <w:color w:val="auto"/>
        </w:rPr>
      </w:pPr>
      <w:r>
        <w:rPr>
          <w:rFonts w:ascii="Arial" w:cs="Arial" w:eastAsia="Arial" w:hAnsi="Arial"/>
          <w:sz w:val="17"/>
          <w:szCs w:val="17"/>
          <w:color w:val="auto"/>
        </w:rPr>
        <w:t>Besides, we also provide certain additional maintenance services along with the above arrangements of cloud application development and licensing, such as technical support and bug fixes. These additional maintenance services are considered to be a series of distinct services that are substantially the same and have the same duration and measure of progress; therefore, we conclude that they represent a separate combined performance obligation. Revenues from such additional maintenance services are recognized ratably over-time over the contract period.</w:t>
      </w:r>
    </w:p>
    <w:p>
      <w:pPr>
        <w:spacing w:after="0" w:line="177" w:lineRule="exact"/>
        <w:rPr>
          <w:sz w:val="20"/>
          <w:szCs w:val="20"/>
          <w:color w:val="auto"/>
        </w:rPr>
      </w:pPr>
    </w:p>
    <w:p>
      <w:pPr>
        <w:ind w:right="340" w:firstLine="782"/>
        <w:spacing w:after="0" w:line="319" w:lineRule="auto"/>
        <w:rPr>
          <w:sz w:val="20"/>
          <w:szCs w:val="20"/>
          <w:color w:val="auto"/>
        </w:rPr>
      </w:pPr>
      <w:r>
        <w:rPr>
          <w:rFonts w:ascii="Arial" w:cs="Arial" w:eastAsia="Arial" w:hAnsi="Arial"/>
          <w:sz w:val="16"/>
          <w:szCs w:val="16"/>
          <w:color w:val="auto"/>
        </w:rPr>
        <w:t>The respective stand-alone selling prices of each of the three performance obligations are determined based upon observable prices in stand-alone transactions and contractually stated price whereby no allocation of selling prices among individual performance obligations are required.</w:t>
      </w:r>
    </w:p>
    <w:p>
      <w:pPr>
        <w:spacing w:after="0" w:line="135" w:lineRule="exact"/>
        <w:rPr>
          <w:sz w:val="20"/>
          <w:szCs w:val="20"/>
          <w:color w:val="auto"/>
        </w:rPr>
      </w:pPr>
    </w:p>
    <w:p>
      <w:pPr>
        <w:ind w:right="120" w:firstLine="782"/>
        <w:spacing w:after="0" w:line="319" w:lineRule="auto"/>
        <w:rPr>
          <w:sz w:val="20"/>
          <w:szCs w:val="20"/>
          <w:color w:val="auto"/>
        </w:rPr>
      </w:pPr>
      <w:r>
        <w:rPr>
          <w:rFonts w:ascii="Arial" w:cs="Arial" w:eastAsia="Arial" w:hAnsi="Arial"/>
          <w:sz w:val="16"/>
          <w:szCs w:val="16"/>
          <w:color w:val="auto"/>
        </w:rPr>
        <w:t>Cost of revenues for SaaS products primarily comprises amortization expenses related to our computer software and systems, salaries and benefits of relevant operations and support personnel, depreciation of relevant property and equipment depreciation and other direct services costs.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i w:val="1"/>
          <w:iCs w:val="1"/>
          <w:color w:val="auto"/>
        </w:rPr>
        <w:t>Contract balances</w:t>
      </w:r>
    </w:p>
    <w:p>
      <w:pPr>
        <w:spacing w:after="0" w:line="117" w:lineRule="exact"/>
        <w:rPr>
          <w:sz w:val="20"/>
          <w:szCs w:val="20"/>
          <w:color w:val="auto"/>
        </w:rPr>
      </w:pPr>
    </w:p>
    <w:p>
      <w:pPr>
        <w:ind w:firstLine="782"/>
        <w:spacing w:after="0" w:line="263" w:lineRule="auto"/>
        <w:rPr>
          <w:sz w:val="20"/>
          <w:szCs w:val="20"/>
          <w:color w:val="auto"/>
        </w:rPr>
      </w:pPr>
      <w:r>
        <w:rPr>
          <w:rFonts w:ascii="Arial" w:cs="Arial" w:eastAsia="Arial" w:hAnsi="Arial"/>
          <w:sz w:val="17"/>
          <w:szCs w:val="17"/>
          <w:color w:val="auto"/>
        </w:rPr>
        <w:t>Timing of revenue recognition may differ from the timing of invoicing to customers. Accounts receivable represents amounts invoiced and revenue recognized prior to invoicing when we have satisfied our performance obligations and have the unconditional right to payment. The allowance for doubtful accounts is estimated based upon our assessment of various factors, including historical experience, the age of the accounts receivable balances, current economic conditions and other factors that may affect our customers’ ability to pay. We normally do not have contract assets, which are primarily unbilled accounts receivable that are conditional on something other than the passage of time.</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Deferred revenue represents contract liabilities which related to unsatisfied performance obligations at the end of the period.</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Due to the generally short-term duration of the contracts, the majority of the performance obligations are satisfied in the following reporting period.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Revenue recognized during the year ended December 31, 2019 relating to deferred revenue as of January 1, 2019 was US$15.8 million.</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Revenue recognized in the current period from performance obligations related to prior periods was not material.</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Practical Expedients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We have used the following practical expedients as allowed under ASC 606:</w:t>
      </w:r>
    </w:p>
    <w:p>
      <w:pPr>
        <w:spacing w:after="0" w:line="182" w:lineRule="exact"/>
        <w:rPr>
          <w:sz w:val="20"/>
          <w:szCs w:val="20"/>
          <w:color w:val="auto"/>
        </w:rPr>
      </w:pPr>
    </w:p>
    <w:p>
      <w:pPr>
        <w:ind w:left="1300" w:right="20" w:hanging="515"/>
        <w:spacing w:after="0" w:line="286" w:lineRule="auto"/>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transaction price allocated to the performance obligations that are unsatisfied, or partially unsatisfied, has not been disclosed as substantially all of our contracts have a duration of one year or less.</w:t>
      </w:r>
    </w:p>
    <w:p>
      <w:pPr>
        <w:spacing w:after="0" w:line="54" w:lineRule="exact"/>
        <w:rPr>
          <w:rFonts w:ascii="Arial" w:cs="Arial" w:eastAsia="Arial" w:hAnsi="Arial"/>
          <w:sz w:val="17"/>
          <w:szCs w:val="17"/>
          <w:color w:val="auto"/>
        </w:rPr>
      </w:pPr>
    </w:p>
    <w:p>
      <w:pPr>
        <w:ind w:left="1300" w:right="80" w:hanging="515"/>
        <w:spacing w:after="0" w:line="270" w:lineRule="auto"/>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Payment terms and conditions vary by contract type, although terms generally include a requirement of prepayment or payment within one year or less. In instances where the timing of revenue recognition differs from the timing of invoicing, we have determined that our contracts generally do not include a significant financing component.</w:t>
      </w:r>
    </w:p>
    <w:p>
      <w:pPr>
        <w:spacing w:after="0" w:line="68" w:lineRule="exact"/>
        <w:rPr>
          <w:rFonts w:ascii="Arial" w:cs="Arial" w:eastAsia="Arial" w:hAnsi="Arial"/>
          <w:sz w:val="17"/>
          <w:szCs w:val="17"/>
          <w:color w:val="auto"/>
        </w:rPr>
      </w:pPr>
    </w:p>
    <w:p>
      <w:pPr>
        <w:ind w:left="1300" w:right="300" w:hanging="515"/>
        <w:spacing w:after="0" w:line="286" w:lineRule="auto"/>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generally expense sales commissions when incurred because the amortization period would be one year or less. These costs are recorded within sales and marketing expenses.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Rebates</w:t>
      </w:r>
    </w:p>
    <w:p>
      <w:pPr>
        <w:spacing w:after="0" w:line="117" w:lineRule="exact"/>
        <w:rPr>
          <w:sz w:val="20"/>
          <w:szCs w:val="20"/>
          <w:color w:val="auto"/>
        </w:rPr>
      </w:pPr>
    </w:p>
    <w:p>
      <w:pPr>
        <w:jc w:val="both"/>
        <w:ind w:firstLine="782"/>
        <w:spacing w:after="0" w:line="300" w:lineRule="auto"/>
        <w:rPr>
          <w:sz w:val="20"/>
          <w:szCs w:val="20"/>
          <w:color w:val="auto"/>
        </w:rPr>
      </w:pPr>
      <w:r>
        <w:rPr>
          <w:rFonts w:ascii="Arial" w:cs="Arial" w:eastAsia="Arial" w:hAnsi="Arial"/>
          <w:sz w:val="15"/>
          <w:szCs w:val="15"/>
          <w:color w:val="auto"/>
        </w:rPr>
        <w:t>Throughout the various services delivered to our clients under the cost-plus and specified action arrangements, we earn rebates from our publishers and grant rebates to clients. The rebates we grant to clients under cost-plus/specified actions arrangement are recorded as reduction of revenue and are recorded based on the amount the marketing clients would ultimately need to spend to earn the corresponding level of rebates. We are also able to reasonably estimate the spending our customers can ultimately achieve based on the historical spending patterns of our customers with similar arrangements. The rebates we receive from our publishers under the specified action arrangements are recorded as reduction of cost of revenue, while under the cost-plus arrangements, they are recorded as revenue. These rebates are recognized when a particular milestone is achieved (i.e. applying the relevant rebates based on the level of spending threshold actually achieved) and spending has actually occurred. Furthermore, no rebates have been received from the publisher under the sales agent arrangements.</w:t>
      </w:r>
    </w:p>
    <w:p>
      <w:pPr>
        <w:spacing w:after="0" w:line="156" w:lineRule="exact"/>
        <w:rPr>
          <w:sz w:val="20"/>
          <w:szCs w:val="20"/>
          <w:color w:val="auto"/>
        </w:rPr>
      </w:pPr>
    </w:p>
    <w:p>
      <w:pPr>
        <w:jc w:val="both"/>
        <w:ind w:firstLine="782"/>
        <w:spacing w:after="0" w:line="356" w:lineRule="auto"/>
        <w:rPr>
          <w:sz w:val="20"/>
          <w:szCs w:val="20"/>
          <w:color w:val="auto"/>
        </w:rPr>
      </w:pPr>
      <w:r>
        <w:rPr>
          <w:rFonts w:ascii="Arial" w:cs="Arial" w:eastAsia="Arial" w:hAnsi="Arial"/>
          <w:sz w:val="15"/>
          <w:szCs w:val="15"/>
          <w:color w:val="auto"/>
        </w:rPr>
        <w:t>We grant rebates to our clients under sales agent arrangement. The majority of the clients under our sales agent arrangement are not our clients under either the cost-plus arrangement or specified action arrangement. We record rebates granted to clients under the sales agent arrangement as reduction of revenue.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Ordinary Shares, Preferred Shares, Share Options and Warrants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Preferred Shares</w:t>
      </w:r>
    </w:p>
    <w:p>
      <w:pPr>
        <w:spacing w:after="0" w:line="117" w:lineRule="exact"/>
        <w:rPr>
          <w:sz w:val="20"/>
          <w:szCs w:val="20"/>
          <w:color w:val="auto"/>
        </w:rPr>
      </w:pPr>
    </w:p>
    <w:p>
      <w:pPr>
        <w:jc w:val="both"/>
        <w:ind w:right="140" w:firstLine="782"/>
        <w:spacing w:after="0" w:line="270" w:lineRule="auto"/>
        <w:rPr>
          <w:sz w:val="20"/>
          <w:szCs w:val="20"/>
          <w:color w:val="auto"/>
        </w:rPr>
      </w:pPr>
      <w:r>
        <w:rPr>
          <w:rFonts w:ascii="Arial" w:cs="Arial" w:eastAsia="Arial" w:hAnsi="Arial"/>
          <w:sz w:val="17"/>
          <w:szCs w:val="17"/>
          <w:color w:val="auto"/>
        </w:rPr>
        <w:t>Prior to our initial public offering in December 2017, we were a private company with no quoted market prices for our ordinary shares. We therefore needed to make estimates of the fair value at various dates. In determining fair value of our preferred shares, we, with the assistance of independent appraisers, adopted a two-step method as follows:</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Step 1: to derive the fair value of total equity by adopting the discounted cash flow (“DCF”) Method;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9" w:name="page80"/>
    <w:bookmarkEnd w:id="79"/>
    <w:p>
      <w:pPr>
        <w:ind w:left="680"/>
        <w:spacing w:after="0"/>
        <w:rPr>
          <w:sz w:val="20"/>
          <w:szCs w:val="20"/>
          <w:color w:val="auto"/>
        </w:rPr>
      </w:pPr>
      <w:r>
        <w:rPr>
          <w:rFonts w:ascii="Arial" w:cs="Arial" w:eastAsia="Arial" w:hAnsi="Arial"/>
          <w:sz w:val="16"/>
          <w:szCs w:val="16"/>
          <w:color w:val="auto"/>
        </w:rPr>
        <w:t>Step 2: based on the total equity value derived in step 1, to derive the fair value of each class of shares by adopting equity allocation method.</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Factors, Assumptions, and Methodologies Used in Determining Fair Value of Total Equity</w:t>
      </w:r>
    </w:p>
    <w:p>
      <w:pPr>
        <w:spacing w:after="0" w:line="117" w:lineRule="exact"/>
        <w:rPr>
          <w:sz w:val="20"/>
          <w:szCs w:val="20"/>
          <w:color w:val="auto"/>
        </w:rPr>
      </w:pPr>
    </w:p>
    <w:p>
      <w:pPr>
        <w:ind w:firstLine="782"/>
        <w:spacing w:after="0" w:line="297" w:lineRule="auto"/>
        <w:rPr>
          <w:sz w:val="20"/>
          <w:szCs w:val="20"/>
          <w:color w:val="auto"/>
        </w:rPr>
      </w:pPr>
      <w:r>
        <w:rPr>
          <w:rFonts w:ascii="Arial" w:cs="Arial" w:eastAsia="Arial" w:hAnsi="Arial"/>
          <w:sz w:val="15"/>
          <w:szCs w:val="15"/>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60" w:lineRule="exact"/>
        <w:rPr>
          <w:sz w:val="20"/>
          <w:szCs w:val="20"/>
          <w:color w:val="auto"/>
        </w:rPr>
      </w:pPr>
    </w:p>
    <w:p>
      <w:pPr>
        <w:ind w:right="120" w:firstLine="782"/>
        <w:spacing w:after="0" w:line="261"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profit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table below sets forth the fair value of total equity as of March 31, 2017, June 30, 2017 and September 30, 2017,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26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 in millions</w:t>
            </w:r>
          </w:p>
        </w:tc>
      </w:tr>
      <w:tr>
        <w:trPr>
          <w:trHeight w:val="214"/>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March 31, 2017</w:t>
            </w:r>
          </w:p>
        </w:tc>
        <w:tc>
          <w:tcPr>
            <w:tcW w:w="19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514</w:t>
            </w:r>
          </w:p>
        </w:tc>
      </w:tr>
      <w:tr>
        <w:trPr>
          <w:trHeight w:val="221"/>
        </w:trPr>
        <w:tc>
          <w:tcPr>
            <w:tcW w:w="9260" w:type="dxa"/>
            <w:vAlign w:val="bottom"/>
          </w:tcPr>
          <w:p>
            <w:pPr>
              <w:spacing w:after="0"/>
              <w:rPr>
                <w:sz w:val="20"/>
                <w:szCs w:val="20"/>
                <w:color w:val="auto"/>
              </w:rPr>
            </w:pPr>
            <w:r>
              <w:rPr>
                <w:rFonts w:ascii="Arial" w:cs="Arial" w:eastAsia="Arial" w:hAnsi="Arial"/>
                <w:sz w:val="17"/>
                <w:szCs w:val="17"/>
                <w:color w:val="auto"/>
              </w:rPr>
              <w:t>June 30, 2017</w:t>
            </w:r>
          </w:p>
        </w:tc>
        <w:tc>
          <w:tcPr>
            <w:tcW w:w="1980" w:type="dxa"/>
            <w:vAlign w:val="bottom"/>
          </w:tcPr>
          <w:p>
            <w:pPr>
              <w:jc w:val="center"/>
              <w:spacing w:after="0"/>
              <w:rPr>
                <w:sz w:val="20"/>
                <w:szCs w:val="20"/>
                <w:color w:val="auto"/>
              </w:rPr>
            </w:pPr>
            <w:r>
              <w:rPr>
                <w:rFonts w:ascii="Arial" w:cs="Arial" w:eastAsia="Arial" w:hAnsi="Arial"/>
                <w:sz w:val="17"/>
                <w:szCs w:val="17"/>
                <w:color w:val="auto"/>
                <w:w w:val="91"/>
              </w:rPr>
              <w:t>566</w:t>
            </w:r>
          </w:p>
        </w:tc>
      </w:tr>
      <w:tr>
        <w:trPr>
          <w:trHeight w:val="221"/>
        </w:trPr>
        <w:tc>
          <w:tcPr>
            <w:tcW w:w="9260" w:type="dxa"/>
            <w:vAlign w:val="bottom"/>
            <w:shd w:val="clear" w:color="auto" w:fill="CFF0FC"/>
          </w:tcPr>
          <w:p>
            <w:pPr>
              <w:spacing w:after="0"/>
              <w:rPr>
                <w:sz w:val="20"/>
                <w:szCs w:val="20"/>
                <w:color w:val="auto"/>
              </w:rPr>
            </w:pPr>
            <w:r>
              <w:rPr>
                <w:rFonts w:ascii="Arial" w:cs="Arial" w:eastAsia="Arial" w:hAnsi="Arial"/>
                <w:sz w:val="17"/>
                <w:szCs w:val="17"/>
                <w:color w:val="auto"/>
              </w:rPr>
              <w:t>September 30, 2017</w:t>
            </w:r>
          </w:p>
        </w:tc>
        <w:tc>
          <w:tcPr>
            <w:tcW w:w="19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521</w:t>
            </w:r>
          </w:p>
        </w:tc>
      </w:tr>
    </w:tbl>
    <w:p>
      <w:pPr>
        <w:spacing w:after="0" w:line="24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other major assumptions used in calculating the fair value of total equity include:</w:t>
      </w:r>
    </w:p>
    <w:p>
      <w:pPr>
        <w:spacing w:after="0" w:line="221" w:lineRule="exact"/>
        <w:rPr>
          <w:sz w:val="20"/>
          <w:szCs w:val="20"/>
          <w:color w:val="auto"/>
        </w:rPr>
      </w:pPr>
    </w:p>
    <w:p>
      <w:pPr>
        <w:ind w:firstLine="782"/>
        <w:spacing w:after="0" w:line="263" w:lineRule="auto"/>
        <w:rPr>
          <w:sz w:val="20"/>
          <w:szCs w:val="20"/>
          <w:color w:val="auto"/>
        </w:rPr>
      </w:pPr>
      <w:r>
        <w:rPr>
          <w:rFonts w:ascii="Arial" w:cs="Arial" w:eastAsia="Arial" w:hAnsi="Arial"/>
          <w:sz w:val="17"/>
          <w:szCs w:val="17"/>
          <w:i w:val="1"/>
          <w:iCs w:val="1"/>
          <w:color w:val="auto"/>
        </w:rPr>
        <w:t xml:space="preserve">Weighted average cost of capital, or WACC. </w:t>
      </w:r>
      <w:r>
        <w:rPr>
          <w:rFonts w:ascii="Arial" w:cs="Arial" w:eastAsia="Arial" w:hAnsi="Arial"/>
          <w:sz w:val="17"/>
          <w:szCs w:val="17"/>
          <w:color w:val="auto"/>
        </w:rPr>
        <w:t>Our cash flows were discounted to present value using discount rates that reflect the risks the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18.0%, 17.8% and 18.2% for March 31, 2017, June 30, 2017 and September 30, 2017, respectively.</w:t>
      </w:r>
    </w:p>
    <w:p>
      <w:pPr>
        <w:spacing w:after="0" w:line="178" w:lineRule="exact"/>
        <w:rPr>
          <w:sz w:val="20"/>
          <w:szCs w:val="20"/>
          <w:color w:val="auto"/>
        </w:rPr>
      </w:pPr>
    </w:p>
    <w:p>
      <w:pPr>
        <w:ind w:right="160" w:firstLine="782"/>
        <w:spacing w:after="0" w:line="286" w:lineRule="auto"/>
        <w:rPr>
          <w:sz w:val="20"/>
          <w:szCs w:val="20"/>
          <w:color w:val="auto"/>
        </w:rPr>
      </w:pPr>
      <w:r>
        <w:rPr>
          <w:rFonts w:ascii="Arial" w:cs="Arial" w:eastAsia="Arial" w:hAnsi="Arial"/>
          <w:sz w:val="17"/>
          <w:szCs w:val="17"/>
          <w:i w:val="1"/>
          <w:iCs w:val="1"/>
          <w:color w:val="auto"/>
        </w:rPr>
        <w:t xml:space="preserve">Comparable companies. </w:t>
      </w:r>
      <w:r>
        <w:rPr>
          <w:rFonts w:ascii="Arial" w:cs="Arial" w:eastAsia="Arial" w:hAnsi="Arial"/>
          <w:sz w:val="17"/>
          <w:szCs w:val="17"/>
          <w:color w:val="auto"/>
        </w:rPr>
        <w:t>In deriving the WACCs, which are used as the discount rates under the income approach, four publicly traded companies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U.S. were selected for reference as our guideline companies.</w:t>
      </w:r>
    </w:p>
    <w:p>
      <w:pPr>
        <w:spacing w:after="0" w:line="159" w:lineRule="exact"/>
        <w:rPr>
          <w:sz w:val="20"/>
          <w:szCs w:val="20"/>
          <w:color w:val="auto"/>
        </w:rPr>
      </w:pPr>
    </w:p>
    <w:p>
      <w:pPr>
        <w:ind w:right="160" w:firstLine="782"/>
        <w:spacing w:after="0" w:line="263" w:lineRule="auto"/>
        <w:rPr>
          <w:sz w:val="20"/>
          <w:szCs w:val="20"/>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At the time of each issuance, we were a closely-held company and there was no public market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9.6%, 5.7% and 3.9% for March 31, 2017, June 30, 2017 and September 30, 2017, respectively.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i w:val="1"/>
          <w:iCs w:val="1"/>
          <w:color w:val="auto"/>
        </w:rPr>
        <w:t>Significant Factors Contributing to the Difference in Fair Value Determined of Total Equity</w:t>
      </w:r>
    </w:p>
    <w:p>
      <w:pPr>
        <w:spacing w:after="0" w:line="117" w:lineRule="exact"/>
        <w:rPr>
          <w:sz w:val="20"/>
          <w:szCs w:val="20"/>
          <w:color w:val="auto"/>
        </w:rPr>
      </w:pPr>
    </w:p>
    <w:p>
      <w:pPr>
        <w:ind w:right="240" w:firstLine="782"/>
        <w:spacing w:after="0" w:line="270" w:lineRule="auto"/>
        <w:rPr>
          <w:sz w:val="20"/>
          <w:szCs w:val="20"/>
          <w:color w:val="auto"/>
        </w:rPr>
      </w:pPr>
      <w:r>
        <w:rPr>
          <w:rFonts w:ascii="Arial" w:cs="Arial" w:eastAsia="Arial" w:hAnsi="Arial"/>
          <w:sz w:val="17"/>
          <w:szCs w:val="17"/>
          <w:color w:val="auto"/>
        </w:rPr>
        <w:t>The determined fair value of total equity was US$513.5 million as of March 31, 2017 and increased to US$566.2 million as of June 30, 2017, and decreased to US$520.8 million as of September 30, 2017. We believe the change in the fair value of our total equity was primarily attributable to the following factors:</w:t>
      </w:r>
    </w:p>
    <w:p>
      <w:pPr>
        <w:spacing w:after="0" w:line="134" w:lineRule="exact"/>
        <w:rPr>
          <w:sz w:val="20"/>
          <w:szCs w:val="20"/>
          <w:color w:val="auto"/>
        </w:rPr>
      </w:pPr>
    </w:p>
    <w:p>
      <w:pPr>
        <w:jc w:val="both"/>
        <w:ind w:right="280" w:firstLine="782"/>
        <w:spacing w:after="0" w:line="270" w:lineRule="auto"/>
        <w:rPr>
          <w:sz w:val="20"/>
          <w:szCs w:val="20"/>
          <w:color w:val="auto"/>
        </w:rPr>
      </w:pPr>
      <w:r>
        <w:rPr>
          <w:rFonts w:ascii="Arial" w:cs="Arial" w:eastAsia="Arial" w:hAnsi="Arial"/>
          <w:sz w:val="17"/>
          <w:szCs w:val="17"/>
          <w:color w:val="auto"/>
        </w:rPr>
        <w:t>The increase of equity value from March 2017 to June 2017 was attributed to the decrease in lack of marketability discount as a result of the closer timing of the expected initial public offering. The decrease from June 2017 was as a result of the increase in WACC and update on financial projections as of September 30, 2017 to align with our actual performance up to the Valuation Date.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Factors, Assumptions, and Methodologies Used in Determining Fair Value of Preferred Shares</w:t>
      </w:r>
    </w:p>
    <w:p>
      <w:pPr>
        <w:spacing w:after="0" w:line="117" w:lineRule="exact"/>
        <w:rPr>
          <w:sz w:val="20"/>
          <w:szCs w:val="20"/>
          <w:color w:val="auto"/>
        </w:rPr>
      </w:pPr>
    </w:p>
    <w:p>
      <w:pPr>
        <w:jc w:val="both"/>
        <w:ind w:right="360" w:firstLine="782"/>
        <w:spacing w:after="0" w:line="270" w:lineRule="auto"/>
        <w:rPr>
          <w:sz w:val="20"/>
          <w:szCs w:val="20"/>
          <w:color w:val="auto"/>
        </w:rPr>
      </w:pPr>
      <w:r>
        <w:rPr>
          <w:rFonts w:ascii="Arial" w:cs="Arial" w:eastAsia="Arial" w:hAnsi="Arial"/>
          <w:sz w:val="17"/>
          <w:szCs w:val="17"/>
          <w:color w:val="auto"/>
        </w:rPr>
        <w:t>Based on the total equity value as determined by step 1, we, with the assistance of independent appraisers, adopted the Equity Allocation Model, which was referenced to the “Practice Aid Valuation of Privately Held Company Equity Securities Issued as Compensation” issued by the AICPA in 2013, to allocate the equity value of the Company to different class of shares.</w:t>
      </w:r>
    </w:p>
    <w:p>
      <w:pPr>
        <w:spacing w:after="0" w:line="173" w:lineRule="exact"/>
        <w:rPr>
          <w:sz w:val="20"/>
          <w:szCs w:val="20"/>
          <w:color w:val="auto"/>
        </w:rPr>
      </w:pPr>
    </w:p>
    <w:p>
      <w:pPr>
        <w:jc w:val="both"/>
        <w:ind w:right="140" w:firstLine="782"/>
        <w:spacing w:after="0" w:line="323" w:lineRule="auto"/>
        <w:rPr>
          <w:sz w:val="20"/>
          <w:szCs w:val="20"/>
          <w:color w:val="auto"/>
        </w:rPr>
      </w:pPr>
      <w:r>
        <w:rPr>
          <w:rFonts w:ascii="Arial" w:cs="Arial" w:eastAsia="Arial" w:hAnsi="Arial"/>
          <w:sz w:val="15"/>
          <w:szCs w:val="15"/>
          <w:color w:val="auto"/>
        </w:rPr>
        <w:t>We have six classes of shares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36" w:lineRule="exact"/>
        <w:rPr>
          <w:sz w:val="20"/>
          <w:szCs w:val="20"/>
          <w:color w:val="auto"/>
        </w:rPr>
      </w:pPr>
    </w:p>
    <w:p>
      <w:pPr>
        <w:ind w:right="660" w:firstLine="782"/>
        <w:spacing w:after="0" w:line="356" w:lineRule="auto"/>
        <w:rPr>
          <w:sz w:val="20"/>
          <w:szCs w:val="20"/>
          <w:color w:val="auto"/>
        </w:rPr>
      </w:pPr>
      <w:r>
        <w:rPr>
          <w:rFonts w:ascii="Arial" w:cs="Arial" w:eastAsia="Arial" w:hAnsi="Arial"/>
          <w:sz w:val="15"/>
          <w:szCs w:val="15"/>
          <w:color w:val="auto"/>
        </w:rPr>
        <w:t>As mentioned in our amended and restated memorandum and articles of association, total equity value will be allocated to different classes of shareholders under three different scenarios, namely liquidation scenario, redemption scenario and conversion scenario (i.e. the IPO scenario).</w:t>
      </w:r>
    </w:p>
    <w:p>
      <w:pPr>
        <w:spacing w:after="0" w:line="113" w:lineRule="exact"/>
        <w:rPr>
          <w:sz w:val="20"/>
          <w:szCs w:val="20"/>
          <w:color w:val="auto"/>
        </w:rPr>
      </w:pPr>
    </w:p>
    <w:p>
      <w:pPr>
        <w:ind w:right="80" w:firstLine="782"/>
        <w:spacing w:after="0" w:line="286" w:lineRule="auto"/>
        <w:rPr>
          <w:sz w:val="20"/>
          <w:szCs w:val="20"/>
          <w:color w:val="auto"/>
        </w:rPr>
      </w:pPr>
      <w:r>
        <w:rPr>
          <w:rFonts w:ascii="Arial" w:cs="Arial" w:eastAsia="Arial" w:hAnsi="Arial"/>
          <w:sz w:val="17"/>
          <w:szCs w:val="17"/>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59" w:lineRule="exact"/>
        <w:rPr>
          <w:sz w:val="20"/>
          <w:szCs w:val="20"/>
          <w:color w:val="auto"/>
        </w:rPr>
      </w:pPr>
    </w:p>
    <w:p>
      <w:pPr>
        <w:ind w:right="320" w:firstLine="782"/>
        <w:spacing w:after="0" w:line="286" w:lineRule="auto"/>
        <w:rPr>
          <w:sz w:val="20"/>
          <w:szCs w:val="20"/>
          <w:color w:val="auto"/>
        </w:rPr>
      </w:pPr>
      <w:r>
        <w:rPr>
          <w:rFonts w:ascii="Arial" w:cs="Arial" w:eastAsia="Arial" w:hAnsi="Arial"/>
          <w:sz w:val="17"/>
          <w:szCs w:val="17"/>
          <w:color w:val="auto"/>
        </w:rPr>
        <w:t>The key assumptions used in the equity allocation model with contingent claim to allocate the total equity value under the liquidation scenario and redemption scenario include:</w:t>
      </w:r>
    </w:p>
    <w:p>
      <w:pPr>
        <w:spacing w:after="0" w:line="159" w:lineRule="exact"/>
        <w:rPr>
          <w:sz w:val="20"/>
          <w:szCs w:val="20"/>
          <w:color w:val="auto"/>
        </w:rPr>
      </w:pPr>
    </w:p>
    <w:p>
      <w:pPr>
        <w:ind w:left="1300" w:hanging="515"/>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Current equity value. </w:t>
      </w:r>
      <w:r>
        <w:rPr>
          <w:rFonts w:ascii="Arial" w:cs="Arial" w:eastAsia="Arial" w:hAnsi="Arial"/>
          <w:sz w:val="17"/>
          <w:szCs w:val="17"/>
          <w:color w:val="auto"/>
        </w:rPr>
        <w:t>Current equity value is determined as the total equity value derived by step 1;</w:t>
      </w:r>
    </w:p>
    <w:p>
      <w:pPr>
        <w:spacing w:after="0" w:line="116" w:lineRule="exact"/>
        <w:rPr>
          <w:rFonts w:ascii="Arial" w:cs="Arial" w:eastAsia="Arial" w:hAnsi="Arial"/>
          <w:sz w:val="17"/>
          <w:szCs w:val="17"/>
          <w:color w:val="auto"/>
        </w:rPr>
      </w:pPr>
    </w:p>
    <w:p>
      <w:pPr>
        <w:ind w:left="1300" w:hanging="515"/>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Life to expiration. </w:t>
      </w:r>
      <w:r>
        <w:rPr>
          <w:rFonts w:ascii="Arial" w:cs="Arial" w:eastAsia="Arial" w:hAnsi="Arial"/>
          <w:sz w:val="17"/>
          <w:szCs w:val="17"/>
          <w:color w:val="auto"/>
        </w:rPr>
        <w:t>Life to expiration is determined based on the remaining contractual life of each class of preferred shares;</w:t>
      </w:r>
    </w:p>
    <w:p>
      <w:pPr>
        <w:spacing w:after="0" w:line="116" w:lineRule="exact"/>
        <w:rPr>
          <w:rFonts w:ascii="Arial" w:cs="Arial" w:eastAsia="Arial" w:hAnsi="Arial"/>
          <w:sz w:val="17"/>
          <w:szCs w:val="17"/>
          <w:color w:val="auto"/>
        </w:rPr>
      </w:pPr>
    </w:p>
    <w:p>
      <w:pPr>
        <w:ind w:left="1300" w:right="140" w:hanging="515"/>
        <w:spacing w:after="0" w:line="286" w:lineRule="auto"/>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Risk free interest rate is determined based on the yield of U.S. Treasury Strips with a maturity life equal to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life to expiration; and</w:t>
      </w:r>
    </w:p>
    <w:p>
      <w:pPr>
        <w:spacing w:after="0" w:line="54" w:lineRule="exact"/>
        <w:rPr>
          <w:rFonts w:ascii="Arial" w:cs="Arial" w:eastAsia="Arial" w:hAnsi="Arial"/>
          <w:sz w:val="17"/>
          <w:szCs w:val="17"/>
          <w:color w:val="auto"/>
        </w:rPr>
      </w:pPr>
    </w:p>
    <w:p>
      <w:pPr>
        <w:ind w:left="1300" w:hanging="515"/>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volatility is determined based on our comparable companies.</w:t>
      </w:r>
    </w:p>
    <w:p>
      <w:pPr>
        <w:spacing w:after="0" w:line="221" w:lineRule="exact"/>
        <w:rPr>
          <w:sz w:val="20"/>
          <w:szCs w:val="20"/>
          <w:color w:val="auto"/>
        </w:rPr>
      </w:pPr>
    </w:p>
    <w:p>
      <w:pPr>
        <w:ind w:right="40" w:firstLine="782"/>
        <w:spacing w:after="0" w:line="295" w:lineRule="auto"/>
        <w:rPr>
          <w:sz w:val="20"/>
          <w:szCs w:val="20"/>
          <w:color w:val="auto"/>
        </w:rPr>
      </w:pPr>
      <w:r>
        <w:rPr>
          <w:rFonts w:ascii="Arial" w:cs="Arial" w:eastAsia="Arial" w:hAnsi="Arial"/>
          <w:sz w:val="16"/>
          <w:szCs w:val="16"/>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March 31, 2017, June 30, 2017 and September 30, 2017,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60" w:type="dxa"/>
            <w:vAlign w:val="bottom"/>
            <w:tcBorders>
              <w:bottom w:val="single" w:sz="8" w:color="CFF0FC"/>
            </w:tcBorders>
          </w:tcPr>
          <w:p>
            <w:pPr>
              <w:spacing w:after="0"/>
              <w:rPr>
                <w:sz w:val="14"/>
                <w:szCs w:val="14"/>
                <w:color w:val="auto"/>
              </w:rPr>
            </w:pPr>
          </w:p>
        </w:tc>
        <w:tc>
          <w:tcPr>
            <w:tcW w:w="308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Liquidation Scenario</w:t>
            </w:r>
          </w:p>
        </w:tc>
        <w:tc>
          <w:tcPr>
            <w:tcW w:w="3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Redemption Scenario</w:t>
            </w:r>
          </w:p>
        </w:tc>
        <w:tc>
          <w:tcPr>
            <w:tcW w:w="3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Conversion Scenario</w:t>
            </w:r>
          </w:p>
        </w:tc>
        <w:tc>
          <w:tcPr>
            <w:tcW w:w="16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March 31, 2017</w:t>
            </w:r>
          </w:p>
        </w:tc>
        <w:tc>
          <w:tcPr>
            <w:tcW w:w="30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32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92"/>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32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79"/>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90.0%</w:t>
            </w:r>
          </w:p>
        </w:tc>
        <w:tc>
          <w:tcPr>
            <w:tcW w:w="20" w:type="dxa"/>
            <w:vAlign w:val="bottom"/>
          </w:tcPr>
          <w:p>
            <w:pPr>
              <w:spacing w:after="0"/>
              <w:rPr>
                <w:sz w:val="18"/>
                <w:szCs w:val="18"/>
                <w:color w:val="auto"/>
              </w:rPr>
            </w:pPr>
          </w:p>
        </w:tc>
      </w:tr>
      <w:tr>
        <w:trPr>
          <w:trHeight w:val="221"/>
        </w:trPr>
        <w:tc>
          <w:tcPr>
            <w:tcW w:w="3460" w:type="dxa"/>
            <w:vAlign w:val="bottom"/>
          </w:tcPr>
          <w:p>
            <w:pPr>
              <w:spacing w:after="0"/>
              <w:rPr>
                <w:sz w:val="20"/>
                <w:szCs w:val="20"/>
                <w:color w:val="auto"/>
              </w:rPr>
            </w:pPr>
            <w:r>
              <w:rPr>
                <w:rFonts w:ascii="Arial" w:cs="Arial" w:eastAsia="Arial" w:hAnsi="Arial"/>
                <w:sz w:val="17"/>
                <w:szCs w:val="17"/>
                <w:color w:val="auto"/>
              </w:rPr>
              <w:t>June 30, 2017</w:t>
            </w:r>
          </w:p>
        </w:tc>
        <w:tc>
          <w:tcPr>
            <w:tcW w:w="4700" w:type="dxa"/>
            <w:vAlign w:val="bottom"/>
            <w:gridSpan w:val="3"/>
          </w:tcPr>
          <w:p>
            <w:pPr>
              <w:jc w:val="right"/>
              <w:ind w:right="73"/>
              <w:spacing w:after="0"/>
              <w:rPr>
                <w:sz w:val="20"/>
                <w:szCs w:val="20"/>
                <w:color w:val="auto"/>
              </w:rPr>
            </w:pPr>
            <w:r>
              <w:rPr>
                <w:rFonts w:ascii="Arial" w:cs="Arial" w:eastAsia="Arial" w:hAnsi="Arial"/>
                <w:sz w:val="17"/>
                <w:szCs w:val="17"/>
                <w:color w:val="auto"/>
              </w:rPr>
              <w:t>5.0%</w:t>
            </w:r>
          </w:p>
        </w:tc>
        <w:tc>
          <w:tcPr>
            <w:tcW w:w="1620" w:type="dxa"/>
            <w:vAlign w:val="bottom"/>
            <w:gridSpan w:val="2"/>
          </w:tcPr>
          <w:p>
            <w:pPr>
              <w:jc w:val="right"/>
              <w:ind w:right="93"/>
              <w:spacing w:after="0"/>
              <w:rPr>
                <w:sz w:val="20"/>
                <w:szCs w:val="20"/>
                <w:color w:val="auto"/>
              </w:rPr>
            </w:pPr>
            <w:r>
              <w:rPr>
                <w:rFonts w:ascii="Arial" w:cs="Arial" w:eastAsia="Arial" w:hAnsi="Arial"/>
                <w:sz w:val="17"/>
                <w:szCs w:val="17"/>
                <w:color w:val="auto"/>
              </w:rPr>
              <w:t>5.0%</w:t>
            </w: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90.0%</w:t>
            </w:r>
          </w:p>
        </w:tc>
        <w:tc>
          <w:tcPr>
            <w:tcW w:w="20" w:type="dxa"/>
            <w:vAlign w:val="bottom"/>
          </w:tcPr>
          <w:p>
            <w:pPr>
              <w:spacing w:after="0"/>
              <w:rPr>
                <w:sz w:val="19"/>
                <w:szCs w:val="19"/>
                <w:color w:val="auto"/>
              </w:rPr>
            </w:pPr>
          </w:p>
        </w:tc>
      </w:tr>
      <w:tr>
        <w:trPr>
          <w:trHeight w:val="221"/>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September 30, 2017</w:t>
            </w:r>
          </w:p>
        </w:tc>
        <w:tc>
          <w:tcPr>
            <w:tcW w:w="4700" w:type="dxa"/>
            <w:vAlign w:val="bottom"/>
            <w:gridSpan w:val="3"/>
            <w:shd w:val="clear" w:color="auto" w:fill="CFF0FC"/>
          </w:tcPr>
          <w:p>
            <w:pPr>
              <w:jc w:val="right"/>
              <w:ind w:right="73"/>
              <w:spacing w:after="0"/>
              <w:rPr>
                <w:sz w:val="20"/>
                <w:szCs w:val="20"/>
                <w:color w:val="auto"/>
              </w:rPr>
            </w:pPr>
            <w:r>
              <w:rPr>
                <w:rFonts w:ascii="Arial" w:cs="Arial" w:eastAsia="Arial" w:hAnsi="Arial"/>
                <w:sz w:val="17"/>
                <w:szCs w:val="17"/>
                <w:color w:val="auto"/>
              </w:rPr>
              <w:t>5.0%</w:t>
            </w:r>
          </w:p>
        </w:tc>
        <w:tc>
          <w:tcPr>
            <w:tcW w:w="1620" w:type="dxa"/>
            <w:vAlign w:val="bottom"/>
            <w:gridSpan w:val="2"/>
            <w:shd w:val="clear" w:color="auto" w:fill="CFF0FC"/>
          </w:tcPr>
          <w:p>
            <w:pPr>
              <w:jc w:val="right"/>
              <w:ind w:right="93"/>
              <w:spacing w:after="0"/>
              <w:rPr>
                <w:sz w:val="20"/>
                <w:szCs w:val="20"/>
                <w:color w:val="auto"/>
              </w:rPr>
            </w:pPr>
            <w:r>
              <w:rPr>
                <w:rFonts w:ascii="Arial" w:cs="Arial" w:eastAsia="Arial" w:hAnsi="Arial"/>
                <w:sz w:val="17"/>
                <w:szCs w:val="17"/>
                <w:color w:val="auto"/>
              </w:rPr>
              <w:t>5.0%</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90.0%</w:t>
            </w:r>
          </w:p>
        </w:tc>
        <w:tc>
          <w:tcPr>
            <w:tcW w:w="20" w:type="dxa"/>
            <w:vAlign w:val="bottom"/>
          </w:tcPr>
          <w:p>
            <w:pPr>
              <w:spacing w:after="0"/>
              <w:rPr>
                <w:sz w:val="19"/>
                <w:szCs w:val="19"/>
                <w:color w:val="auto"/>
              </w:rPr>
            </w:pPr>
          </w:p>
        </w:tc>
      </w:tr>
      <w:tr>
        <w:trPr>
          <w:trHeight w:val="637"/>
        </w:trPr>
        <w:tc>
          <w:tcPr>
            <w:tcW w:w="3460" w:type="dxa"/>
            <w:vAlign w:val="bottom"/>
          </w:tcPr>
          <w:p>
            <w:pPr>
              <w:spacing w:after="0"/>
              <w:rPr>
                <w:sz w:val="24"/>
                <w:szCs w:val="24"/>
                <w:color w:val="auto"/>
              </w:rPr>
            </w:pPr>
          </w:p>
        </w:tc>
        <w:tc>
          <w:tcPr>
            <w:tcW w:w="3080" w:type="dxa"/>
            <w:vAlign w:val="bottom"/>
          </w:tcPr>
          <w:p>
            <w:pPr>
              <w:jc w:val="right"/>
              <w:ind w:right="733"/>
              <w:spacing w:after="0"/>
              <w:rPr>
                <w:sz w:val="20"/>
                <w:szCs w:val="20"/>
                <w:color w:val="auto"/>
              </w:rPr>
            </w:pPr>
            <w:r>
              <w:rPr>
                <w:rFonts w:ascii="Arial" w:cs="Arial" w:eastAsia="Arial" w:hAnsi="Arial"/>
                <w:sz w:val="17"/>
                <w:szCs w:val="17"/>
                <w:color w:val="auto"/>
              </w:rPr>
              <w:t>79</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346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1" w:name="page82"/>
    <w:bookmarkEnd w:id="81"/>
    <w:p>
      <w:pPr>
        <w:ind w:right="600" w:firstLine="782"/>
        <w:spacing w:after="0" w:line="286" w:lineRule="auto"/>
        <w:rPr>
          <w:sz w:val="20"/>
          <w:szCs w:val="20"/>
          <w:color w:val="auto"/>
        </w:rPr>
      </w:pPr>
      <w:r>
        <w:rPr>
          <w:rFonts w:ascii="Arial" w:cs="Arial" w:eastAsia="Arial" w:hAnsi="Arial"/>
          <w:sz w:val="17"/>
          <w:szCs w:val="17"/>
          <w:color w:val="auto"/>
        </w:rPr>
        <w:t>The table below sets forth the fair value of ordinary shares and preferred shares as of March 31, 2017, June 30, 2017 and September 30, 2017,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jc w:val="right"/>
              <w:ind w:right="382"/>
              <w:spacing w:after="0"/>
              <w:rPr>
                <w:sz w:val="20"/>
                <w:szCs w:val="20"/>
                <w:color w:val="auto"/>
              </w:rPr>
            </w:pPr>
            <w:r>
              <w:rPr>
                <w:rFonts w:ascii="Arial" w:cs="Arial" w:eastAsia="Arial" w:hAnsi="Arial"/>
                <w:sz w:val="14"/>
                <w:szCs w:val="14"/>
                <w:b w:val="1"/>
                <w:bCs w:val="1"/>
                <w:color w:val="auto"/>
              </w:rPr>
              <w:t>Preferred Shares</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91"/>
              </w:rPr>
              <w:t>Ordinary Shares</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Series - A</w:t>
            </w:r>
          </w:p>
        </w:tc>
        <w:tc>
          <w:tcPr>
            <w:tcW w:w="1060" w:type="dxa"/>
            <w:vAlign w:val="bottom"/>
            <w:tcBorders>
              <w:bottom w:val="single" w:sz="8" w:color="auto"/>
            </w:tcBorders>
          </w:tcPr>
          <w:p>
            <w:pPr>
              <w:jc w:val="center"/>
              <w:ind w:left="138"/>
              <w:spacing w:after="0" w:line="149" w:lineRule="exact"/>
              <w:rPr>
                <w:sz w:val="20"/>
                <w:szCs w:val="20"/>
                <w:color w:val="auto"/>
              </w:rPr>
            </w:pPr>
            <w:r>
              <w:rPr>
                <w:rFonts w:ascii="Arial" w:cs="Arial" w:eastAsia="Arial" w:hAnsi="Arial"/>
                <w:sz w:val="14"/>
                <w:szCs w:val="14"/>
                <w:b w:val="1"/>
                <w:bCs w:val="1"/>
                <w:color w:val="auto"/>
                <w:w w:val="86"/>
              </w:rPr>
              <w:t>Series - B</w:t>
            </w:r>
          </w:p>
        </w:tc>
        <w:tc>
          <w:tcPr>
            <w:tcW w:w="1620" w:type="dxa"/>
            <w:vAlign w:val="bottom"/>
            <w:tcBorders>
              <w:bottom w:val="single" w:sz="8" w:color="auto"/>
            </w:tcBorders>
          </w:tcPr>
          <w:p>
            <w:pPr>
              <w:jc w:val="right"/>
              <w:ind w:right="362"/>
              <w:spacing w:after="0" w:line="149" w:lineRule="exact"/>
              <w:rPr>
                <w:sz w:val="20"/>
                <w:szCs w:val="20"/>
                <w:color w:val="auto"/>
              </w:rPr>
            </w:pPr>
            <w:r>
              <w:rPr>
                <w:rFonts w:ascii="Arial" w:cs="Arial" w:eastAsia="Arial" w:hAnsi="Arial"/>
                <w:sz w:val="14"/>
                <w:szCs w:val="14"/>
                <w:b w:val="1"/>
                <w:bCs w:val="1"/>
                <w:color w:val="auto"/>
              </w:rPr>
              <w:t>Series - C</w:t>
            </w:r>
          </w:p>
        </w:tc>
        <w:tc>
          <w:tcPr>
            <w:tcW w:w="940" w:type="dxa"/>
            <w:vAlign w:val="bottom"/>
            <w:tcBorders>
              <w:bottom w:val="single" w:sz="8" w:color="auto"/>
            </w:tcBorders>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Series - D</w:t>
            </w:r>
          </w:p>
        </w:tc>
        <w:tc>
          <w:tcPr>
            <w:tcW w:w="10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Series - E</w:t>
            </w:r>
          </w:p>
        </w:tc>
        <w:tc>
          <w:tcPr>
            <w:tcW w:w="1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60" w:type="dxa"/>
            <w:vAlign w:val="bottom"/>
            <w:gridSpan w:val="2"/>
          </w:tcPr>
          <w:p>
            <w:pPr>
              <w:ind w:left="820"/>
              <w:spacing w:after="0" w:line="149" w:lineRule="exact"/>
              <w:rPr>
                <w:sz w:val="20"/>
                <w:szCs w:val="20"/>
                <w:color w:val="auto"/>
              </w:rPr>
            </w:pPr>
            <w:r>
              <w:rPr>
                <w:rFonts w:ascii="Arial" w:cs="Arial" w:eastAsia="Arial" w:hAnsi="Arial"/>
                <w:sz w:val="14"/>
                <w:szCs w:val="14"/>
                <w:b w:val="1"/>
                <w:bCs w:val="1"/>
                <w:color w:val="auto"/>
              </w:rPr>
              <w:t>(US$ in millions)</w:t>
            </w: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March 31, 2017</w:t>
            </w:r>
          </w:p>
        </w:tc>
        <w:tc>
          <w:tcPr>
            <w:tcW w:w="12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49</w:t>
            </w:r>
          </w:p>
        </w:tc>
        <w:tc>
          <w:tcPr>
            <w:tcW w:w="1060" w:type="dxa"/>
            <w:vAlign w:val="bottom"/>
            <w:shd w:val="clear" w:color="auto" w:fill="CFF0FC"/>
          </w:tcPr>
          <w:p>
            <w:pPr>
              <w:jc w:val="center"/>
              <w:ind w:left="158"/>
              <w:spacing w:after="0"/>
              <w:rPr>
                <w:sz w:val="20"/>
                <w:szCs w:val="20"/>
                <w:color w:val="auto"/>
              </w:rPr>
            </w:pPr>
            <w:r>
              <w:rPr>
                <w:rFonts w:ascii="Arial" w:cs="Arial" w:eastAsia="Arial" w:hAnsi="Arial"/>
                <w:sz w:val="17"/>
                <w:szCs w:val="17"/>
                <w:color w:val="auto"/>
                <w:w w:val="94"/>
              </w:rPr>
              <w:t>37</w:t>
            </w:r>
          </w:p>
        </w:tc>
        <w:tc>
          <w:tcPr>
            <w:tcW w:w="16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32</w:t>
            </w:r>
          </w:p>
        </w:tc>
        <w:tc>
          <w:tcPr>
            <w:tcW w:w="940" w:type="dxa"/>
            <w:vAlign w:val="bottom"/>
            <w:shd w:val="clear" w:color="auto" w:fill="CFF0FC"/>
          </w:tcPr>
          <w:p>
            <w:pPr>
              <w:jc w:val="center"/>
              <w:ind w:right="58"/>
              <w:spacing w:after="0"/>
              <w:rPr>
                <w:sz w:val="20"/>
                <w:szCs w:val="20"/>
                <w:color w:val="auto"/>
              </w:rPr>
            </w:pPr>
            <w:r>
              <w:rPr>
                <w:rFonts w:ascii="Arial" w:cs="Arial" w:eastAsia="Arial" w:hAnsi="Arial"/>
                <w:sz w:val="17"/>
                <w:szCs w:val="17"/>
                <w:color w:val="auto"/>
                <w:w w:val="84"/>
              </w:rPr>
              <w:t>54</w:t>
            </w:r>
          </w:p>
        </w:tc>
        <w:tc>
          <w:tcPr>
            <w:tcW w:w="10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23</w:t>
            </w:r>
          </w:p>
        </w:tc>
        <w:tc>
          <w:tcPr>
            <w:tcW w:w="1340" w:type="dxa"/>
            <w:vAlign w:val="bottom"/>
            <w:shd w:val="clear" w:color="auto" w:fill="CFF0FC"/>
          </w:tcPr>
          <w:p>
            <w:pPr>
              <w:jc w:val="center"/>
              <w:ind w:left="38"/>
              <w:spacing w:after="0"/>
              <w:rPr>
                <w:sz w:val="20"/>
                <w:szCs w:val="20"/>
                <w:color w:val="auto"/>
              </w:rPr>
            </w:pPr>
            <w:r>
              <w:rPr>
                <w:rFonts w:ascii="Arial" w:cs="Arial" w:eastAsia="Arial" w:hAnsi="Arial"/>
                <w:sz w:val="17"/>
                <w:szCs w:val="17"/>
                <w:color w:val="auto"/>
                <w:w w:val="91"/>
              </w:rPr>
              <w:t>327</w:t>
            </w:r>
          </w:p>
        </w:tc>
        <w:tc>
          <w:tcPr>
            <w:tcW w:w="0" w:type="dxa"/>
            <w:vAlign w:val="bottom"/>
          </w:tcPr>
          <w:p>
            <w:pPr>
              <w:spacing w:after="0"/>
              <w:rPr>
                <w:sz w:val="1"/>
                <w:szCs w:val="1"/>
                <w:color w:val="auto"/>
              </w:rPr>
            </w:pPr>
          </w:p>
        </w:tc>
      </w:tr>
      <w:tr>
        <w:trPr>
          <w:trHeight w:val="221"/>
        </w:trPr>
        <w:tc>
          <w:tcPr>
            <w:tcW w:w="3980" w:type="dxa"/>
            <w:vAlign w:val="bottom"/>
          </w:tcPr>
          <w:p>
            <w:pPr>
              <w:spacing w:after="0"/>
              <w:rPr>
                <w:sz w:val="20"/>
                <w:szCs w:val="20"/>
                <w:color w:val="auto"/>
              </w:rPr>
            </w:pPr>
            <w:r>
              <w:rPr>
                <w:rFonts w:ascii="Arial" w:cs="Arial" w:eastAsia="Arial" w:hAnsi="Arial"/>
                <w:sz w:val="17"/>
                <w:szCs w:val="17"/>
                <w:color w:val="auto"/>
              </w:rPr>
              <w:t>June 30, 2017</w:t>
            </w: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54</w:t>
            </w:r>
          </w:p>
        </w:tc>
        <w:tc>
          <w:tcPr>
            <w:tcW w:w="1060" w:type="dxa"/>
            <w:vAlign w:val="bottom"/>
          </w:tcPr>
          <w:p>
            <w:pPr>
              <w:jc w:val="center"/>
              <w:ind w:left="158"/>
              <w:spacing w:after="0"/>
              <w:rPr>
                <w:sz w:val="20"/>
                <w:szCs w:val="20"/>
                <w:color w:val="auto"/>
              </w:rPr>
            </w:pPr>
            <w:r>
              <w:rPr>
                <w:rFonts w:ascii="Arial" w:cs="Arial" w:eastAsia="Arial" w:hAnsi="Arial"/>
                <w:sz w:val="17"/>
                <w:szCs w:val="17"/>
                <w:color w:val="auto"/>
                <w:w w:val="94"/>
              </w:rPr>
              <w:t>41</w:t>
            </w:r>
          </w:p>
        </w:tc>
        <w:tc>
          <w:tcPr>
            <w:tcW w:w="1620" w:type="dxa"/>
            <w:vAlign w:val="bottom"/>
          </w:tcPr>
          <w:p>
            <w:pPr>
              <w:jc w:val="right"/>
              <w:ind w:right="42"/>
              <w:spacing w:after="0"/>
              <w:rPr>
                <w:sz w:val="20"/>
                <w:szCs w:val="20"/>
                <w:color w:val="auto"/>
              </w:rPr>
            </w:pPr>
            <w:r>
              <w:rPr>
                <w:rFonts w:ascii="Arial" w:cs="Arial" w:eastAsia="Arial" w:hAnsi="Arial"/>
                <w:sz w:val="17"/>
                <w:szCs w:val="17"/>
                <w:color w:val="auto"/>
              </w:rPr>
              <w:t>35</w:t>
            </w:r>
          </w:p>
        </w:tc>
        <w:tc>
          <w:tcPr>
            <w:tcW w:w="940" w:type="dxa"/>
            <w:vAlign w:val="bottom"/>
          </w:tcPr>
          <w:p>
            <w:pPr>
              <w:jc w:val="center"/>
              <w:ind w:right="58"/>
              <w:spacing w:after="0"/>
              <w:rPr>
                <w:sz w:val="20"/>
                <w:szCs w:val="20"/>
                <w:color w:val="auto"/>
              </w:rPr>
            </w:pPr>
            <w:r>
              <w:rPr>
                <w:rFonts w:ascii="Arial" w:cs="Arial" w:eastAsia="Arial" w:hAnsi="Arial"/>
                <w:sz w:val="17"/>
                <w:szCs w:val="17"/>
                <w:color w:val="auto"/>
                <w:w w:val="84"/>
              </w:rPr>
              <w:t>58</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25</w:t>
            </w:r>
          </w:p>
        </w:tc>
        <w:tc>
          <w:tcPr>
            <w:tcW w:w="1340" w:type="dxa"/>
            <w:vAlign w:val="bottom"/>
          </w:tcPr>
          <w:p>
            <w:pPr>
              <w:jc w:val="center"/>
              <w:ind w:left="38"/>
              <w:spacing w:after="0"/>
              <w:rPr>
                <w:sz w:val="20"/>
                <w:szCs w:val="20"/>
                <w:color w:val="auto"/>
              </w:rPr>
            </w:pPr>
            <w:r>
              <w:rPr>
                <w:rFonts w:ascii="Arial" w:cs="Arial" w:eastAsia="Arial" w:hAnsi="Arial"/>
                <w:sz w:val="17"/>
                <w:szCs w:val="17"/>
                <w:color w:val="auto"/>
                <w:w w:val="91"/>
              </w:rPr>
              <w:t>361</w:t>
            </w:r>
          </w:p>
        </w:tc>
        <w:tc>
          <w:tcPr>
            <w:tcW w:w="0" w:type="dxa"/>
            <w:vAlign w:val="bottom"/>
          </w:tcPr>
          <w:p>
            <w:pPr>
              <w:spacing w:after="0"/>
              <w:rPr>
                <w:sz w:val="1"/>
                <w:szCs w:val="1"/>
                <w:color w:val="auto"/>
              </w:rPr>
            </w:pPr>
          </w:p>
        </w:tc>
      </w:tr>
      <w:tr>
        <w:trPr>
          <w:trHeight w:val="221"/>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September 30, 2017</w:t>
            </w:r>
          </w:p>
        </w:tc>
        <w:tc>
          <w:tcPr>
            <w:tcW w:w="12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49</w:t>
            </w:r>
          </w:p>
        </w:tc>
        <w:tc>
          <w:tcPr>
            <w:tcW w:w="1060" w:type="dxa"/>
            <w:vAlign w:val="bottom"/>
            <w:shd w:val="clear" w:color="auto" w:fill="CFF0FC"/>
          </w:tcPr>
          <w:p>
            <w:pPr>
              <w:jc w:val="center"/>
              <w:ind w:left="158"/>
              <w:spacing w:after="0"/>
              <w:rPr>
                <w:sz w:val="20"/>
                <w:szCs w:val="20"/>
                <w:color w:val="auto"/>
              </w:rPr>
            </w:pPr>
            <w:r>
              <w:rPr>
                <w:rFonts w:ascii="Arial" w:cs="Arial" w:eastAsia="Arial" w:hAnsi="Arial"/>
                <w:sz w:val="17"/>
                <w:szCs w:val="17"/>
                <w:color w:val="auto"/>
                <w:w w:val="94"/>
              </w:rPr>
              <w:t>38</w:t>
            </w:r>
          </w:p>
        </w:tc>
        <w:tc>
          <w:tcPr>
            <w:tcW w:w="16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32</w:t>
            </w:r>
          </w:p>
        </w:tc>
        <w:tc>
          <w:tcPr>
            <w:tcW w:w="940" w:type="dxa"/>
            <w:vAlign w:val="bottom"/>
            <w:shd w:val="clear" w:color="auto" w:fill="CFF0FC"/>
          </w:tcPr>
          <w:p>
            <w:pPr>
              <w:jc w:val="center"/>
              <w:ind w:right="58"/>
              <w:spacing w:after="0"/>
              <w:rPr>
                <w:sz w:val="20"/>
                <w:szCs w:val="20"/>
                <w:color w:val="auto"/>
              </w:rPr>
            </w:pPr>
            <w:r>
              <w:rPr>
                <w:rFonts w:ascii="Arial" w:cs="Arial" w:eastAsia="Arial" w:hAnsi="Arial"/>
                <w:sz w:val="17"/>
                <w:szCs w:val="17"/>
                <w:color w:val="auto"/>
                <w:w w:val="84"/>
              </w:rPr>
              <w:t>54</w:t>
            </w:r>
          </w:p>
        </w:tc>
        <w:tc>
          <w:tcPr>
            <w:tcW w:w="10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23</w:t>
            </w:r>
          </w:p>
        </w:tc>
        <w:tc>
          <w:tcPr>
            <w:tcW w:w="1340" w:type="dxa"/>
            <w:vAlign w:val="bottom"/>
            <w:shd w:val="clear" w:color="auto" w:fill="CFF0FC"/>
          </w:tcPr>
          <w:p>
            <w:pPr>
              <w:jc w:val="center"/>
              <w:ind w:left="38"/>
              <w:spacing w:after="0"/>
              <w:rPr>
                <w:sz w:val="20"/>
                <w:szCs w:val="20"/>
                <w:color w:val="auto"/>
              </w:rPr>
            </w:pPr>
            <w:r>
              <w:rPr>
                <w:rFonts w:ascii="Arial" w:cs="Arial" w:eastAsia="Arial" w:hAnsi="Arial"/>
                <w:sz w:val="17"/>
                <w:szCs w:val="17"/>
                <w:color w:val="auto"/>
                <w:w w:val="91"/>
              </w:rPr>
              <w:t>333</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00" w:firstLine="782"/>
        <w:spacing w:after="0" w:line="259" w:lineRule="auto"/>
        <w:rPr>
          <w:sz w:val="20"/>
          <w:szCs w:val="20"/>
          <w:color w:val="auto"/>
        </w:rPr>
      </w:pPr>
      <w:r>
        <w:rPr>
          <w:rFonts w:ascii="Arial" w:cs="Arial" w:eastAsia="Arial" w:hAnsi="Arial"/>
          <w:sz w:val="17"/>
          <w:szCs w:val="17"/>
          <w:color w:val="auto"/>
        </w:rPr>
        <w:t>We grant share options and restricted share units (“RSUs”) to eligible employees and account for these share-based awards in accordance with ASC 718 Compensation Stock Compensation. Effective January 1, 2019, we adopted ASU No. 2018-07, Compensation—Stock Compensation (Topic 718): Improvements to Nonemployee Share-Based Payment Accounting (“ASU 2018-07”), which expands the scope of Topic 718 to include share-based payment awards to nonemployees. As a result, share-based awards granted to consultants and non-employees are accounted for in the same manner as awards granted to employees as described above. The impact of adoption of this new guidance did not have a material impact on our consolidated financial statements. Prior to the adoption of ASU 2018-07, for share-based awards granted to non-employees, we accounted for the related share-based compensation expenses in accordance with ASC subtopic, 505-50 (“ASC 505-50”), “Equity-Based Payments to Non-Employees.” Under the provision of ASC 505-50, these options, RSUs and warrants are measured as of the earlier of the date at which either: (1) commitment for performance by the non-employee has been reached; or (2) the non-employee’s performance is complete.</w:t>
      </w:r>
    </w:p>
    <w:p>
      <w:pPr>
        <w:spacing w:after="0" w:line="183" w:lineRule="exact"/>
        <w:rPr>
          <w:sz w:val="20"/>
          <w:szCs w:val="20"/>
          <w:color w:val="auto"/>
        </w:rPr>
      </w:pPr>
    </w:p>
    <w:p>
      <w:pPr>
        <w:ind w:firstLine="782"/>
        <w:spacing w:after="0" w:line="279" w:lineRule="auto"/>
        <w:rPr>
          <w:sz w:val="20"/>
          <w:szCs w:val="20"/>
          <w:color w:val="auto"/>
        </w:rPr>
      </w:pPr>
      <w:r>
        <w:rPr>
          <w:rFonts w:ascii="Arial" w:cs="Arial" w:eastAsia="Arial" w:hAnsi="Arial"/>
          <w:sz w:val="16"/>
          <w:szCs w:val="16"/>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share options and warrants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binomial option pricing model is used to determine the fair value of the share options and warrants granted to employees and non- employees.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fair values of share options granted/ modified during the years ended December 31, 2017, 2018 and 2019 were estimated using the following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Granted during the years ended December 31, 2017 and 2019</w:t>
            </w:r>
          </w:p>
        </w:tc>
        <w:tc>
          <w:tcPr>
            <w:tcW w:w="120" w:type="dxa"/>
            <w:vAlign w:val="bottom"/>
            <w:vMerge w:val="restart"/>
          </w:tcPr>
          <w:p>
            <w:pPr>
              <w:spacing w:after="0"/>
              <w:rPr>
                <w:sz w:val="14"/>
                <w:szCs w:val="14"/>
                <w:color w:val="auto"/>
              </w:rPr>
            </w:pPr>
          </w:p>
        </w:tc>
        <w:tc>
          <w:tcPr>
            <w:tcW w:w="1440" w:type="dxa"/>
            <w:vAlign w:val="bottom"/>
            <w:gridSpan w:val="2"/>
          </w:tcPr>
          <w:p>
            <w:pPr>
              <w:jc w:val="right"/>
              <w:ind w:right="513"/>
              <w:spacing w:after="0"/>
              <w:rPr>
                <w:sz w:val="20"/>
                <w:szCs w:val="20"/>
                <w:color w:val="auto"/>
              </w:rPr>
            </w:pPr>
            <w:r>
              <w:rPr>
                <w:rFonts w:ascii="Arial" w:cs="Arial" w:eastAsia="Arial" w:hAnsi="Arial"/>
                <w:sz w:val="14"/>
                <w:szCs w:val="14"/>
                <w:b w:val="1"/>
                <w:bCs w:val="1"/>
                <w:color w:val="auto"/>
              </w:rPr>
              <w:t>Risk-free</w:t>
            </w:r>
          </w:p>
        </w:tc>
        <w:tc>
          <w:tcPr>
            <w:tcW w:w="1420" w:type="dxa"/>
            <w:vAlign w:val="bottom"/>
            <w:gridSpan w:val="2"/>
          </w:tcPr>
          <w:p>
            <w:pPr>
              <w:jc w:val="right"/>
              <w:ind w:right="513"/>
              <w:spacing w:after="0"/>
              <w:rPr>
                <w:sz w:val="20"/>
                <w:szCs w:val="20"/>
                <w:color w:val="auto"/>
              </w:rPr>
            </w:pPr>
            <w:r>
              <w:rPr>
                <w:rFonts w:ascii="Arial" w:cs="Arial" w:eastAsia="Arial" w:hAnsi="Arial"/>
                <w:sz w:val="14"/>
                <w:szCs w:val="14"/>
                <w:b w:val="1"/>
                <w:bCs w:val="1"/>
                <w:color w:val="auto"/>
              </w:rPr>
              <w:t>Dividend</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Volatility</w:t>
            </w:r>
          </w:p>
        </w:tc>
        <w:tc>
          <w:tcPr>
            <w:tcW w:w="1240" w:type="dxa"/>
            <w:vAlign w:val="bottom"/>
          </w:tcPr>
          <w:p>
            <w:pPr>
              <w:jc w:val="right"/>
              <w:ind w:right="278"/>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6"/>
        </w:trPr>
        <w:tc>
          <w:tcPr>
            <w:tcW w:w="56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interest rate</w:t>
            </w:r>
            <w:r>
              <w:rPr>
                <w:rFonts w:ascii="Arial" w:cs="Arial" w:eastAsia="Arial" w:hAnsi="Arial"/>
                <w:sz w:val="11"/>
                <w:szCs w:val="11"/>
                <w:b w:val="1"/>
                <w:bCs w:val="1"/>
                <w:color w:val="auto"/>
              </w:rPr>
              <w:t>(1)</w:t>
            </w:r>
          </w:p>
        </w:tc>
        <w:tc>
          <w:tcPr>
            <w:tcW w:w="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yield</w:t>
            </w:r>
            <w:r>
              <w:rPr>
                <w:rFonts w:ascii="Arial" w:cs="Arial" w:eastAsia="Arial" w:hAnsi="Arial"/>
                <w:sz w:val="11"/>
                <w:szCs w:val="11"/>
                <w:b w:val="1"/>
                <w:bCs w:val="1"/>
                <w:color w:val="auto"/>
              </w:rPr>
              <w:t>(2)</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1"/>
                <w:szCs w:val="11"/>
                <w:b w:val="1"/>
                <w:bCs w:val="1"/>
                <w:color w:val="auto"/>
              </w:rPr>
              <w:t>(3)</w:t>
            </w:r>
          </w:p>
        </w:tc>
        <w:tc>
          <w:tcPr>
            <w:tcW w:w="2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term (in years)</w:t>
            </w: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214"/>
        </w:trPr>
        <w:tc>
          <w:tcPr>
            <w:tcW w:w="57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January 1, 2017</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30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30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92"/>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50.75%</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5760" w:type="dxa"/>
            <w:vAlign w:val="bottom"/>
            <w:gridSpan w:val="3"/>
          </w:tcPr>
          <w:p>
            <w:pPr>
              <w:spacing w:after="0"/>
              <w:rPr>
                <w:sz w:val="20"/>
                <w:szCs w:val="20"/>
                <w:color w:val="auto"/>
              </w:rPr>
            </w:pPr>
            <w:r>
              <w:rPr>
                <w:rFonts w:ascii="Arial" w:cs="Arial" w:eastAsia="Arial" w:hAnsi="Arial"/>
                <w:sz w:val="17"/>
                <w:szCs w:val="17"/>
                <w:color w:val="auto"/>
              </w:rPr>
              <w:t>April 1, 2017</w:t>
            </w:r>
          </w:p>
        </w:tc>
        <w:tc>
          <w:tcPr>
            <w:tcW w:w="1440" w:type="dxa"/>
            <w:vAlign w:val="bottom"/>
            <w:gridSpan w:val="2"/>
          </w:tcPr>
          <w:p>
            <w:pPr>
              <w:jc w:val="right"/>
              <w:ind w:right="73"/>
              <w:spacing w:after="0"/>
              <w:rPr>
                <w:sz w:val="20"/>
                <w:szCs w:val="20"/>
                <w:color w:val="auto"/>
              </w:rPr>
            </w:pPr>
            <w:r>
              <w:rPr>
                <w:rFonts w:ascii="Arial" w:cs="Arial" w:eastAsia="Arial" w:hAnsi="Arial"/>
                <w:sz w:val="17"/>
                <w:szCs w:val="17"/>
                <w:color w:val="auto"/>
              </w:rPr>
              <w:t>2.59%</w:t>
            </w:r>
          </w:p>
        </w:tc>
        <w:tc>
          <w:tcPr>
            <w:tcW w:w="1420" w:type="dxa"/>
            <w:vAlign w:val="bottom"/>
            <w:gridSpan w:val="2"/>
          </w:tcPr>
          <w:p>
            <w:pPr>
              <w:jc w:val="right"/>
              <w:ind w:right="53"/>
              <w:spacing w:after="0"/>
              <w:rPr>
                <w:sz w:val="20"/>
                <w:szCs w:val="20"/>
                <w:color w:val="auto"/>
              </w:rPr>
            </w:pPr>
            <w:r>
              <w:rPr>
                <w:rFonts w:ascii="Arial" w:cs="Arial" w:eastAsia="Arial" w:hAnsi="Arial"/>
                <w:sz w:val="17"/>
                <w:szCs w:val="17"/>
                <w:color w:val="auto"/>
              </w:rPr>
              <w:t>0%</w:t>
            </w:r>
          </w:p>
        </w:tc>
        <w:tc>
          <w:tcPr>
            <w:tcW w:w="1140" w:type="dxa"/>
            <w:vAlign w:val="bottom"/>
          </w:tcPr>
          <w:p>
            <w:pPr>
              <w:jc w:val="right"/>
              <w:spacing w:after="0"/>
              <w:rPr>
                <w:sz w:val="20"/>
                <w:szCs w:val="20"/>
                <w:color w:val="auto"/>
              </w:rPr>
            </w:pPr>
            <w:r>
              <w:rPr>
                <w:rFonts w:ascii="Arial" w:cs="Arial" w:eastAsia="Arial" w:hAnsi="Arial"/>
                <w:sz w:val="17"/>
                <w:szCs w:val="17"/>
                <w:color w:val="auto"/>
              </w:rPr>
              <w:t>50.79%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57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July 1, 2017</w:t>
            </w:r>
          </w:p>
        </w:tc>
        <w:tc>
          <w:tcPr>
            <w:tcW w:w="144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2.35%</w:t>
            </w:r>
          </w:p>
        </w:tc>
        <w:tc>
          <w:tcPr>
            <w:tcW w:w="142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0%</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47.59%</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5760" w:type="dxa"/>
            <w:vAlign w:val="bottom"/>
            <w:gridSpan w:val="3"/>
          </w:tcPr>
          <w:p>
            <w:pPr>
              <w:spacing w:after="0"/>
              <w:rPr>
                <w:sz w:val="20"/>
                <w:szCs w:val="20"/>
                <w:color w:val="auto"/>
              </w:rPr>
            </w:pPr>
            <w:r>
              <w:rPr>
                <w:rFonts w:ascii="Arial" w:cs="Arial" w:eastAsia="Arial" w:hAnsi="Arial"/>
                <w:sz w:val="17"/>
                <w:szCs w:val="17"/>
                <w:color w:val="auto"/>
              </w:rPr>
              <w:t>December 9, 2019</w:t>
            </w:r>
            <w:r>
              <w:rPr>
                <w:rFonts w:ascii="Arial" w:cs="Arial" w:eastAsia="Arial" w:hAnsi="Arial"/>
                <w:sz w:val="14"/>
                <w:szCs w:val="14"/>
                <w:color w:val="auto"/>
              </w:rPr>
              <w:t>(7)</w:t>
            </w:r>
          </w:p>
        </w:tc>
        <w:tc>
          <w:tcPr>
            <w:tcW w:w="1440" w:type="dxa"/>
            <w:vAlign w:val="bottom"/>
            <w:gridSpan w:val="2"/>
          </w:tcPr>
          <w:p>
            <w:pPr>
              <w:jc w:val="right"/>
              <w:ind w:right="73"/>
              <w:spacing w:after="0"/>
              <w:rPr>
                <w:sz w:val="20"/>
                <w:szCs w:val="20"/>
                <w:color w:val="auto"/>
              </w:rPr>
            </w:pPr>
            <w:r>
              <w:rPr>
                <w:rFonts w:ascii="Arial" w:cs="Arial" w:eastAsia="Arial" w:hAnsi="Arial"/>
                <w:sz w:val="17"/>
                <w:szCs w:val="17"/>
                <w:color w:val="auto"/>
              </w:rPr>
              <w:t>1.60%</w:t>
            </w:r>
          </w:p>
        </w:tc>
        <w:tc>
          <w:tcPr>
            <w:tcW w:w="1420" w:type="dxa"/>
            <w:vAlign w:val="bottom"/>
            <w:gridSpan w:val="2"/>
          </w:tcPr>
          <w:p>
            <w:pPr>
              <w:jc w:val="right"/>
              <w:ind w:right="53"/>
              <w:spacing w:after="0"/>
              <w:rPr>
                <w:sz w:val="20"/>
                <w:szCs w:val="20"/>
                <w:color w:val="auto"/>
              </w:rPr>
            </w:pPr>
            <w:r>
              <w:rPr>
                <w:rFonts w:ascii="Arial" w:cs="Arial" w:eastAsia="Arial" w:hAnsi="Arial"/>
                <w:sz w:val="17"/>
                <w:szCs w:val="17"/>
                <w:color w:val="auto"/>
              </w:rPr>
              <w:t>0%</w:t>
            </w:r>
          </w:p>
        </w:tc>
        <w:tc>
          <w:tcPr>
            <w:tcW w:w="1140" w:type="dxa"/>
            <w:vAlign w:val="bottom"/>
          </w:tcPr>
          <w:p>
            <w:pPr>
              <w:jc w:val="right"/>
              <w:spacing w:after="0"/>
              <w:rPr>
                <w:sz w:val="20"/>
                <w:szCs w:val="20"/>
                <w:color w:val="auto"/>
              </w:rPr>
            </w:pPr>
            <w:r>
              <w:rPr>
                <w:rFonts w:ascii="Arial" w:cs="Arial" w:eastAsia="Arial" w:hAnsi="Arial"/>
                <w:sz w:val="17"/>
                <w:szCs w:val="17"/>
                <w:color w:val="auto"/>
              </w:rPr>
              <w:t>42.11%</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21"/>
        </w:trPr>
        <w:tc>
          <w:tcPr>
            <w:tcW w:w="57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Modified during the year ended December 31, 2018:</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60" w:type="dxa"/>
            <w:vAlign w:val="bottom"/>
            <w:gridSpan w:val="3"/>
          </w:tcPr>
          <w:p>
            <w:pPr>
              <w:spacing w:after="0"/>
              <w:rPr>
                <w:sz w:val="20"/>
                <w:szCs w:val="20"/>
                <w:color w:val="auto"/>
              </w:rPr>
            </w:pPr>
            <w:r>
              <w:rPr>
                <w:rFonts w:ascii="Arial" w:cs="Arial" w:eastAsia="Arial" w:hAnsi="Arial"/>
                <w:sz w:val="17"/>
                <w:szCs w:val="17"/>
                <w:color w:val="auto"/>
              </w:rPr>
              <w:t>September 1, 2018(5)</w:t>
            </w:r>
          </w:p>
        </w:tc>
        <w:tc>
          <w:tcPr>
            <w:tcW w:w="1440" w:type="dxa"/>
            <w:vAlign w:val="bottom"/>
            <w:gridSpan w:val="2"/>
          </w:tcPr>
          <w:p>
            <w:pPr>
              <w:jc w:val="right"/>
              <w:ind w:right="73"/>
              <w:spacing w:after="0"/>
              <w:rPr>
                <w:sz w:val="20"/>
                <w:szCs w:val="20"/>
                <w:color w:val="auto"/>
              </w:rPr>
            </w:pPr>
            <w:r>
              <w:rPr>
                <w:rFonts w:ascii="Arial" w:cs="Arial" w:eastAsia="Arial" w:hAnsi="Arial"/>
                <w:sz w:val="17"/>
                <w:szCs w:val="17"/>
                <w:color w:val="auto"/>
              </w:rPr>
              <w:t>2.83%</w:t>
            </w:r>
          </w:p>
        </w:tc>
        <w:tc>
          <w:tcPr>
            <w:tcW w:w="1420" w:type="dxa"/>
            <w:vAlign w:val="bottom"/>
            <w:gridSpan w:val="2"/>
          </w:tcPr>
          <w:p>
            <w:pPr>
              <w:jc w:val="right"/>
              <w:ind w:right="53"/>
              <w:spacing w:after="0"/>
              <w:rPr>
                <w:sz w:val="20"/>
                <w:szCs w:val="20"/>
                <w:color w:val="auto"/>
              </w:rPr>
            </w:pPr>
            <w:r>
              <w:rPr>
                <w:rFonts w:ascii="Arial" w:cs="Arial" w:eastAsia="Arial" w:hAnsi="Arial"/>
                <w:sz w:val="17"/>
                <w:szCs w:val="17"/>
                <w:color w:val="auto"/>
              </w:rPr>
              <w:t>0%</w:t>
            </w:r>
          </w:p>
        </w:tc>
        <w:tc>
          <w:tcPr>
            <w:tcW w:w="1140" w:type="dxa"/>
            <w:vAlign w:val="bottom"/>
          </w:tcPr>
          <w:p>
            <w:pPr>
              <w:jc w:val="right"/>
              <w:spacing w:after="0"/>
              <w:rPr>
                <w:sz w:val="20"/>
                <w:szCs w:val="20"/>
                <w:color w:val="auto"/>
              </w:rPr>
            </w:pPr>
            <w:r>
              <w:rPr>
                <w:rFonts w:ascii="Arial" w:cs="Arial" w:eastAsia="Arial" w:hAnsi="Arial"/>
                <w:sz w:val="17"/>
                <w:szCs w:val="17"/>
                <w:color w:val="auto"/>
              </w:rPr>
              <w:t>42.72%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57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September 1, 2018(6)</w:t>
            </w:r>
          </w:p>
        </w:tc>
        <w:tc>
          <w:tcPr>
            <w:tcW w:w="144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2.92%</w:t>
            </w:r>
          </w:p>
        </w:tc>
        <w:tc>
          <w:tcPr>
            <w:tcW w:w="142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0%</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44.65%</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30"/>
        </w:trPr>
        <w:tc>
          <w:tcPr>
            <w:tcW w:w="2640" w:type="dxa"/>
            <w:vAlign w:val="bottom"/>
            <w:tcBorders>
              <w:bottom w:val="single" w:sz="8" w:color="auto"/>
            </w:tcBorders>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20" w:right="20" w:hanging="516"/>
        <w:spacing w:after="0" w:line="208"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risk-free interest rate of periods within the contractual life of the share option is based on the yield of US Treasury Strips sourced from Bloomberg as of the valuation dates.</w:t>
      </w:r>
    </w:p>
    <w:p>
      <w:pPr>
        <w:ind w:left="520" w:hanging="516"/>
        <w:spacing w:after="0" w:line="223"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has no history or expectation of paying dividends on its ordinary shares.</w:t>
      </w:r>
    </w:p>
    <w:p>
      <w:pPr>
        <w:ind w:left="520" w:hanging="516"/>
        <w:spacing w:after="0"/>
        <w:tabs>
          <w:tab w:leader="none" w:pos="5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Expected volatility is estimated based on the average of historical volatilities of the comparable companies in the same industry as at the valuation dates.</w:t>
      </w:r>
    </w:p>
    <w:p>
      <w:pPr>
        <w:spacing w:after="0" w:line="9" w:lineRule="exact"/>
        <w:rPr>
          <w:rFonts w:ascii="Arial" w:cs="Arial" w:eastAsia="Arial" w:hAnsi="Arial"/>
          <w:sz w:val="15"/>
          <w:szCs w:val="15"/>
          <w:color w:val="auto"/>
        </w:rPr>
      </w:pPr>
    </w:p>
    <w:p>
      <w:pPr>
        <w:ind w:left="520" w:right="80" w:hanging="516"/>
        <w:spacing w:after="0" w:line="237" w:lineRule="auto"/>
        <w:tabs>
          <w:tab w:leader="none" w:pos="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ind w:left="520" w:hanging="516"/>
        <w:spacing w:after="0"/>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It refers to the modification of options previously granted on January 1, 2015.</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82" w:name="page83"/>
    <w:bookmarkEnd w:id="82"/>
    <w:p>
      <w:pPr>
        <w:ind w:left="520" w:hanging="516"/>
        <w:spacing w:after="0"/>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It refers to the modification of options previously granted on January 1, 2017.</w:t>
      </w:r>
    </w:p>
    <w:p>
      <w:pPr>
        <w:ind w:left="520" w:hanging="516"/>
        <w:spacing w:after="0"/>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It refers to the issue of warrants to an non-employee on December 9, 2019.</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Convertible Notes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notes issued in 2018</w:t>
      </w:r>
    </w:p>
    <w:p>
      <w:pPr>
        <w:spacing w:after="0" w:line="182" w:lineRule="exact"/>
        <w:rPr>
          <w:sz w:val="20"/>
          <w:szCs w:val="20"/>
          <w:color w:val="auto"/>
        </w:rPr>
      </w:pPr>
    </w:p>
    <w:p>
      <w:pPr>
        <w:ind w:right="120" w:firstLine="782"/>
        <w:spacing w:after="0" w:line="270" w:lineRule="auto"/>
        <w:rPr>
          <w:sz w:val="20"/>
          <w:szCs w:val="20"/>
          <w:color w:val="auto"/>
        </w:rPr>
      </w:pPr>
      <w:r>
        <w:rPr>
          <w:rFonts w:ascii="Arial" w:cs="Arial" w:eastAsia="Arial" w:hAnsi="Arial"/>
          <w:sz w:val="17"/>
          <w:szCs w:val="17"/>
          <w:color w:val="auto"/>
        </w:rPr>
        <w:t>On September 12, 2018, we issued US$30.0 million of zero-coupon convertible notes (“2018 Notes”) at par. The convertible notes will mature on September 12, 2023 and are non-interest bearing, unless the convertible notes are redeemed or repaid upon the occurrence of events of default or relevant events as defined in the agreement whereby an interest of 5% per annum would be charged.</w:t>
      </w:r>
    </w:p>
    <w:p>
      <w:pPr>
        <w:spacing w:after="0" w:line="147" w:lineRule="exact"/>
        <w:rPr>
          <w:sz w:val="20"/>
          <w:szCs w:val="20"/>
          <w:color w:val="auto"/>
        </w:rPr>
      </w:pPr>
    </w:p>
    <w:p>
      <w:pPr>
        <w:ind w:right="40" w:firstLine="782"/>
        <w:spacing w:after="0" w:line="323" w:lineRule="auto"/>
        <w:rPr>
          <w:sz w:val="20"/>
          <w:szCs w:val="20"/>
          <w:color w:val="auto"/>
        </w:rPr>
      </w:pPr>
      <w:r>
        <w:rPr>
          <w:rFonts w:ascii="Arial" w:cs="Arial" w:eastAsia="Arial" w:hAnsi="Arial"/>
          <w:sz w:val="15"/>
          <w:szCs w:val="15"/>
          <w:color w:val="auto"/>
        </w:rPr>
        <w:t>For both the convertible debt and conversion option which are recognized as financial liabilities, we have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84" w:lineRule="exact"/>
        <w:rPr>
          <w:sz w:val="20"/>
          <w:szCs w:val="20"/>
          <w:color w:val="auto"/>
        </w:rPr>
      </w:pPr>
    </w:p>
    <w:p>
      <w:pPr>
        <w:jc w:val="both"/>
        <w:ind w:right="20" w:firstLine="782"/>
        <w:spacing w:after="0" w:line="228" w:lineRule="auto"/>
        <w:rPr>
          <w:sz w:val="20"/>
          <w:szCs w:val="20"/>
          <w:color w:val="auto"/>
        </w:rPr>
      </w:pPr>
      <w:r>
        <w:rPr>
          <w:rFonts w:ascii="Arial" w:cs="Arial" w:eastAsia="Arial" w:hAnsi="Arial"/>
          <w:sz w:val="17"/>
          <w:szCs w:val="17"/>
          <w:color w:val="auto"/>
        </w:rPr>
        <w:t>The fair value of the 2018 Notes was determined using a Monte Carlo simulation with the key assumptions summarized in the below table. The volatility was based on the implied historical volatility of certain comparable companies. The risk-free interest rate is equal to the yield, as of the measurement date, of the zero-coupon U.S. Treasury bill that commensurates with the remaining period until the maturity of the 2018 Notes.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180" w:type="dxa"/>
            <w:vAlign w:val="bottom"/>
          </w:tcPr>
          <w:p>
            <w:pPr>
              <w:jc w:val="center"/>
              <w:ind w:left="411"/>
              <w:spacing w:after="0"/>
              <w:rPr>
                <w:sz w:val="20"/>
                <w:szCs w:val="20"/>
                <w:color w:val="auto"/>
              </w:rPr>
            </w:pPr>
            <w:r>
              <w:rPr>
                <w:rFonts w:ascii="Arial" w:cs="Arial" w:eastAsia="Arial" w:hAnsi="Arial"/>
                <w:sz w:val="14"/>
                <w:szCs w:val="14"/>
                <w:b w:val="1"/>
                <w:bCs w:val="1"/>
                <w:color w:val="auto"/>
                <w:w w:val="92"/>
              </w:rPr>
              <w:t>Volatility</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357"/>
              <w:spacing w:after="0"/>
              <w:rPr>
                <w:sz w:val="20"/>
                <w:szCs w:val="20"/>
                <w:color w:val="auto"/>
              </w:rPr>
            </w:pPr>
            <w:r>
              <w:rPr>
                <w:rFonts w:ascii="Arial" w:cs="Arial" w:eastAsia="Arial" w:hAnsi="Arial"/>
                <w:sz w:val="14"/>
                <w:szCs w:val="14"/>
                <w:b w:val="1"/>
                <w:bCs w:val="1"/>
                <w:color w:val="auto"/>
              </w:rPr>
              <w:t>Risk-free rate</w:t>
            </w:r>
          </w:p>
        </w:tc>
      </w:tr>
      <w:tr>
        <w:trPr>
          <w:trHeight w:val="166"/>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Measurement date</w:t>
            </w:r>
          </w:p>
        </w:tc>
        <w:tc>
          <w:tcPr>
            <w:tcW w:w="11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w:t>
            </w:r>
          </w:p>
        </w:tc>
      </w:tr>
      <w:tr>
        <w:trPr>
          <w:trHeight w:val="214"/>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December 31, 2018</w:t>
            </w:r>
          </w:p>
        </w:tc>
        <w:tc>
          <w:tcPr>
            <w:tcW w:w="11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44.32</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2.52</w:t>
            </w:r>
          </w:p>
        </w:tc>
      </w:tr>
      <w:tr>
        <w:trPr>
          <w:trHeight w:val="221"/>
        </w:trPr>
        <w:tc>
          <w:tcPr>
            <w:tcW w:w="7720" w:type="dxa"/>
            <w:vAlign w:val="bottom"/>
          </w:tcPr>
          <w:p>
            <w:pPr>
              <w:spacing w:after="0"/>
              <w:rPr>
                <w:sz w:val="20"/>
                <w:szCs w:val="20"/>
                <w:color w:val="auto"/>
              </w:rPr>
            </w:pPr>
            <w:r>
              <w:rPr>
                <w:rFonts w:ascii="Arial" w:cs="Arial" w:eastAsia="Arial" w:hAnsi="Arial"/>
                <w:sz w:val="17"/>
                <w:szCs w:val="17"/>
                <w:color w:val="auto"/>
              </w:rPr>
              <w:t>February 1, 2019</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44.59</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2.55</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March 1, 2019</w:t>
            </w:r>
          </w:p>
        </w:tc>
        <w:tc>
          <w:tcPr>
            <w:tcW w:w="11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44.99</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w:t>
            </w:r>
          </w:p>
        </w:tc>
      </w:tr>
      <w:tr>
        <w:trPr>
          <w:trHeight w:val="221"/>
        </w:trPr>
        <w:tc>
          <w:tcPr>
            <w:tcW w:w="7720" w:type="dxa"/>
            <w:vAlign w:val="bottom"/>
          </w:tcPr>
          <w:p>
            <w:pPr>
              <w:spacing w:after="0"/>
              <w:rPr>
                <w:sz w:val="20"/>
                <w:szCs w:val="20"/>
                <w:color w:val="auto"/>
              </w:rPr>
            </w:pPr>
            <w:r>
              <w:rPr>
                <w:rFonts w:ascii="Arial" w:cs="Arial" w:eastAsia="Arial" w:hAnsi="Arial"/>
                <w:sz w:val="17"/>
                <w:szCs w:val="17"/>
                <w:color w:val="auto"/>
              </w:rPr>
              <w:t>August 22, 2019</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43,86</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November 14, 2019</w:t>
            </w:r>
          </w:p>
        </w:tc>
        <w:tc>
          <w:tcPr>
            <w:tcW w:w="11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44.34</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r>
      <w:tr>
        <w:trPr>
          <w:trHeight w:val="221"/>
        </w:trPr>
        <w:tc>
          <w:tcPr>
            <w:tcW w:w="7720" w:type="dxa"/>
            <w:vAlign w:val="bottom"/>
          </w:tcPr>
          <w:p>
            <w:pPr>
              <w:spacing w:after="0"/>
              <w:rPr>
                <w:sz w:val="20"/>
                <w:szCs w:val="20"/>
                <w:color w:val="auto"/>
              </w:rPr>
            </w:pPr>
            <w:r>
              <w:rPr>
                <w:rFonts w:ascii="Arial" w:cs="Arial" w:eastAsia="Arial" w:hAnsi="Arial"/>
                <w:sz w:val="17"/>
                <w:szCs w:val="17"/>
                <w:color w:val="auto"/>
              </w:rPr>
              <w:t>December 12, 2019</w:t>
            </w:r>
          </w:p>
        </w:tc>
        <w:tc>
          <w:tcPr>
            <w:tcW w:w="1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43.86</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December 31, 2019</w:t>
            </w:r>
          </w:p>
        </w:tc>
        <w:tc>
          <w:tcPr>
            <w:tcW w:w="11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44.17</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notes issued in 2019</w:t>
      </w:r>
    </w:p>
    <w:p>
      <w:pPr>
        <w:spacing w:after="0" w:line="117" w:lineRule="exact"/>
        <w:rPr>
          <w:sz w:val="20"/>
          <w:szCs w:val="20"/>
          <w:color w:val="auto"/>
        </w:rPr>
      </w:pPr>
    </w:p>
    <w:p>
      <w:pPr>
        <w:ind w:right="620" w:firstLine="761"/>
        <w:spacing w:after="0" w:line="270" w:lineRule="auto"/>
        <w:rPr>
          <w:sz w:val="20"/>
          <w:szCs w:val="20"/>
          <w:color w:val="auto"/>
        </w:rPr>
      </w:pPr>
      <w:r>
        <w:rPr>
          <w:rFonts w:ascii="Arial" w:cs="Arial" w:eastAsia="Arial" w:hAnsi="Arial"/>
          <w:sz w:val="17"/>
          <w:szCs w:val="17"/>
          <w:color w:val="auto"/>
        </w:rPr>
        <w:t>On November 11, 2019 and December 16, 2019, we issued 5% coupon convertible notes of US$ 20,000 (the “November 2019 Notes”) and US$10,000 (the “December 2019 Notes”) (collectively, the “2019 Notes”), respectively, at par. The November 2019 Notes and the December 2019 Notes mature on November 11, 2022 and December 16, 2022, respectively.</w:t>
      </w:r>
    </w:p>
    <w:p>
      <w:pPr>
        <w:spacing w:after="0" w:line="173" w:lineRule="exact"/>
        <w:rPr>
          <w:sz w:val="20"/>
          <w:szCs w:val="20"/>
          <w:color w:val="auto"/>
        </w:rPr>
      </w:pPr>
    </w:p>
    <w:p>
      <w:pPr>
        <w:ind w:right="380" w:firstLine="761"/>
        <w:spacing w:after="0" w:line="265" w:lineRule="auto"/>
        <w:rPr>
          <w:sz w:val="20"/>
          <w:szCs w:val="20"/>
          <w:color w:val="auto"/>
        </w:rPr>
      </w:pPr>
      <w:r>
        <w:rPr>
          <w:rFonts w:ascii="Arial" w:cs="Arial" w:eastAsia="Arial" w:hAnsi="Arial"/>
          <w:sz w:val="17"/>
          <w:szCs w:val="17"/>
          <w:color w:val="auto"/>
        </w:rPr>
        <w:t>For both the convertible debt and conversion option which are recognized as financial liabilities, we have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177" w:lineRule="exact"/>
        <w:rPr>
          <w:sz w:val="20"/>
          <w:szCs w:val="20"/>
          <w:color w:val="auto"/>
        </w:rPr>
      </w:pPr>
    </w:p>
    <w:p>
      <w:pPr>
        <w:ind w:right="360" w:firstLine="761"/>
        <w:spacing w:after="0" w:line="265" w:lineRule="auto"/>
        <w:rPr>
          <w:sz w:val="20"/>
          <w:szCs w:val="20"/>
          <w:color w:val="auto"/>
        </w:rPr>
      </w:pPr>
      <w:r>
        <w:rPr>
          <w:rFonts w:ascii="Arial" w:cs="Arial" w:eastAsia="Arial" w:hAnsi="Arial"/>
          <w:sz w:val="17"/>
          <w:szCs w:val="17"/>
          <w:color w:val="auto"/>
        </w:rPr>
        <w:t>The fair values of the 2019 Notes as of December 31, 2019 were determined using a binomial model with the key assumptions summarized in the below table. The volatility was based on the implied historical volatility of certain comparable companies. The risk-free interest rate is equal to the yield, as of the respective measurement dates, of a 5% coupon U.S. Treasury bill that is commensurate with the remaining period until the maturity of the 2019 Notes. The bond yield was based on the yield of corporate bonds with comparable ratings.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0" w:type="dxa"/>
            <w:vAlign w:val="bottom"/>
          </w:tcPr>
          <w:p>
            <w:pPr>
              <w:jc w:val="center"/>
              <w:ind w:left="351"/>
              <w:spacing w:after="0"/>
              <w:rPr>
                <w:sz w:val="20"/>
                <w:szCs w:val="20"/>
                <w:color w:val="auto"/>
              </w:rPr>
            </w:pPr>
            <w:r>
              <w:rPr>
                <w:rFonts w:ascii="Arial" w:cs="Arial" w:eastAsia="Arial" w:hAnsi="Arial"/>
                <w:sz w:val="14"/>
                <w:szCs w:val="14"/>
                <w:b w:val="1"/>
                <w:bCs w:val="1"/>
                <w:color w:val="auto"/>
                <w:w w:val="92"/>
              </w:rPr>
              <w:t>Volatility</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left="231"/>
              <w:spacing w:after="0"/>
              <w:rPr>
                <w:sz w:val="20"/>
                <w:szCs w:val="20"/>
                <w:color w:val="auto"/>
              </w:rPr>
            </w:pPr>
            <w:r>
              <w:rPr>
                <w:rFonts w:ascii="Arial" w:cs="Arial" w:eastAsia="Arial" w:hAnsi="Arial"/>
                <w:sz w:val="14"/>
                <w:szCs w:val="14"/>
                <w:b w:val="1"/>
                <w:bCs w:val="1"/>
                <w:color w:val="auto"/>
                <w:w w:val="91"/>
              </w:rPr>
              <w:t>Risk-free rate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322"/>
              <w:spacing w:after="0"/>
              <w:rPr>
                <w:sz w:val="20"/>
                <w:szCs w:val="20"/>
                <w:color w:val="auto"/>
              </w:rPr>
            </w:pPr>
            <w:r>
              <w:rPr>
                <w:rFonts w:ascii="Arial" w:cs="Arial" w:eastAsia="Arial" w:hAnsi="Arial"/>
                <w:sz w:val="14"/>
                <w:szCs w:val="14"/>
                <w:b w:val="1"/>
                <w:bCs w:val="1"/>
                <w:color w:val="auto"/>
              </w:rPr>
              <w:t>Bond yield</w:t>
            </w:r>
          </w:p>
        </w:tc>
        <w:tc>
          <w:tcPr>
            <w:tcW w:w="20" w:type="dxa"/>
            <w:vAlign w:val="bottom"/>
          </w:tcPr>
          <w:p>
            <w:pPr>
              <w:spacing w:after="0"/>
              <w:rPr>
                <w:sz w:val="14"/>
                <w:szCs w:val="14"/>
                <w:color w:val="auto"/>
              </w:rPr>
            </w:pPr>
          </w:p>
        </w:tc>
      </w:tr>
      <w:tr>
        <w:trPr>
          <w:trHeight w:val="166"/>
        </w:trPr>
        <w:tc>
          <w:tcPr>
            <w:tcW w:w="66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214"/>
        </w:trPr>
        <w:tc>
          <w:tcPr>
            <w:tcW w:w="76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November 2019 Notes</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42.53</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1.61</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10.09</w:t>
            </w:r>
          </w:p>
        </w:tc>
        <w:tc>
          <w:tcPr>
            <w:tcW w:w="20" w:type="dxa"/>
            <w:vAlign w:val="bottom"/>
          </w:tcPr>
          <w:p>
            <w:pPr>
              <w:spacing w:after="0"/>
              <w:rPr>
                <w:sz w:val="18"/>
                <w:szCs w:val="18"/>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7"/>
                <w:szCs w:val="17"/>
                <w:color w:val="auto"/>
              </w:rPr>
              <w:t>December 2019 Notes</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42.63</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84"/>
              </w:rPr>
              <w:t>1.61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10.09</w:t>
            </w:r>
          </w:p>
        </w:tc>
        <w:tc>
          <w:tcPr>
            <w:tcW w:w="20" w:type="dxa"/>
            <w:vAlign w:val="bottom"/>
          </w:tcPr>
          <w:p>
            <w:pPr>
              <w:spacing w:after="0"/>
              <w:rPr>
                <w:sz w:val="19"/>
                <w:szCs w:val="19"/>
                <w:color w:val="auto"/>
              </w:rPr>
            </w:pPr>
          </w:p>
        </w:tc>
      </w:tr>
      <w:tr>
        <w:trPr>
          <w:trHeight w:val="859"/>
        </w:trPr>
        <w:tc>
          <w:tcPr>
            <w:tcW w:w="6640" w:type="dxa"/>
            <w:vAlign w:val="bottom"/>
          </w:tcPr>
          <w:p>
            <w:pPr>
              <w:jc w:val="right"/>
              <w:ind w:right="833"/>
              <w:spacing w:after="0"/>
              <w:rPr>
                <w:sz w:val="20"/>
                <w:szCs w:val="20"/>
                <w:color w:val="auto"/>
              </w:rPr>
            </w:pPr>
            <w:r>
              <w:rPr>
                <w:rFonts w:ascii="Arial" w:cs="Arial" w:eastAsia="Arial" w:hAnsi="Arial"/>
                <w:sz w:val="17"/>
                <w:szCs w:val="17"/>
                <w:color w:val="auto"/>
              </w:rPr>
              <w:t>81</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66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Gross Billing</w:t>
      </w:r>
    </w:p>
    <w:p>
      <w:pPr>
        <w:spacing w:after="0" w:line="123" w:lineRule="exact"/>
        <w:rPr>
          <w:sz w:val="20"/>
          <w:szCs w:val="20"/>
          <w:color w:val="auto"/>
        </w:rPr>
      </w:pPr>
    </w:p>
    <w:p>
      <w:pPr>
        <w:ind w:right="180" w:firstLine="782"/>
        <w:spacing w:after="0" w:line="356" w:lineRule="auto"/>
        <w:rPr>
          <w:sz w:val="20"/>
          <w:szCs w:val="20"/>
          <w:color w:val="auto"/>
        </w:rPr>
      </w:pPr>
      <w:r>
        <w:rPr>
          <w:rFonts w:ascii="Arial" w:cs="Arial" w:eastAsia="Arial" w:hAnsi="Arial"/>
          <w:sz w:val="15"/>
          <w:szCs w:val="15"/>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49"/>
        </w:trPr>
        <w:tc>
          <w:tcPr>
            <w:tcW w:w="468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41"/>
              <w:spacing w:after="0" w:line="149"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61"/>
              <w:spacing w:after="0" w:line="149" w:lineRule="exact"/>
              <w:rPr>
                <w:sz w:val="20"/>
                <w:szCs w:val="20"/>
                <w:color w:val="auto"/>
              </w:rPr>
            </w:pPr>
            <w:r>
              <w:rPr>
                <w:rFonts w:ascii="Arial" w:cs="Arial" w:eastAsia="Arial" w:hAnsi="Arial"/>
                <w:sz w:val="14"/>
                <w:szCs w:val="14"/>
                <w:b w:val="1"/>
                <w:bCs w:val="1"/>
                <w:color w:val="auto"/>
                <w:w w:val="83"/>
              </w:rPr>
              <w:t>2019</w:t>
            </w:r>
          </w:p>
        </w:tc>
      </w:tr>
      <w:tr>
        <w:trPr>
          <w:trHeight w:val="127"/>
        </w:trPr>
        <w:tc>
          <w:tcPr>
            <w:tcW w:w="4680" w:type="dxa"/>
            <w:vAlign w:val="bottom"/>
          </w:tcPr>
          <w:p>
            <w:pPr>
              <w:spacing w:after="0"/>
              <w:rPr>
                <w:sz w:val="11"/>
                <w:szCs w:val="11"/>
                <w:color w:val="auto"/>
              </w:rPr>
            </w:pPr>
          </w:p>
        </w:tc>
        <w:tc>
          <w:tcPr>
            <w:tcW w:w="1220" w:type="dxa"/>
            <w:vAlign w:val="bottom"/>
          </w:tcPr>
          <w:p>
            <w:pPr>
              <w:jc w:val="right"/>
              <w:ind w:right="481"/>
              <w:spacing w:after="0" w:line="127" w:lineRule="exact"/>
              <w:rPr>
                <w:sz w:val="20"/>
                <w:szCs w:val="20"/>
                <w:color w:val="auto"/>
              </w:rPr>
            </w:pPr>
            <w:r>
              <w:rPr>
                <w:rFonts w:ascii="Arial" w:cs="Arial" w:eastAsia="Arial" w:hAnsi="Arial"/>
                <w:sz w:val="14"/>
                <w:szCs w:val="14"/>
                <w:b w:val="1"/>
                <w:bCs w:val="1"/>
                <w:color w:val="auto"/>
              </w:rPr>
              <w:t>(US$ in</w:t>
            </w:r>
          </w:p>
        </w:tc>
        <w:tc>
          <w:tcPr>
            <w:tcW w:w="900" w:type="dxa"/>
            <w:vAlign w:val="bottom"/>
          </w:tcPr>
          <w:p>
            <w:pPr>
              <w:jc w:val="center"/>
              <w:ind w:right="59"/>
              <w:spacing w:after="0" w:line="127" w:lineRule="exact"/>
              <w:rPr>
                <w:sz w:val="20"/>
                <w:szCs w:val="20"/>
                <w:color w:val="auto"/>
              </w:rPr>
            </w:pPr>
            <w:r>
              <w:rPr>
                <w:rFonts w:ascii="Arial" w:cs="Arial" w:eastAsia="Arial" w:hAnsi="Arial"/>
                <w:sz w:val="14"/>
                <w:szCs w:val="14"/>
                <w:b w:val="1"/>
                <w:bCs w:val="1"/>
                <w:color w:val="auto"/>
                <w:w w:val="89"/>
              </w:rPr>
              <w:t>(% of gross</w:t>
            </w:r>
          </w:p>
        </w:tc>
        <w:tc>
          <w:tcPr>
            <w:tcW w:w="100" w:type="dxa"/>
            <w:vAlign w:val="bottom"/>
          </w:tcPr>
          <w:p>
            <w:pPr>
              <w:spacing w:after="0"/>
              <w:rPr>
                <w:sz w:val="11"/>
                <w:szCs w:val="11"/>
                <w:color w:val="auto"/>
              </w:rPr>
            </w:pPr>
          </w:p>
        </w:tc>
        <w:tc>
          <w:tcPr>
            <w:tcW w:w="880" w:type="dxa"/>
            <w:vAlign w:val="bottom"/>
          </w:tcPr>
          <w:p>
            <w:pPr>
              <w:jc w:val="right"/>
              <w:ind w:right="141"/>
              <w:spacing w:after="0" w:line="127" w:lineRule="exact"/>
              <w:rPr>
                <w:sz w:val="20"/>
                <w:szCs w:val="20"/>
                <w:color w:val="auto"/>
              </w:rPr>
            </w:pPr>
            <w:r>
              <w:rPr>
                <w:rFonts w:ascii="Arial" w:cs="Arial" w:eastAsia="Arial" w:hAnsi="Arial"/>
                <w:sz w:val="14"/>
                <w:szCs w:val="14"/>
                <w:b w:val="1"/>
                <w:bCs w:val="1"/>
                <w:color w:val="auto"/>
              </w:rPr>
              <w:t>(US$ in</w:t>
            </w:r>
          </w:p>
        </w:tc>
        <w:tc>
          <w:tcPr>
            <w:tcW w:w="1220" w:type="dxa"/>
            <w:vAlign w:val="bottom"/>
          </w:tcPr>
          <w:p>
            <w:pPr>
              <w:jc w:val="center"/>
              <w:ind w:left="141"/>
              <w:spacing w:after="0" w:line="127" w:lineRule="exact"/>
              <w:rPr>
                <w:sz w:val="20"/>
                <w:szCs w:val="20"/>
                <w:color w:val="auto"/>
              </w:rPr>
            </w:pPr>
            <w:r>
              <w:rPr>
                <w:rFonts w:ascii="Arial" w:cs="Arial" w:eastAsia="Arial" w:hAnsi="Arial"/>
                <w:sz w:val="14"/>
                <w:szCs w:val="14"/>
                <w:b w:val="1"/>
                <w:bCs w:val="1"/>
                <w:color w:val="auto"/>
                <w:w w:val="89"/>
              </w:rPr>
              <w:t>(% of gross</w:t>
            </w:r>
          </w:p>
        </w:tc>
        <w:tc>
          <w:tcPr>
            <w:tcW w:w="120" w:type="dxa"/>
            <w:vAlign w:val="bottom"/>
          </w:tcPr>
          <w:p>
            <w:pPr>
              <w:spacing w:after="0"/>
              <w:rPr>
                <w:sz w:val="11"/>
                <w:szCs w:val="11"/>
                <w:color w:val="auto"/>
              </w:rPr>
            </w:pPr>
          </w:p>
        </w:tc>
        <w:tc>
          <w:tcPr>
            <w:tcW w:w="900" w:type="dxa"/>
            <w:vAlign w:val="bottom"/>
          </w:tcPr>
          <w:p>
            <w:pPr>
              <w:jc w:val="right"/>
              <w:ind w:right="159"/>
              <w:spacing w:after="0" w:line="127" w:lineRule="exact"/>
              <w:rPr>
                <w:sz w:val="20"/>
                <w:szCs w:val="20"/>
                <w:color w:val="auto"/>
              </w:rPr>
            </w:pPr>
            <w:r>
              <w:rPr>
                <w:rFonts w:ascii="Arial" w:cs="Arial" w:eastAsia="Arial" w:hAnsi="Arial"/>
                <w:sz w:val="14"/>
                <w:szCs w:val="14"/>
                <w:b w:val="1"/>
                <w:bCs w:val="1"/>
                <w:color w:val="auto"/>
              </w:rPr>
              <w:t>(US$ in</w:t>
            </w:r>
          </w:p>
        </w:tc>
        <w:tc>
          <w:tcPr>
            <w:tcW w:w="1220" w:type="dxa"/>
            <w:vAlign w:val="bottom"/>
          </w:tcPr>
          <w:p>
            <w:pPr>
              <w:jc w:val="right"/>
              <w:ind w:right="101"/>
              <w:spacing w:after="0" w:line="127" w:lineRule="exact"/>
              <w:rPr>
                <w:sz w:val="20"/>
                <w:szCs w:val="20"/>
                <w:color w:val="auto"/>
              </w:rPr>
            </w:pPr>
            <w:r>
              <w:rPr>
                <w:rFonts w:ascii="Arial" w:cs="Arial" w:eastAsia="Arial" w:hAnsi="Arial"/>
                <w:sz w:val="14"/>
                <w:szCs w:val="14"/>
                <w:b w:val="1"/>
                <w:bCs w:val="1"/>
                <w:color w:val="auto"/>
              </w:rPr>
              <w:t>(% of gross</w:t>
            </w:r>
          </w:p>
        </w:tc>
      </w:tr>
      <w:tr>
        <w:trPr>
          <w:trHeight w:val="166"/>
        </w:trPr>
        <w:tc>
          <w:tcPr>
            <w:tcW w:w="4680" w:type="dxa"/>
            <w:vAlign w:val="bottom"/>
          </w:tcPr>
          <w:p>
            <w:pPr>
              <w:spacing w:after="0"/>
              <w:rPr>
                <w:sz w:val="14"/>
                <w:szCs w:val="14"/>
                <w:color w:val="auto"/>
              </w:rPr>
            </w:pPr>
          </w:p>
        </w:tc>
        <w:tc>
          <w:tcPr>
            <w:tcW w:w="1220" w:type="dxa"/>
            <w:vAlign w:val="bottom"/>
          </w:tcPr>
          <w:p>
            <w:pPr>
              <w:jc w:val="right"/>
              <w:ind w:right="381"/>
              <w:spacing w:after="0"/>
              <w:rPr>
                <w:sz w:val="20"/>
                <w:szCs w:val="20"/>
                <w:color w:val="auto"/>
              </w:rPr>
            </w:pPr>
            <w:r>
              <w:rPr>
                <w:rFonts w:ascii="Arial" w:cs="Arial" w:eastAsia="Arial" w:hAnsi="Arial"/>
                <w:sz w:val="14"/>
                <w:szCs w:val="14"/>
                <w:b w:val="1"/>
                <w:bCs w:val="1"/>
                <w:color w:val="auto"/>
                <w:w w:val="98"/>
              </w:rPr>
              <w:t>thousands)</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880" w:type="dxa"/>
            <w:vAlign w:val="bottom"/>
          </w:tcPr>
          <w:p>
            <w:pPr>
              <w:jc w:val="right"/>
              <w:ind w:right="41"/>
              <w:spacing w:after="0"/>
              <w:rPr>
                <w:sz w:val="20"/>
                <w:szCs w:val="20"/>
                <w:color w:val="auto"/>
              </w:rPr>
            </w:pPr>
            <w:r>
              <w:rPr>
                <w:rFonts w:ascii="Arial" w:cs="Arial" w:eastAsia="Arial" w:hAnsi="Arial"/>
                <w:sz w:val="14"/>
                <w:szCs w:val="14"/>
                <w:b w:val="1"/>
                <w:bCs w:val="1"/>
                <w:color w:val="auto"/>
                <w:w w:val="98"/>
              </w:rPr>
              <w:t>thousands)</w:t>
            </w:r>
          </w:p>
        </w:tc>
        <w:tc>
          <w:tcPr>
            <w:tcW w:w="134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w w:val="98"/>
              </w:rPr>
              <w:t>thousands)</w:t>
            </w: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1"/>
                <w:szCs w:val="11"/>
                <w:b w:val="1"/>
                <w:bCs w:val="1"/>
                <w:color w:val="auto"/>
              </w:rPr>
              <w:t>(1)</w:t>
            </w:r>
            <w:r>
              <w:rPr>
                <w:rFonts w:ascii="Arial" w:cs="Arial" w:eastAsia="Arial" w:hAnsi="Arial"/>
                <w:sz w:val="14"/>
                <w:szCs w:val="14"/>
                <w:b w:val="1"/>
                <w:bCs w:val="1"/>
                <w:color w:val="auto"/>
              </w:rPr>
              <w:t>)</w:t>
            </w:r>
          </w:p>
        </w:tc>
      </w:tr>
      <w:tr>
        <w:trPr>
          <w:trHeight w:val="221"/>
        </w:trPr>
        <w:tc>
          <w:tcPr>
            <w:tcW w:w="4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metrics:</w:t>
            </w:r>
          </w:p>
        </w:tc>
        <w:tc>
          <w:tcPr>
            <w:tcW w:w="1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1"/>
        </w:trPr>
        <w:tc>
          <w:tcPr>
            <w:tcW w:w="4680" w:type="dxa"/>
            <w:vAlign w:val="bottom"/>
          </w:tcPr>
          <w:p>
            <w:pPr>
              <w:spacing w:after="0"/>
              <w:rPr>
                <w:sz w:val="20"/>
                <w:szCs w:val="20"/>
                <w:color w:val="auto"/>
              </w:rPr>
            </w:pPr>
            <w:r>
              <w:rPr>
                <w:rFonts w:ascii="Arial" w:cs="Arial" w:eastAsia="Arial" w:hAnsi="Arial"/>
                <w:sz w:val="17"/>
                <w:szCs w:val="17"/>
                <w:color w:val="auto"/>
              </w:rPr>
              <w:t>Gross billing</w:t>
            </w:r>
          </w:p>
        </w:tc>
        <w:tc>
          <w:tcPr>
            <w:tcW w:w="1220" w:type="dxa"/>
            <w:vAlign w:val="bottom"/>
          </w:tcPr>
          <w:p>
            <w:pPr>
              <w:jc w:val="right"/>
              <w:ind w:right="261"/>
              <w:spacing w:after="0"/>
              <w:rPr>
                <w:sz w:val="20"/>
                <w:szCs w:val="20"/>
                <w:color w:val="auto"/>
              </w:rPr>
            </w:pPr>
            <w:r>
              <w:rPr>
                <w:rFonts w:ascii="Arial" w:cs="Arial" w:eastAsia="Arial" w:hAnsi="Arial"/>
                <w:sz w:val="17"/>
                <w:szCs w:val="17"/>
                <w:color w:val="auto"/>
              </w:rPr>
              <w:t>248,279</w:t>
            </w: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399,749</w:t>
            </w:r>
          </w:p>
        </w:tc>
        <w:tc>
          <w:tcPr>
            <w:tcW w:w="122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640,767</w:t>
            </w:r>
          </w:p>
        </w:tc>
        <w:tc>
          <w:tcPr>
            <w:tcW w:w="12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1"/>
        </w:trPr>
        <w:tc>
          <w:tcPr>
            <w:tcW w:w="4680" w:type="dxa"/>
            <w:vAlign w:val="bottom"/>
            <w:shd w:val="clear" w:color="auto" w:fill="CFF0FC"/>
          </w:tcPr>
          <w:p>
            <w:pPr>
              <w:spacing w:after="0"/>
              <w:rPr>
                <w:sz w:val="20"/>
                <w:szCs w:val="20"/>
                <w:color w:val="auto"/>
              </w:rPr>
            </w:pPr>
            <w:r>
              <w:rPr>
                <w:rFonts w:ascii="Arial" w:cs="Arial" w:eastAsia="Arial" w:hAnsi="Arial"/>
                <w:sz w:val="17"/>
                <w:szCs w:val="17"/>
                <w:color w:val="auto"/>
              </w:rPr>
              <w:t>Gross billing from mobile marketing solutions</w:t>
            </w:r>
          </w:p>
        </w:tc>
        <w:tc>
          <w:tcPr>
            <w:tcW w:w="1220" w:type="dxa"/>
            <w:vAlign w:val="bottom"/>
            <w:shd w:val="clear" w:color="auto" w:fill="CFF0FC"/>
          </w:tcPr>
          <w:p>
            <w:pPr>
              <w:jc w:val="right"/>
              <w:ind w:right="261"/>
              <w:spacing w:after="0"/>
              <w:rPr>
                <w:sz w:val="20"/>
                <w:szCs w:val="20"/>
                <w:color w:val="auto"/>
              </w:rPr>
            </w:pPr>
            <w:r>
              <w:rPr>
                <w:rFonts w:ascii="Arial" w:cs="Arial" w:eastAsia="Arial" w:hAnsi="Arial"/>
                <w:sz w:val="17"/>
                <w:szCs w:val="17"/>
                <w:color w:val="auto"/>
              </w:rPr>
              <w:t>172,194</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69.4</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328,702</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82.2</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565,634</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88.3</w:t>
            </w:r>
          </w:p>
        </w:tc>
      </w:tr>
      <w:tr>
        <w:trPr>
          <w:trHeight w:val="221"/>
        </w:trPr>
        <w:tc>
          <w:tcPr>
            <w:tcW w:w="4680" w:type="dxa"/>
            <w:vAlign w:val="bottom"/>
          </w:tcPr>
          <w:p>
            <w:pPr>
              <w:spacing w:after="0"/>
              <w:rPr>
                <w:sz w:val="20"/>
                <w:szCs w:val="20"/>
                <w:color w:val="auto"/>
              </w:rPr>
            </w:pPr>
            <w:r>
              <w:rPr>
                <w:rFonts w:ascii="Arial" w:cs="Arial" w:eastAsia="Arial" w:hAnsi="Arial"/>
                <w:sz w:val="17"/>
                <w:szCs w:val="17"/>
                <w:color w:val="auto"/>
              </w:rPr>
              <w:t>Gross billing from other marketing solutions</w:t>
            </w:r>
          </w:p>
        </w:tc>
        <w:tc>
          <w:tcPr>
            <w:tcW w:w="1220" w:type="dxa"/>
            <w:vAlign w:val="bottom"/>
          </w:tcPr>
          <w:p>
            <w:pPr>
              <w:jc w:val="right"/>
              <w:ind w:right="261"/>
              <w:spacing w:after="0"/>
              <w:rPr>
                <w:sz w:val="20"/>
                <w:szCs w:val="20"/>
                <w:color w:val="auto"/>
              </w:rPr>
            </w:pPr>
            <w:r>
              <w:rPr>
                <w:rFonts w:ascii="Arial" w:cs="Arial" w:eastAsia="Arial" w:hAnsi="Arial"/>
                <w:sz w:val="17"/>
                <w:szCs w:val="17"/>
                <w:color w:val="auto"/>
              </w:rPr>
              <w:t>76,085</w:t>
            </w:r>
          </w:p>
        </w:tc>
        <w:tc>
          <w:tcPr>
            <w:tcW w:w="90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71,047</w:t>
            </w:r>
          </w:p>
        </w:tc>
        <w:tc>
          <w:tcPr>
            <w:tcW w:w="122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64,697</w:t>
            </w:r>
          </w:p>
        </w:tc>
        <w:tc>
          <w:tcPr>
            <w:tcW w:w="122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21"/>
        </w:trPr>
        <w:tc>
          <w:tcPr>
            <w:tcW w:w="4680" w:type="dxa"/>
            <w:vAlign w:val="bottom"/>
            <w:shd w:val="clear" w:color="auto" w:fill="CFF0FC"/>
          </w:tcPr>
          <w:p>
            <w:pPr>
              <w:spacing w:after="0"/>
              <w:rPr>
                <w:sz w:val="20"/>
                <w:szCs w:val="20"/>
                <w:color w:val="auto"/>
              </w:rPr>
            </w:pPr>
            <w:r>
              <w:rPr>
                <w:rFonts w:ascii="Arial" w:cs="Arial" w:eastAsia="Arial" w:hAnsi="Arial"/>
                <w:sz w:val="17"/>
                <w:szCs w:val="17"/>
                <w:color w:val="auto"/>
              </w:rPr>
              <w:t>Gross billing from enterprise solutions</w:t>
            </w:r>
          </w:p>
        </w:tc>
        <w:tc>
          <w:tcPr>
            <w:tcW w:w="1220" w:type="dxa"/>
            <w:vAlign w:val="bottom"/>
            <w:shd w:val="clear" w:color="auto" w:fill="CFF0FC"/>
          </w:tcPr>
          <w:p>
            <w:pPr>
              <w:jc w:val="right"/>
              <w:ind w:right="261"/>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10,436</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16770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111" w:lineRule="exact"/>
        <w:rPr>
          <w:sz w:val="20"/>
          <w:szCs w:val="20"/>
          <w:color w:val="auto"/>
        </w:rPr>
      </w:pPr>
    </w:p>
    <w:p>
      <w:pPr>
        <w:jc w:val="both"/>
        <w:ind w:left="520" w:hanging="516"/>
        <w:spacing w:after="0" w:line="270" w:lineRule="auto"/>
        <w:tabs>
          <w:tab w:leader="none" w:pos="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With respect to net revenues from mobile marketing solutions, net revenues from other marketing solutions and net revenues from enterprise solutions, % of gross billing refers to the % of gross billing for mobile marketing solutions, % of gross billing for other marketing solutions, and % of gross billing for enterprise solutions, as the case may be.</w:t>
      </w:r>
    </w:p>
    <w:p>
      <w:pPr>
        <w:spacing w:after="0" w:line="173" w:lineRule="exact"/>
        <w:rPr>
          <w:sz w:val="20"/>
          <w:szCs w:val="20"/>
          <w:color w:val="auto"/>
        </w:rPr>
      </w:pPr>
    </w:p>
    <w:p>
      <w:pPr>
        <w:ind w:right="520" w:firstLine="782"/>
        <w:spacing w:after="0" w:line="286" w:lineRule="auto"/>
        <w:rPr>
          <w:sz w:val="20"/>
          <w:szCs w:val="20"/>
          <w:color w:val="auto"/>
        </w:rPr>
      </w:pPr>
      <w:r>
        <w:rPr>
          <w:rFonts w:ascii="Arial" w:cs="Arial" w:eastAsia="Arial" w:hAnsi="Arial"/>
          <w:sz w:val="17"/>
          <w:szCs w:val="17"/>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59" w:lineRule="exact"/>
        <w:rPr>
          <w:sz w:val="20"/>
          <w:szCs w:val="20"/>
          <w:color w:val="auto"/>
        </w:rPr>
      </w:pPr>
    </w:p>
    <w:p>
      <w:pPr>
        <w:ind w:right="20" w:firstLine="782"/>
        <w:spacing w:after="0" w:line="270" w:lineRule="auto"/>
        <w:rPr>
          <w:sz w:val="20"/>
          <w:szCs w:val="20"/>
          <w:color w:val="auto"/>
        </w:rPr>
      </w:pPr>
      <w:r>
        <w:rPr>
          <w:rFonts w:ascii="Arial" w:cs="Arial" w:eastAsia="Arial" w:hAnsi="Arial"/>
          <w:sz w:val="17"/>
          <w:szCs w:val="17"/>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73" w:lineRule="exact"/>
        <w:rPr>
          <w:sz w:val="20"/>
          <w:szCs w:val="20"/>
          <w:color w:val="auto"/>
        </w:rPr>
      </w:pPr>
    </w:p>
    <w:p>
      <w:pPr>
        <w:ind w:right="540" w:firstLine="782"/>
        <w:spacing w:after="0" w:line="286" w:lineRule="auto"/>
        <w:rPr>
          <w:sz w:val="20"/>
          <w:szCs w:val="20"/>
          <w:color w:val="auto"/>
        </w:rPr>
      </w:pPr>
      <w:r>
        <w:rPr>
          <w:rFonts w:ascii="Arial" w:cs="Arial" w:eastAsia="Arial" w:hAnsi="Arial"/>
          <w:sz w:val="17"/>
          <w:szCs w:val="17"/>
          <w:color w:val="auto"/>
        </w:rPr>
        <w:t>Gross billing derived from our sales agency arrangement was US$37.8 million, US$39.9 million and US$35.2 million in 2017, 2018 and 2019, respectively, none of which was recognized as net revenues for the respective periods.</w:t>
      </w:r>
    </w:p>
    <w:p>
      <w:pPr>
        <w:spacing w:after="0" w:line="159" w:lineRule="exact"/>
        <w:rPr>
          <w:sz w:val="20"/>
          <w:szCs w:val="20"/>
          <w:color w:val="auto"/>
        </w:rPr>
      </w:pPr>
    </w:p>
    <w:p>
      <w:pPr>
        <w:ind w:right="340" w:firstLine="782"/>
        <w:spacing w:after="0" w:line="319" w:lineRule="auto"/>
        <w:rPr>
          <w:sz w:val="20"/>
          <w:szCs w:val="20"/>
          <w:color w:val="auto"/>
        </w:rPr>
      </w:pPr>
      <w:r>
        <w:rPr>
          <w:rFonts w:ascii="Arial" w:cs="Arial" w:eastAsia="Arial" w:hAnsi="Arial"/>
          <w:sz w:val="16"/>
          <w:szCs w:val="16"/>
          <w:color w:val="auto"/>
        </w:rPr>
        <w:t>Gross billing derived from our cost-plus marketing campaigns was US$104.3 million, US$220.7 million and US$430.0 million in 2017, 2018 and 2019, respectively, out of which US$10.8 million, US$12.2 million and US$17.1 million was recognized as net revenues for the respective periods.</w:t>
      </w:r>
    </w:p>
    <w:p>
      <w:pPr>
        <w:spacing w:after="0" w:line="135" w:lineRule="exact"/>
        <w:rPr>
          <w:sz w:val="20"/>
          <w:szCs w:val="20"/>
          <w:color w:val="auto"/>
        </w:rPr>
      </w:pPr>
    </w:p>
    <w:p>
      <w:pPr>
        <w:ind w:right="160" w:firstLine="782"/>
        <w:spacing w:after="0" w:line="286" w:lineRule="auto"/>
        <w:rPr>
          <w:sz w:val="20"/>
          <w:szCs w:val="20"/>
          <w:color w:val="auto"/>
        </w:rPr>
      </w:pPr>
      <w:r>
        <w:rPr>
          <w:rFonts w:ascii="Arial" w:cs="Arial" w:eastAsia="Arial" w:hAnsi="Arial"/>
          <w:sz w:val="17"/>
          <w:szCs w:val="17"/>
          <w:color w:val="auto"/>
        </w:rPr>
        <w:t>Gross billing derived from our specified action marketing campaigns was US$106.2 million, US$139.2 million and US$165.3 million in 2017, 2018 and 2019, respectively, all of which was recognized as net revenues for the respective periods.</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Gross billing derived from our enterprise solutions was US$10.4 million in 2019, all of which was recognized as net revenues.</w:t>
      </w:r>
    </w:p>
    <w:p>
      <w:pPr>
        <w:spacing w:after="0" w:line="221" w:lineRule="exact"/>
        <w:rPr>
          <w:sz w:val="20"/>
          <w:szCs w:val="20"/>
          <w:color w:val="auto"/>
        </w:rPr>
      </w:pPr>
    </w:p>
    <w:p>
      <w:pPr>
        <w:ind w:right="180" w:firstLine="782"/>
        <w:spacing w:after="0" w:line="260" w:lineRule="auto"/>
        <w:rPr>
          <w:sz w:val="20"/>
          <w:szCs w:val="20"/>
          <w:color w:val="auto"/>
        </w:rPr>
      </w:pPr>
      <w:r>
        <w:rPr>
          <w:rFonts w:ascii="Arial" w:cs="Arial" w:eastAsia="Arial" w:hAnsi="Arial"/>
          <w:sz w:val="17"/>
          <w:szCs w:val="17"/>
          <w:color w:val="auto"/>
        </w:rPr>
        <w:t>Gross billing from our mobile marketing solutions increased, both in absolute amount and as a percentage of total gross billing, from 2017 to 2018 and further to 2019 as we prioritized the execution of our mobile strategy to capture a larger share of online marketing spend on mobile apps, and as our clients were generating larger mobile marketing spend. Gross billing from our other marketing solutions decreased from 2017 to 2018 and further to 2019 as we optimized the client base for other marketing solutions to focus on profitability and liquidity, and continued shift in our strategic focus to mobile marketing solutions and enterprise solutions. For example, we terminated relationship with certain clients for our other marketing solutions, as they had relatively long account receivable cycles and yielded relatively low operating profit margins. Some of these clients were large marketers and had individually accounted for more than 5% of our annual gross billing historically.</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Our gross billing per client increased by US$127,422, or 83.7%, from US$152,318 in 2017 to US$279,740 in 2018 and further increased by</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US$44,699, or 16.0%, to US$324,439 in 2019, while the total number of our clients decreased by 12.3% from 1,630 in 2017 to 1,429 in 2018 due to our efforts in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optimizing our client base. The total number of our clients increased by 38.2% from 1,429 in 2018 to 1,975 in 2019, primarily attributable to our increased ability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to cater to the growing market demand.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firstLine="532"/>
        <w:spacing w:after="0" w:line="265" w:lineRule="auto"/>
        <w:rPr>
          <w:sz w:val="20"/>
          <w:szCs w:val="20"/>
          <w:color w:val="auto"/>
        </w:rPr>
      </w:pPr>
      <w:r>
        <w:rPr>
          <w:rFonts w:ascii="Arial" w:cs="Arial" w:eastAsia="Arial" w:hAnsi="Arial"/>
          <w:sz w:val="17"/>
          <w:szCs w:val="17"/>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and the period-to-period comparisons discussed below may not be meaningful and are not indicative of our future trends.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3"/>
              </w:rPr>
              <w:t>2019</w:t>
            </w: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(US$ in thousands)</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 net</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(US$ in thousands)</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 net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(US$ in thousands)</w:t>
            </w:r>
          </w:p>
        </w:tc>
        <w:tc>
          <w:tcPr>
            <w:tcW w:w="16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 of net revenues)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revenues)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revenues)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2880" w:type="dxa"/>
            <w:vAlign w:val="bottom"/>
          </w:tcPr>
          <w:p>
            <w:pPr>
              <w:spacing w:after="0"/>
              <w:rPr>
                <w:sz w:val="7"/>
                <w:szCs w:val="7"/>
                <w:color w:val="auto"/>
              </w:rPr>
            </w:pPr>
          </w:p>
        </w:tc>
        <w:tc>
          <w:tcPr>
            <w:tcW w:w="13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gridSpan w:val="2"/>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Net revenues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125,258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100.0</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160,017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199,408</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Cost of revenues</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(95,733)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(76.4)</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(120,897)</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(75.6)</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(142,703)</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29,525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23.6</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39,120</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24.4</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56,705</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shd w:val="clear" w:color="auto" w:fill="CFF0FC"/>
          </w:tcPr>
          <w:p>
            <w:pPr>
              <w:ind w:left="80"/>
              <w:spacing w:after="0"/>
              <w:rPr>
                <w:sz w:val="20"/>
                <w:szCs w:val="20"/>
                <w:color w:val="auto"/>
              </w:rPr>
            </w:pPr>
            <w:r>
              <w:rPr>
                <w:rFonts w:ascii="Arial" w:cs="Arial" w:eastAsia="Arial" w:hAnsi="Arial"/>
                <w:sz w:val="17"/>
                <w:szCs w:val="17"/>
                <w:color w:val="auto"/>
              </w:rPr>
              <w:t>expenses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(5,778)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(4.6)</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(10,737)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(6.7)</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(5,574)</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Sales and marketing</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ind w:left="80"/>
              <w:spacing w:after="0"/>
              <w:rPr>
                <w:sz w:val="20"/>
                <w:szCs w:val="20"/>
                <w:color w:val="auto"/>
              </w:rPr>
            </w:pPr>
            <w:r>
              <w:rPr>
                <w:rFonts w:ascii="Arial" w:cs="Arial" w:eastAsia="Arial" w:hAnsi="Arial"/>
                <w:sz w:val="17"/>
                <w:szCs w:val="17"/>
                <w:color w:val="auto"/>
              </w:rPr>
              <w:t>expenses</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(25,935)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(20.7)</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(32,080)</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(42,968)</w:t>
            </w:r>
          </w:p>
        </w:tc>
        <w:tc>
          <w:tcPr>
            <w:tcW w:w="1660" w:type="dxa"/>
            <w:vAlign w:val="bottom"/>
            <w:gridSpan w:val="3"/>
          </w:tcPr>
          <w:p>
            <w:pPr>
              <w:jc w:val="right"/>
              <w:ind w:right="2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shd w:val="clear" w:color="auto" w:fill="CFF0FC"/>
          </w:tcPr>
          <w:p>
            <w:pPr>
              <w:ind w:left="80"/>
              <w:spacing w:after="0"/>
              <w:rPr>
                <w:sz w:val="20"/>
                <w:szCs w:val="20"/>
                <w:color w:val="auto"/>
              </w:rPr>
            </w:pPr>
            <w:r>
              <w:rPr>
                <w:rFonts w:ascii="Arial" w:cs="Arial" w:eastAsia="Arial" w:hAnsi="Arial"/>
                <w:sz w:val="17"/>
                <w:szCs w:val="17"/>
                <w:color w:val="auto"/>
              </w:rPr>
              <w:t>expenses</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(12,983)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(10.4)</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(23,757)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(14.9)</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(20,304)</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(44,696)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(35.7)</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(66,574)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(41.6)</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(68,846)</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Operating loss</w:t>
            </w:r>
          </w:p>
        </w:tc>
        <w:tc>
          <w:tcPr>
            <w:tcW w:w="10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(15,171)</w:t>
            </w: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(27,454)</w:t>
            </w: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(12,141)</w:t>
            </w:r>
          </w:p>
        </w:tc>
        <w:tc>
          <w:tcPr>
            <w:tcW w:w="120" w:type="dxa"/>
            <w:vAlign w:val="bottom"/>
            <w:shd w:val="clear" w:color="auto" w:fill="CFF0FC"/>
          </w:tcPr>
          <w:p>
            <w:pPr>
              <w:spacing w:after="0"/>
              <w:rPr>
                <w:sz w:val="18"/>
                <w:szCs w:val="18"/>
                <w:color w:val="auto"/>
              </w:rPr>
            </w:pPr>
          </w:p>
        </w:tc>
        <w:tc>
          <w:tcPr>
            <w:tcW w:w="16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9"/>
                <w:szCs w:val="19"/>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421</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0.3</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537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(0.4)</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(773)</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(0.5)</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(1,915)</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Other gains, net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1,841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687</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2,992</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Fair value (losses)/ gains on</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shd w:val="clear" w:color="auto" w:fill="CFF0FC"/>
          </w:tcPr>
          <w:p>
            <w:pPr>
              <w:ind w:left="80"/>
              <w:spacing w:after="0"/>
              <w:rPr>
                <w:sz w:val="20"/>
                <w:szCs w:val="20"/>
                <w:color w:val="auto"/>
              </w:rPr>
            </w:pPr>
            <w:r>
              <w:rPr>
                <w:rFonts w:ascii="Arial" w:cs="Arial" w:eastAsia="Arial" w:hAnsi="Arial"/>
                <w:sz w:val="17"/>
                <w:szCs w:val="17"/>
                <w:color w:val="auto"/>
              </w:rPr>
              <w:t>convertible notes</w:t>
            </w:r>
          </w:p>
        </w:tc>
        <w:tc>
          <w:tcPr>
            <w:tcW w:w="10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(4,837)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(3.0)</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133</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Fair value losses on</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80" w:type="dxa"/>
            <w:vAlign w:val="bottom"/>
          </w:tcPr>
          <w:p>
            <w:pPr>
              <w:ind w:left="80"/>
              <w:spacing w:after="0"/>
              <w:rPr>
                <w:sz w:val="20"/>
                <w:szCs w:val="20"/>
                <w:color w:val="auto"/>
              </w:rPr>
            </w:pPr>
            <w:r>
              <w:rPr>
                <w:rFonts w:ascii="Arial" w:cs="Arial" w:eastAsia="Arial" w:hAnsi="Arial"/>
                <w:sz w:val="17"/>
                <w:szCs w:val="17"/>
                <w:color w:val="auto"/>
              </w:rPr>
              <w:t>derivative liabilities</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Loss before income tax</w:t>
            </w: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shd w:val="clear" w:color="auto" w:fill="CFF0FC"/>
          </w:tcPr>
          <w:p>
            <w:pPr>
              <w:ind w:left="80"/>
              <w:spacing w:after="0"/>
              <w:rPr>
                <w:sz w:val="20"/>
                <w:szCs w:val="20"/>
                <w:color w:val="auto"/>
              </w:rPr>
            </w:pPr>
            <w:r>
              <w:rPr>
                <w:rFonts w:ascii="Arial" w:cs="Arial" w:eastAsia="Arial" w:hAnsi="Arial"/>
                <w:sz w:val="17"/>
                <w:szCs w:val="17"/>
                <w:color w:val="auto"/>
              </w:rPr>
              <w:t>Expense</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(24,071)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(19.2)</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(31,956)</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(20.0)</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(10,394)</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7"/>
                <w:szCs w:val="17"/>
                <w:color w:val="auto"/>
                <w:w w:val="96"/>
              </w:rPr>
              <w:t>Share of losses from an equity investee</w:t>
            </w:r>
          </w:p>
        </w:tc>
        <w:tc>
          <w:tcPr>
            <w:tcW w:w="100" w:type="dxa"/>
            <w:vAlign w:val="bottom"/>
          </w:tcPr>
          <w:p>
            <w:pPr>
              <w:spacing w:after="0"/>
              <w:rPr>
                <w:sz w:val="19"/>
                <w:szCs w:val="19"/>
                <w:color w:val="auto"/>
              </w:rPr>
            </w:pP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(408)</w:t>
            </w:r>
          </w:p>
        </w:tc>
        <w:tc>
          <w:tcPr>
            <w:tcW w:w="166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(0.5)</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(655)</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(0.4)</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(47)</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Net loss</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(24,619)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(19.7)</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(32,611)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(20.4)</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(10,849)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17" w:lineRule="exact"/>
        <w:rPr>
          <w:sz w:val="20"/>
          <w:szCs w:val="20"/>
          <w:color w:val="auto"/>
        </w:rPr>
      </w:pPr>
    </w:p>
    <w:p>
      <w:pPr>
        <w:ind w:right="20" w:firstLine="782"/>
        <w:spacing w:after="0" w:line="302" w:lineRule="auto"/>
        <w:rPr>
          <w:sz w:val="20"/>
          <w:szCs w:val="20"/>
          <w:color w:val="auto"/>
        </w:rPr>
      </w:pPr>
      <w:r>
        <w:rPr>
          <w:rFonts w:ascii="Arial" w:cs="Arial" w:eastAsia="Arial" w:hAnsi="Arial"/>
          <w:sz w:val="15"/>
          <w:szCs w:val="15"/>
          <w:color w:val="auto"/>
        </w:rPr>
        <w:t>We generate revenue primarily from clients’ marketing spend through our platform as they utilize our solutions in cost-plus and specified action marketing campaigns, and to a less extent from incentives granted by the publishers under our sales agency arrangement. We derive revenue from four sources and report them on either the net or gross basis: (i) revenue from incentives earned from the website publishers for which we act as sales agent for its content distribution opportunities, or the sales agency arrangement, which is reported on a net basis, (ii) revenue from performing cost-plus marketing campaigns, which is reported on a net basis, (iii) revenue from performing specified actions marketing campaigns (i.e., a CPM, CPC, CPA, CPS, CPL or ROI basis), which is reported on a gross basis; and (iv) revenue from SaaS products offering under our enterprise solutions business, which is reported on a gross basis and a net basis.</w:t>
      </w:r>
    </w:p>
    <w:p>
      <w:pPr>
        <w:spacing w:after="0" w:line="155" w:lineRule="exact"/>
        <w:rPr>
          <w:sz w:val="20"/>
          <w:szCs w:val="20"/>
          <w:color w:val="auto"/>
        </w:rPr>
      </w:pPr>
    </w:p>
    <w:p>
      <w:pPr>
        <w:ind w:right="60" w:firstLine="782"/>
        <w:spacing w:after="0" w:line="263" w:lineRule="auto"/>
        <w:rPr>
          <w:sz w:val="20"/>
          <w:szCs w:val="20"/>
          <w:color w:val="auto"/>
        </w:rPr>
      </w:pPr>
      <w:r>
        <w:rPr>
          <w:rFonts w:ascii="Arial" w:cs="Arial" w:eastAsia="Arial" w:hAnsi="Arial"/>
          <w:sz w:val="17"/>
          <w:szCs w:val="17"/>
          <w:color w:val="auto"/>
        </w:rPr>
        <w:t>We record incentives from the publishers under the sales agency arrangement as net revenues. We consider the publishers to be our customers under the sales agency arrangement. The amount of such incentives is determined based on a variety of factors, including yearly market spending at the publishers’ platforms. Under our sales agency arrangement, we do not receive any rebate from the publishers. Net revenues from our sales agency arrangement, which equal the incentives received from the publishers under the sales agency arrangement were US$8.3 million, US$8.7 million and US$6.6 million in 2017, 2018 and 2019,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5" w:name="page86"/>
    <w:bookmarkEnd w:id="85"/>
    <w:p>
      <w:pPr>
        <w:jc w:val="both"/>
        <w:ind w:right="100" w:firstLine="782"/>
        <w:spacing w:after="0" w:line="311" w:lineRule="auto"/>
        <w:rPr>
          <w:sz w:val="20"/>
          <w:szCs w:val="20"/>
          <w:color w:val="auto"/>
        </w:rPr>
      </w:pPr>
      <w:r>
        <w:rPr>
          <w:rFonts w:ascii="Arial" w:cs="Arial" w:eastAsia="Arial" w:hAnsi="Arial"/>
          <w:sz w:val="15"/>
          <w:szCs w:val="15"/>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US$10.8 million, US$12.2 million and US$17.1 million in 2017, 2018 and 2019, respectively.</w:t>
      </w:r>
    </w:p>
    <w:p>
      <w:pPr>
        <w:spacing w:after="0" w:line="147" w:lineRule="exact"/>
        <w:rPr>
          <w:sz w:val="20"/>
          <w:szCs w:val="20"/>
          <w:color w:val="auto"/>
        </w:rPr>
      </w:pPr>
    </w:p>
    <w:p>
      <w:pPr>
        <w:ind w:right="60" w:firstLine="782"/>
        <w:spacing w:after="0" w:line="283" w:lineRule="auto"/>
        <w:rPr>
          <w:sz w:val="20"/>
          <w:szCs w:val="20"/>
          <w:color w:val="auto"/>
        </w:rPr>
      </w:pPr>
      <w:r>
        <w:rPr>
          <w:rFonts w:ascii="Arial" w:cs="Arial" w:eastAsia="Arial" w:hAnsi="Arial"/>
          <w:sz w:val="16"/>
          <w:szCs w:val="16"/>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US$106.2 million, US$139.2 million and US$165.3 million in 2017, 2018 and 2019, respectively.</w:t>
      </w:r>
    </w:p>
    <w:p>
      <w:pPr>
        <w:spacing w:after="0" w:line="164" w:lineRule="exact"/>
        <w:rPr>
          <w:sz w:val="20"/>
          <w:szCs w:val="20"/>
          <w:color w:val="auto"/>
        </w:rPr>
      </w:pPr>
    </w:p>
    <w:p>
      <w:pPr>
        <w:ind w:right="40" w:firstLine="782"/>
        <w:spacing w:after="0" w:line="277" w:lineRule="auto"/>
        <w:rPr>
          <w:sz w:val="20"/>
          <w:szCs w:val="20"/>
          <w:color w:val="auto"/>
        </w:rPr>
      </w:pPr>
      <w:r>
        <w:rPr>
          <w:rFonts w:ascii="Arial" w:cs="Arial" w:eastAsia="Arial" w:hAnsi="Arial"/>
          <w:sz w:val="16"/>
          <w:szCs w:val="16"/>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Rebates we grant under our sales agency arrangement were recorded as cost of revenues before January 1, 2018 as we consider these rebates were identifiable and separable from the incentive revenue generated from the publisher under ASC 605, and after January 1, 2018, as reduction of revenue, as we adopted ASC 606 “Revenue from Contracts with Customers” using the modified retrospective method. In all other circumstances, rebates and discounts we grant are recorded as reduction of revenue.</w:t>
      </w:r>
    </w:p>
    <w:p>
      <w:pPr>
        <w:spacing w:after="0" w:line="170" w:lineRule="exact"/>
        <w:rPr>
          <w:sz w:val="20"/>
          <w:szCs w:val="20"/>
          <w:color w:val="auto"/>
        </w:rPr>
      </w:pPr>
    </w:p>
    <w:p>
      <w:pPr>
        <w:ind w:right="60" w:firstLine="782"/>
        <w:spacing w:after="0" w:line="263" w:lineRule="auto"/>
        <w:rPr>
          <w:sz w:val="20"/>
          <w:szCs w:val="20"/>
          <w:color w:val="auto"/>
        </w:rPr>
      </w:pPr>
      <w:r>
        <w:rPr>
          <w:rFonts w:ascii="Arial" w:cs="Arial" w:eastAsia="Arial" w:hAnsi="Arial"/>
          <w:sz w:val="17"/>
          <w:szCs w:val="17"/>
          <w:color w:val="auto"/>
        </w:rPr>
        <w:t>Starting from 2019, we also generate revenue from SaaS products which are cloud-hosted software offering enterprise solutions to customers through provision of software licenses and retail and CRM solutions.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and maintenance services provided by us. Net revenues from our SaaS-based enterprise solutions was US$10.4 million in 2019.</w:t>
      </w:r>
    </w:p>
    <w:p>
      <w:pPr>
        <w:spacing w:after="0" w:line="178" w:lineRule="exact"/>
        <w:rPr>
          <w:sz w:val="20"/>
          <w:szCs w:val="20"/>
          <w:color w:val="auto"/>
        </w:rPr>
      </w:pPr>
    </w:p>
    <w:p>
      <w:pPr>
        <w:ind w:right="320" w:firstLine="782"/>
        <w:spacing w:after="0" w:line="286" w:lineRule="auto"/>
        <w:rPr>
          <w:sz w:val="20"/>
          <w:szCs w:val="20"/>
          <w:color w:val="auto"/>
        </w:rPr>
      </w:pPr>
      <w:r>
        <w:rPr>
          <w:rFonts w:ascii="Arial" w:cs="Arial" w:eastAsia="Arial" w:hAnsi="Arial"/>
          <w:sz w:val="17"/>
          <w:szCs w:val="17"/>
          <w:color w:val="auto"/>
        </w:rPr>
        <w:t>The table below shows our net revenues breakdown for our mobile marketing solutions, other marketing solutions, and enterprise solutions for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4660" w:type="dxa"/>
            <w:vAlign w:val="bottom"/>
          </w:tcPr>
          <w:p>
            <w:pPr>
              <w:spacing w:after="0"/>
              <w:rPr>
                <w:sz w:val="13"/>
                <w:szCs w:val="13"/>
                <w:color w:val="auto"/>
              </w:rPr>
            </w:pPr>
          </w:p>
        </w:tc>
        <w:tc>
          <w:tcPr>
            <w:tcW w:w="1240" w:type="dxa"/>
            <w:vAlign w:val="bottom"/>
            <w:tcBorders>
              <w:bottom w:val="single" w:sz="8" w:color="auto"/>
            </w:tcBorders>
            <w:gridSpan w:val="3"/>
          </w:tcPr>
          <w:p>
            <w:pPr>
              <w:ind w:left="880"/>
              <w:spacing w:after="0" w:line="156"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Borders>
              <w:bottom w:val="single" w:sz="8" w:color="auto"/>
            </w:tcBorders>
            <w:gridSpan w:val="3"/>
          </w:tcPr>
          <w:p>
            <w:pPr>
              <w:jc w:val="right"/>
              <w:ind w:right="80"/>
              <w:spacing w:after="0" w:line="156"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Borders>
              <w:bottom w:val="single" w:sz="8" w:color="auto"/>
            </w:tcBorders>
            <w:gridSpan w:val="3"/>
          </w:tcPr>
          <w:p>
            <w:pPr>
              <w:jc w:val="right"/>
              <w:ind w:right="773"/>
              <w:spacing w:after="0" w:line="156"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7"/>
        </w:trPr>
        <w:tc>
          <w:tcPr>
            <w:tcW w:w="4660" w:type="dxa"/>
            <w:vAlign w:val="bottom"/>
          </w:tcPr>
          <w:p>
            <w:pPr>
              <w:spacing w:after="0"/>
              <w:rPr>
                <w:sz w:val="11"/>
                <w:szCs w:val="11"/>
                <w:color w:val="auto"/>
              </w:rPr>
            </w:pPr>
          </w:p>
        </w:tc>
        <w:tc>
          <w:tcPr>
            <w:tcW w:w="1240" w:type="dxa"/>
            <w:vAlign w:val="bottom"/>
            <w:gridSpan w:val="3"/>
          </w:tcPr>
          <w:p>
            <w:pPr>
              <w:jc w:val="center"/>
              <w:ind w:right="340"/>
              <w:spacing w:after="0" w:line="127" w:lineRule="exact"/>
              <w:rPr>
                <w:sz w:val="20"/>
                <w:szCs w:val="20"/>
                <w:color w:val="auto"/>
              </w:rPr>
            </w:pPr>
            <w:r>
              <w:rPr>
                <w:rFonts w:ascii="Arial" w:cs="Arial" w:eastAsia="Arial" w:hAnsi="Arial"/>
                <w:sz w:val="14"/>
                <w:szCs w:val="14"/>
                <w:b w:val="1"/>
                <w:bCs w:val="1"/>
                <w:color w:val="auto"/>
                <w:w w:val="95"/>
              </w:rPr>
              <w:t>(US$ in</w:t>
            </w:r>
          </w:p>
        </w:tc>
        <w:tc>
          <w:tcPr>
            <w:tcW w:w="820" w:type="dxa"/>
            <w:vAlign w:val="bottom"/>
          </w:tcPr>
          <w:p>
            <w:pPr>
              <w:jc w:val="right"/>
              <w:ind w:right="99"/>
              <w:spacing w:after="0" w:line="127" w:lineRule="exact"/>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1"/>
                <w:szCs w:val="11"/>
                <w:color w:val="auto"/>
              </w:rPr>
            </w:pPr>
          </w:p>
        </w:tc>
        <w:tc>
          <w:tcPr>
            <w:tcW w:w="1200" w:type="dxa"/>
            <w:vAlign w:val="bottom"/>
            <w:gridSpan w:val="3"/>
          </w:tcPr>
          <w:p>
            <w:pPr>
              <w:jc w:val="center"/>
              <w:ind w:right="320"/>
              <w:spacing w:after="0" w:line="127" w:lineRule="exact"/>
              <w:rPr>
                <w:sz w:val="20"/>
                <w:szCs w:val="20"/>
                <w:color w:val="auto"/>
              </w:rPr>
            </w:pPr>
            <w:r>
              <w:rPr>
                <w:rFonts w:ascii="Arial" w:cs="Arial" w:eastAsia="Arial" w:hAnsi="Arial"/>
                <w:sz w:val="14"/>
                <w:szCs w:val="14"/>
                <w:b w:val="1"/>
                <w:bCs w:val="1"/>
                <w:color w:val="auto"/>
                <w:w w:val="91"/>
              </w:rPr>
              <w:t>(US$ in</w:t>
            </w:r>
          </w:p>
        </w:tc>
        <w:tc>
          <w:tcPr>
            <w:tcW w:w="800" w:type="dxa"/>
            <w:vAlign w:val="bottom"/>
          </w:tcPr>
          <w:p>
            <w:pPr>
              <w:jc w:val="right"/>
              <w:ind w:right="99"/>
              <w:spacing w:after="0" w:line="127"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880" w:type="dxa"/>
            <w:vAlign w:val="bottom"/>
          </w:tcPr>
          <w:p>
            <w:pPr>
              <w:jc w:val="right"/>
              <w:ind w:right="141"/>
              <w:spacing w:after="0" w:line="127" w:lineRule="exact"/>
              <w:rPr>
                <w:sz w:val="20"/>
                <w:szCs w:val="20"/>
                <w:color w:val="auto"/>
              </w:rPr>
            </w:pPr>
            <w:r>
              <w:rPr>
                <w:rFonts w:ascii="Arial" w:cs="Arial" w:eastAsia="Arial" w:hAnsi="Arial"/>
                <w:sz w:val="14"/>
                <w:szCs w:val="14"/>
                <w:b w:val="1"/>
                <w:bCs w:val="1"/>
                <w:color w:val="auto"/>
              </w:rPr>
              <w:t>(US$ in</w:t>
            </w:r>
          </w:p>
        </w:tc>
        <w:tc>
          <w:tcPr>
            <w:tcW w:w="1100" w:type="dxa"/>
            <w:vAlign w:val="bottom"/>
            <w:gridSpan w:val="2"/>
          </w:tcPr>
          <w:p>
            <w:pPr>
              <w:ind w:left="220"/>
              <w:spacing w:after="0" w:line="127"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0"/>
        </w:trPr>
        <w:tc>
          <w:tcPr>
            <w:tcW w:w="4660" w:type="dxa"/>
            <w:vAlign w:val="bottom"/>
          </w:tcPr>
          <w:p>
            <w:pPr>
              <w:spacing w:after="0"/>
              <w:rPr>
                <w:sz w:val="15"/>
                <w:szCs w:val="15"/>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thousands)</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revenues)</w:t>
            </w: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thousands)</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revenues)</w:t>
            </w:r>
          </w:p>
        </w:tc>
        <w:tc>
          <w:tcPr>
            <w:tcW w:w="880" w:type="dxa"/>
            <w:vAlign w:val="bottom"/>
          </w:tcPr>
          <w:p>
            <w:pPr>
              <w:jc w:val="right"/>
              <w:ind w:right="41"/>
              <w:spacing w:after="0"/>
              <w:rPr>
                <w:sz w:val="20"/>
                <w:szCs w:val="20"/>
                <w:color w:val="auto"/>
              </w:rPr>
            </w:pPr>
            <w:r>
              <w:rPr>
                <w:rFonts w:ascii="Arial" w:cs="Arial" w:eastAsia="Arial" w:hAnsi="Arial"/>
                <w:sz w:val="14"/>
                <w:szCs w:val="14"/>
                <w:b w:val="1"/>
                <w:bCs w:val="1"/>
                <w:color w:val="auto"/>
                <w:w w:val="98"/>
              </w:rPr>
              <w:t>thousands)</w:t>
            </w:r>
          </w:p>
        </w:tc>
        <w:tc>
          <w:tcPr>
            <w:tcW w:w="1200" w:type="dxa"/>
            <w:vAlign w:val="bottom"/>
            <w:gridSpan w:val="3"/>
          </w:tcPr>
          <w:p>
            <w:pPr>
              <w:ind w:left="220"/>
              <w:spacing w:after="0"/>
              <w:rPr>
                <w:sz w:val="20"/>
                <w:szCs w:val="20"/>
                <w:color w:val="auto"/>
              </w:rPr>
            </w:pPr>
            <w:r>
              <w:rPr>
                <w:rFonts w:ascii="Arial" w:cs="Arial" w:eastAsia="Arial" w:hAnsi="Arial"/>
                <w:sz w:val="14"/>
                <w:szCs w:val="14"/>
                <w:b w:val="1"/>
                <w:bCs w:val="1"/>
                <w:color w:val="auto"/>
              </w:rPr>
              <w:t>revenues)</w:t>
            </w:r>
          </w:p>
        </w:tc>
        <w:tc>
          <w:tcPr>
            <w:tcW w:w="20" w:type="dxa"/>
            <w:vAlign w:val="bottom"/>
          </w:tcPr>
          <w:p>
            <w:pPr>
              <w:spacing w:after="0"/>
              <w:rPr>
                <w:sz w:val="15"/>
                <w:szCs w:val="15"/>
                <w:color w:val="auto"/>
              </w:rPr>
            </w:pPr>
          </w:p>
        </w:tc>
      </w:tr>
      <w:tr>
        <w:trPr>
          <w:trHeight w:val="207"/>
        </w:trPr>
        <w:tc>
          <w:tcPr>
            <w:tcW w:w="4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Net revenues from mobile marketing solutions</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101,426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140,428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87.8</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171,067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4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revenues from other marketing solutions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23,832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19,589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17,905</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Net revenues from enterprise solutions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10,436</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660" w:type="dxa"/>
            <w:vAlign w:val="bottom"/>
          </w:tcPr>
          <w:p>
            <w:pPr>
              <w:spacing w:after="0"/>
              <w:rPr>
                <w:sz w:val="20"/>
                <w:szCs w:val="20"/>
                <w:color w:val="auto"/>
              </w:rPr>
            </w:pPr>
            <w:r>
              <w:rPr>
                <w:rFonts w:ascii="Arial" w:cs="Arial" w:eastAsia="Arial" w:hAnsi="Arial"/>
                <w:sz w:val="17"/>
                <w:szCs w:val="17"/>
                <w:color w:val="auto"/>
              </w:rPr>
              <w:t>Total net revenues</w:t>
            </w:r>
          </w:p>
        </w:tc>
        <w:tc>
          <w:tcPr>
            <w:tcW w:w="920" w:type="dxa"/>
            <w:vAlign w:val="bottom"/>
          </w:tcPr>
          <w:p>
            <w:pPr>
              <w:jc w:val="right"/>
              <w:spacing w:after="0"/>
              <w:rPr>
                <w:sz w:val="20"/>
                <w:szCs w:val="20"/>
                <w:color w:val="auto"/>
              </w:rPr>
            </w:pPr>
            <w:r>
              <w:rPr>
                <w:rFonts w:ascii="Arial" w:cs="Arial" w:eastAsia="Arial" w:hAnsi="Arial"/>
                <w:sz w:val="17"/>
                <w:szCs w:val="17"/>
                <w:color w:val="auto"/>
              </w:rPr>
              <w:t>125,258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160,017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199,408</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9"/>
        </w:trPr>
        <w:tc>
          <w:tcPr>
            <w:tcW w:w="4660" w:type="dxa"/>
            <w:vAlign w:val="bottom"/>
          </w:tcPr>
          <w:p>
            <w:pPr>
              <w:spacing w:after="0"/>
              <w:rPr>
                <w:sz w:val="24"/>
                <w:szCs w:val="24"/>
                <w:color w:val="auto"/>
              </w:rPr>
            </w:pPr>
          </w:p>
        </w:tc>
        <w:tc>
          <w:tcPr>
            <w:tcW w:w="1140" w:type="dxa"/>
            <w:vAlign w:val="bottom"/>
            <w:gridSpan w:val="2"/>
          </w:tcPr>
          <w:p>
            <w:pPr>
              <w:ind w:left="88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6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6" w:name="page87"/>
    <w:bookmarkEnd w:id="86"/>
    <w:p>
      <w:pPr>
        <w:ind w:left="160" w:right="200" w:firstLine="758"/>
        <w:spacing w:after="0" w:line="239" w:lineRule="auto"/>
        <w:rPr>
          <w:sz w:val="20"/>
          <w:szCs w:val="20"/>
          <w:color w:val="auto"/>
        </w:rPr>
      </w:pPr>
      <w:r>
        <w:rPr>
          <w:rFonts w:ascii="Arial" w:cs="Arial" w:eastAsia="Arial" w:hAnsi="Arial"/>
          <w:sz w:val="17"/>
          <w:szCs w:val="17"/>
          <w:color w:val="auto"/>
        </w:rPr>
        <w:t>The table below shows our rebates received from publishers under cost-plus marketing campaigns, which were recognized as net revenues for our mobile marketing solutions and other marketing solutions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3"/>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
        </w:trPr>
        <w:tc>
          <w:tcPr>
            <w:tcW w:w="4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9"/>
        </w:trPr>
        <w:tc>
          <w:tcPr>
            <w:tcW w:w="4660" w:type="dxa"/>
            <w:vAlign w:val="bottom"/>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42"/>
              <w:spacing w:after="0" w:line="149" w:lineRule="exact"/>
              <w:rPr>
                <w:sz w:val="20"/>
                <w:szCs w:val="20"/>
                <w:color w:val="auto"/>
              </w:rPr>
            </w:pPr>
            <w:r>
              <w:rPr>
                <w:rFonts w:ascii="Arial" w:cs="Arial" w:eastAsia="Arial" w:hAnsi="Arial"/>
                <w:sz w:val="14"/>
                <w:szCs w:val="14"/>
                <w:b w:val="1"/>
                <w:bCs w:val="1"/>
                <w:color w:val="auto"/>
                <w:w w:val="83"/>
              </w:rPr>
              <w:t>2019</w:t>
            </w:r>
          </w:p>
        </w:tc>
      </w:tr>
      <w:tr>
        <w:trPr>
          <w:trHeight w:val="127"/>
        </w:trPr>
        <w:tc>
          <w:tcPr>
            <w:tcW w:w="4660" w:type="dxa"/>
            <w:vAlign w:val="bottom"/>
          </w:tcPr>
          <w:p>
            <w:pPr>
              <w:spacing w:after="0"/>
              <w:rPr>
                <w:sz w:val="11"/>
                <w:szCs w:val="11"/>
                <w:color w:val="auto"/>
              </w:rPr>
            </w:pPr>
          </w:p>
        </w:tc>
        <w:tc>
          <w:tcPr>
            <w:tcW w:w="1280" w:type="dxa"/>
            <w:vAlign w:val="bottom"/>
          </w:tcPr>
          <w:p>
            <w:pPr>
              <w:jc w:val="right"/>
              <w:ind w:right="562"/>
              <w:spacing w:after="0" w:line="127" w:lineRule="exact"/>
              <w:rPr>
                <w:sz w:val="20"/>
                <w:szCs w:val="20"/>
                <w:color w:val="auto"/>
              </w:rPr>
            </w:pPr>
            <w:r>
              <w:rPr>
                <w:rFonts w:ascii="Arial" w:cs="Arial" w:eastAsia="Arial" w:hAnsi="Arial"/>
                <w:sz w:val="14"/>
                <w:szCs w:val="14"/>
                <w:b w:val="1"/>
                <w:bCs w:val="1"/>
                <w:color w:val="auto"/>
              </w:rPr>
              <w:t>(US in</w:t>
            </w:r>
          </w:p>
        </w:tc>
        <w:tc>
          <w:tcPr>
            <w:tcW w:w="880" w:type="dxa"/>
            <w:vAlign w:val="bottom"/>
          </w:tcPr>
          <w:p>
            <w:pPr>
              <w:jc w:val="right"/>
              <w:ind w:right="160"/>
              <w:spacing w:after="0" w:line="127"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1"/>
                <w:szCs w:val="11"/>
                <w:color w:val="auto"/>
              </w:rPr>
            </w:pPr>
          </w:p>
        </w:tc>
        <w:tc>
          <w:tcPr>
            <w:tcW w:w="1200" w:type="dxa"/>
            <w:vAlign w:val="bottom"/>
          </w:tcPr>
          <w:p>
            <w:pPr>
              <w:jc w:val="right"/>
              <w:ind w:right="483"/>
              <w:spacing w:after="0" w:line="127" w:lineRule="exact"/>
              <w:rPr>
                <w:sz w:val="20"/>
                <w:szCs w:val="20"/>
                <w:color w:val="auto"/>
              </w:rPr>
            </w:pPr>
            <w:r>
              <w:rPr>
                <w:rFonts w:ascii="Arial" w:cs="Arial" w:eastAsia="Arial" w:hAnsi="Arial"/>
                <w:sz w:val="14"/>
                <w:szCs w:val="14"/>
                <w:b w:val="1"/>
                <w:bCs w:val="1"/>
                <w:color w:val="auto"/>
              </w:rPr>
              <w:t>(US in</w:t>
            </w:r>
          </w:p>
        </w:tc>
        <w:tc>
          <w:tcPr>
            <w:tcW w:w="800" w:type="dxa"/>
            <w:vAlign w:val="bottom"/>
          </w:tcPr>
          <w:p>
            <w:pPr>
              <w:jc w:val="right"/>
              <w:ind w:right="100"/>
              <w:spacing w:after="0" w:line="127"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900" w:type="dxa"/>
            <w:vAlign w:val="bottom"/>
          </w:tcPr>
          <w:p>
            <w:pPr>
              <w:jc w:val="right"/>
              <w:ind w:right="180"/>
              <w:spacing w:after="0" w:line="127" w:lineRule="exact"/>
              <w:rPr>
                <w:sz w:val="20"/>
                <w:szCs w:val="20"/>
                <w:color w:val="auto"/>
              </w:rPr>
            </w:pPr>
            <w:r>
              <w:rPr>
                <w:rFonts w:ascii="Arial" w:cs="Arial" w:eastAsia="Arial" w:hAnsi="Arial"/>
                <w:sz w:val="14"/>
                <w:szCs w:val="14"/>
                <w:b w:val="1"/>
                <w:bCs w:val="1"/>
                <w:color w:val="auto"/>
              </w:rPr>
              <w:t>(US in</w:t>
            </w:r>
          </w:p>
        </w:tc>
        <w:tc>
          <w:tcPr>
            <w:tcW w:w="1200" w:type="dxa"/>
            <w:vAlign w:val="bottom"/>
          </w:tcPr>
          <w:p>
            <w:pPr>
              <w:jc w:val="right"/>
              <w:ind w:right="142"/>
              <w:spacing w:after="0" w:line="127" w:lineRule="exact"/>
              <w:rPr>
                <w:sz w:val="20"/>
                <w:szCs w:val="20"/>
                <w:color w:val="auto"/>
              </w:rPr>
            </w:pPr>
            <w:r>
              <w:rPr>
                <w:rFonts w:ascii="Arial" w:cs="Arial" w:eastAsia="Arial" w:hAnsi="Arial"/>
                <w:sz w:val="14"/>
                <w:szCs w:val="14"/>
                <w:b w:val="1"/>
                <w:bCs w:val="1"/>
                <w:color w:val="auto"/>
              </w:rPr>
              <w:t>(% of net</w:t>
            </w:r>
          </w:p>
        </w:tc>
      </w:tr>
      <w:tr>
        <w:trPr>
          <w:trHeight w:val="166"/>
        </w:trPr>
        <w:tc>
          <w:tcPr>
            <w:tcW w:w="4660" w:type="dxa"/>
            <w:vAlign w:val="bottom"/>
          </w:tcPr>
          <w:p>
            <w:pPr>
              <w:spacing w:after="0"/>
              <w:rPr>
                <w:sz w:val="14"/>
                <w:szCs w:val="14"/>
                <w:color w:val="auto"/>
              </w:rPr>
            </w:pPr>
          </w:p>
        </w:tc>
        <w:tc>
          <w:tcPr>
            <w:tcW w:w="1280" w:type="dxa"/>
            <w:vAlign w:val="bottom"/>
          </w:tcPr>
          <w:p>
            <w:pPr>
              <w:jc w:val="right"/>
              <w:ind w:right="422"/>
              <w:spacing w:after="0"/>
              <w:rPr>
                <w:sz w:val="20"/>
                <w:szCs w:val="20"/>
                <w:color w:val="auto"/>
              </w:rPr>
            </w:pPr>
            <w:r>
              <w:rPr>
                <w:rFonts w:ascii="Arial" w:cs="Arial" w:eastAsia="Arial" w:hAnsi="Arial"/>
                <w:sz w:val="14"/>
                <w:szCs w:val="14"/>
                <w:b w:val="1"/>
                <w:bCs w:val="1"/>
                <w:color w:val="auto"/>
              </w:rPr>
              <w:t>thousands)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revenues)</w:t>
            </w:r>
          </w:p>
        </w:tc>
        <w:tc>
          <w:tcPr>
            <w:tcW w:w="1200" w:type="dxa"/>
            <w:vAlign w:val="bottom"/>
          </w:tcPr>
          <w:p>
            <w:pPr>
              <w:jc w:val="right"/>
              <w:ind w:right="343"/>
              <w:spacing w:after="0"/>
              <w:rPr>
                <w:sz w:val="20"/>
                <w:szCs w:val="20"/>
                <w:color w:val="auto"/>
              </w:rPr>
            </w:pPr>
            <w:r>
              <w:rPr>
                <w:rFonts w:ascii="Arial" w:cs="Arial" w:eastAsia="Arial" w:hAnsi="Arial"/>
                <w:sz w:val="14"/>
                <w:szCs w:val="14"/>
                <w:b w:val="1"/>
                <w:bCs w:val="1"/>
                <w:color w:val="auto"/>
              </w:rPr>
              <w:t>thousands)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revenues)</w:t>
            </w:r>
          </w:p>
        </w:tc>
        <w:tc>
          <w:tcPr>
            <w:tcW w:w="900" w:type="dxa"/>
            <w:vAlign w:val="bottom"/>
          </w:tcPr>
          <w:p>
            <w:pPr>
              <w:jc w:val="right"/>
              <w:ind w:right="60"/>
              <w:spacing w:after="0"/>
              <w:rPr>
                <w:sz w:val="20"/>
                <w:szCs w:val="20"/>
                <w:color w:val="auto"/>
              </w:rPr>
            </w:pPr>
            <w:r>
              <w:rPr>
                <w:rFonts w:ascii="Arial" w:cs="Arial" w:eastAsia="Arial" w:hAnsi="Arial"/>
                <w:sz w:val="14"/>
                <w:szCs w:val="14"/>
                <w:b w:val="1"/>
                <w:bCs w:val="1"/>
                <w:color w:val="auto"/>
                <w:w w:val="98"/>
              </w:rPr>
              <w:t>thousands)</w:t>
            </w:r>
          </w:p>
        </w:tc>
        <w:tc>
          <w:tcPr>
            <w:tcW w:w="1200" w:type="dxa"/>
            <w:vAlign w:val="bottom"/>
          </w:tcPr>
          <w:p>
            <w:pPr>
              <w:jc w:val="right"/>
              <w:ind w:right="142"/>
              <w:spacing w:after="0"/>
              <w:rPr>
                <w:sz w:val="20"/>
                <w:szCs w:val="20"/>
                <w:color w:val="auto"/>
              </w:rPr>
            </w:pPr>
            <w:r>
              <w:rPr>
                <w:rFonts w:ascii="Arial" w:cs="Arial" w:eastAsia="Arial" w:hAnsi="Arial"/>
                <w:sz w:val="14"/>
                <w:szCs w:val="14"/>
                <w:b w:val="1"/>
                <w:bCs w:val="1"/>
                <w:color w:val="auto"/>
              </w:rPr>
              <w:t>revenues)</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Rebates received from publishers</w:t>
            </w:r>
          </w:p>
        </w:tc>
        <w:tc>
          <w:tcPr>
            <w:tcW w:w="1280" w:type="dxa"/>
            <w:vAlign w:val="bottom"/>
            <w:shd w:val="clear" w:color="auto" w:fill="CFF0FC"/>
          </w:tcPr>
          <w:p>
            <w:pPr>
              <w:jc w:val="right"/>
              <w:ind w:right="302"/>
              <w:spacing w:after="0"/>
              <w:rPr>
                <w:sz w:val="20"/>
                <w:szCs w:val="20"/>
                <w:color w:val="auto"/>
              </w:rPr>
            </w:pPr>
            <w:r>
              <w:rPr>
                <w:rFonts w:ascii="Arial" w:cs="Arial" w:eastAsia="Arial" w:hAnsi="Arial"/>
                <w:sz w:val="17"/>
                <w:szCs w:val="17"/>
                <w:color w:val="auto"/>
              </w:rPr>
              <w:t>15,130</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223"/>
              <w:spacing w:after="0"/>
              <w:rPr>
                <w:sz w:val="20"/>
                <w:szCs w:val="20"/>
                <w:color w:val="auto"/>
              </w:rPr>
            </w:pPr>
            <w:r>
              <w:rPr>
                <w:rFonts w:ascii="Arial" w:cs="Arial" w:eastAsia="Arial" w:hAnsi="Arial"/>
                <w:sz w:val="17"/>
                <w:szCs w:val="17"/>
                <w:color w:val="auto"/>
              </w:rPr>
              <w:t>36,495</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65,656</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w:t>
            </w:r>
          </w:p>
        </w:tc>
      </w:tr>
      <w:tr>
        <w:trPr>
          <w:trHeight w:val="221"/>
        </w:trPr>
        <w:tc>
          <w:tcPr>
            <w:tcW w:w="4660" w:type="dxa"/>
            <w:vAlign w:val="bottom"/>
          </w:tcPr>
          <w:p>
            <w:pPr>
              <w:spacing w:after="0"/>
              <w:rPr>
                <w:sz w:val="20"/>
                <w:szCs w:val="20"/>
                <w:color w:val="auto"/>
              </w:rPr>
            </w:pPr>
            <w:r>
              <w:rPr>
                <w:rFonts w:ascii="Arial" w:cs="Arial" w:eastAsia="Arial" w:hAnsi="Arial"/>
                <w:sz w:val="17"/>
                <w:szCs w:val="17"/>
                <w:color w:val="auto"/>
                <w:w w:val="95"/>
              </w:rPr>
              <w:t>Rebates received from publishers for mobile marketing solutions</w:t>
            </w:r>
          </w:p>
        </w:tc>
        <w:tc>
          <w:tcPr>
            <w:tcW w:w="1280" w:type="dxa"/>
            <w:vAlign w:val="bottom"/>
          </w:tcPr>
          <w:p>
            <w:pPr>
              <w:jc w:val="right"/>
              <w:ind w:right="302"/>
              <w:spacing w:after="0"/>
              <w:rPr>
                <w:sz w:val="20"/>
                <w:szCs w:val="20"/>
                <w:color w:val="auto"/>
              </w:rPr>
            </w:pPr>
            <w:r>
              <w:rPr>
                <w:rFonts w:ascii="Arial" w:cs="Arial" w:eastAsia="Arial" w:hAnsi="Arial"/>
                <w:sz w:val="17"/>
                <w:szCs w:val="17"/>
                <w:color w:val="auto"/>
              </w:rPr>
              <w:t>12,989</w:t>
            </w:r>
          </w:p>
        </w:tc>
        <w:tc>
          <w:tcPr>
            <w:tcW w:w="88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1200" w:type="dxa"/>
            <w:vAlign w:val="bottom"/>
          </w:tcPr>
          <w:p>
            <w:pPr>
              <w:jc w:val="right"/>
              <w:ind w:right="223"/>
              <w:spacing w:after="0"/>
              <w:rPr>
                <w:sz w:val="20"/>
                <w:szCs w:val="20"/>
                <w:color w:val="auto"/>
              </w:rPr>
            </w:pPr>
            <w:r>
              <w:rPr>
                <w:rFonts w:ascii="Arial" w:cs="Arial" w:eastAsia="Arial" w:hAnsi="Arial"/>
                <w:sz w:val="17"/>
                <w:szCs w:val="17"/>
                <w:color w:val="auto"/>
              </w:rPr>
              <w:t>33,243</w:t>
            </w:r>
          </w:p>
        </w:tc>
        <w:tc>
          <w:tcPr>
            <w:tcW w:w="800" w:type="dxa"/>
            <w:vAlign w:val="bottom"/>
          </w:tcPr>
          <w:p>
            <w:pPr>
              <w:jc w:val="right"/>
              <w:spacing w:after="0"/>
              <w:rPr>
                <w:sz w:val="20"/>
                <w:szCs w:val="20"/>
                <w:color w:val="auto"/>
              </w:rPr>
            </w:pPr>
            <w:r>
              <w:rPr>
                <w:rFonts w:ascii="Arial" w:cs="Arial" w:eastAsia="Arial" w:hAnsi="Arial"/>
                <w:sz w:val="17"/>
                <w:szCs w:val="17"/>
                <w:color w:val="auto"/>
              </w:rPr>
              <w:t>20.8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62,003</w:t>
            </w:r>
          </w:p>
        </w:tc>
        <w:tc>
          <w:tcPr>
            <w:tcW w:w="1200" w:type="dxa"/>
            <w:vAlign w:val="bottom"/>
          </w:tcPr>
          <w:p>
            <w:pPr>
              <w:jc w:val="right"/>
              <w:spacing w:after="0"/>
              <w:rPr>
                <w:sz w:val="20"/>
                <w:szCs w:val="20"/>
                <w:color w:val="auto"/>
              </w:rPr>
            </w:pPr>
            <w:r>
              <w:rPr>
                <w:rFonts w:ascii="Arial" w:cs="Arial" w:eastAsia="Arial" w:hAnsi="Arial"/>
                <w:sz w:val="17"/>
                <w:szCs w:val="17"/>
                <w:color w:val="auto"/>
              </w:rPr>
              <w:t>31.1</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w w:val="95"/>
              </w:rPr>
              <w:t>Rebates received from publishers for other marketing solutions</w:t>
            </w:r>
            <w:r>
              <w:rPr>
                <w:rFonts w:ascii="Arial" w:cs="Arial" w:eastAsia="Arial" w:hAnsi="Arial"/>
                <w:sz w:val="11"/>
                <w:szCs w:val="11"/>
                <w:color w:val="auto"/>
                <w:w w:val="95"/>
              </w:rPr>
              <w:t>(1)</w:t>
            </w:r>
          </w:p>
        </w:tc>
        <w:tc>
          <w:tcPr>
            <w:tcW w:w="1280" w:type="dxa"/>
            <w:vAlign w:val="bottom"/>
            <w:shd w:val="clear" w:color="auto" w:fill="CFF0FC"/>
          </w:tcPr>
          <w:p>
            <w:pPr>
              <w:jc w:val="right"/>
              <w:ind w:right="302"/>
              <w:spacing w:after="0"/>
              <w:rPr>
                <w:sz w:val="20"/>
                <w:szCs w:val="20"/>
                <w:color w:val="auto"/>
              </w:rPr>
            </w:pPr>
            <w:r>
              <w:rPr>
                <w:rFonts w:ascii="Arial" w:cs="Arial" w:eastAsia="Arial" w:hAnsi="Arial"/>
                <w:sz w:val="17"/>
                <w:szCs w:val="17"/>
                <w:color w:val="auto"/>
              </w:rPr>
              <w:t>2,141</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223"/>
              <w:spacing w:after="0"/>
              <w:rPr>
                <w:sz w:val="20"/>
                <w:szCs w:val="20"/>
                <w:color w:val="auto"/>
              </w:rPr>
            </w:pPr>
            <w:r>
              <w:rPr>
                <w:rFonts w:ascii="Arial" w:cs="Arial" w:eastAsia="Arial" w:hAnsi="Arial"/>
                <w:sz w:val="17"/>
                <w:szCs w:val="17"/>
                <w:color w:val="auto"/>
              </w:rPr>
              <w:t>3,252</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3,653</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16770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111" w:lineRule="exact"/>
        <w:rPr>
          <w:sz w:val="20"/>
          <w:szCs w:val="20"/>
          <w:color w:val="auto"/>
        </w:rPr>
      </w:pPr>
    </w:p>
    <w:p>
      <w:pPr>
        <w:ind w:left="520" w:right="560" w:hanging="516"/>
        <w:spacing w:after="0" w:line="286"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Of which US$553 thousand, US$74 thousand and US$31 thousand in 2017, 2018 and 2019, respectively, were received under cost-plus marketing campaigns from the publisher for which we acted as its sales agent under our sales agency arrangement.</w:t>
      </w:r>
    </w:p>
    <w:p>
      <w:pPr>
        <w:spacing w:after="0" w:line="159" w:lineRule="exact"/>
        <w:rPr>
          <w:sz w:val="20"/>
          <w:szCs w:val="20"/>
          <w:color w:val="auto"/>
        </w:rPr>
      </w:pPr>
    </w:p>
    <w:p>
      <w:pPr>
        <w:ind w:right="620" w:firstLine="782"/>
        <w:spacing w:after="0" w:line="286" w:lineRule="auto"/>
        <w:rPr>
          <w:sz w:val="20"/>
          <w:szCs w:val="20"/>
          <w:color w:val="auto"/>
        </w:rPr>
      </w:pPr>
      <w:r>
        <w:rPr>
          <w:rFonts w:ascii="Arial" w:cs="Arial" w:eastAsia="Arial" w:hAnsi="Arial"/>
          <w:sz w:val="17"/>
          <w:szCs w:val="17"/>
          <w:color w:val="auto"/>
        </w:rPr>
        <w:t>The table below shows our incentive revenues received from the publisher under our sales agency arrangement, which were recognized as net revenues for our mobile marketing solutions and other marketing solutions for the periods presented.</w:t>
      </w:r>
    </w:p>
    <w:p>
      <w:pPr>
        <w:sectPr>
          <w:pgSz w:w="11900" w:h="16838" w:orient="portrait"/>
          <w:cols w:equalWidth="0" w:num="1">
            <w:col w:w="11240"/>
          </w:cols>
          <w:pgMar w:left="320" w:top="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Incentive revenues received from the publishers</w:t>
      </w:r>
    </w:p>
    <w:p>
      <w:pPr>
        <w:spacing w:after="0" w:line="2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Incentive revenues received from the publishers for our mobile marketing solutions</w:t>
      </w:r>
    </w:p>
    <w:p>
      <w:pPr>
        <w:spacing w:after="0" w:line="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Incentive revenues received from the publishers for our other marketing solutions</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16770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w w:val="83"/>
              </w:rPr>
              <w:t>2019</w:t>
            </w:r>
          </w:p>
        </w:tc>
      </w:tr>
      <w:tr>
        <w:trPr>
          <w:trHeight w:val="127"/>
        </w:trPr>
        <w:tc>
          <w:tcPr>
            <w:tcW w:w="1280" w:type="dxa"/>
            <w:vAlign w:val="bottom"/>
          </w:tcPr>
          <w:p>
            <w:pPr>
              <w:jc w:val="right"/>
              <w:ind w:right="562"/>
              <w:spacing w:after="0" w:line="127" w:lineRule="exact"/>
              <w:rPr>
                <w:sz w:val="20"/>
                <w:szCs w:val="20"/>
                <w:color w:val="auto"/>
              </w:rPr>
            </w:pPr>
            <w:r>
              <w:rPr>
                <w:rFonts w:ascii="Arial" w:cs="Arial" w:eastAsia="Arial" w:hAnsi="Arial"/>
                <w:sz w:val="14"/>
                <w:szCs w:val="14"/>
                <w:b w:val="1"/>
                <w:bCs w:val="1"/>
                <w:color w:val="auto"/>
              </w:rPr>
              <w:t>(US in</w:t>
            </w:r>
          </w:p>
        </w:tc>
        <w:tc>
          <w:tcPr>
            <w:tcW w:w="880" w:type="dxa"/>
            <w:vAlign w:val="bottom"/>
          </w:tcPr>
          <w:p>
            <w:pPr>
              <w:jc w:val="right"/>
              <w:ind w:right="160"/>
              <w:spacing w:after="0" w:line="127"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1"/>
                <w:szCs w:val="11"/>
                <w:color w:val="auto"/>
              </w:rPr>
            </w:pPr>
          </w:p>
        </w:tc>
        <w:tc>
          <w:tcPr>
            <w:tcW w:w="1240" w:type="dxa"/>
            <w:vAlign w:val="bottom"/>
          </w:tcPr>
          <w:p>
            <w:pPr>
              <w:jc w:val="right"/>
              <w:ind w:right="542"/>
              <w:spacing w:after="0" w:line="127" w:lineRule="exact"/>
              <w:rPr>
                <w:sz w:val="20"/>
                <w:szCs w:val="20"/>
                <w:color w:val="auto"/>
              </w:rPr>
            </w:pPr>
            <w:r>
              <w:rPr>
                <w:rFonts w:ascii="Arial" w:cs="Arial" w:eastAsia="Arial" w:hAnsi="Arial"/>
                <w:sz w:val="14"/>
                <w:szCs w:val="14"/>
                <w:b w:val="1"/>
                <w:bCs w:val="1"/>
                <w:color w:val="auto"/>
              </w:rPr>
              <w:t>(US in</w:t>
            </w:r>
          </w:p>
        </w:tc>
        <w:tc>
          <w:tcPr>
            <w:tcW w:w="860" w:type="dxa"/>
            <w:vAlign w:val="bottom"/>
          </w:tcPr>
          <w:p>
            <w:pPr>
              <w:jc w:val="right"/>
              <w:ind w:right="140"/>
              <w:spacing w:after="0" w:line="127"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c>
          <w:tcPr>
            <w:tcW w:w="900" w:type="dxa"/>
            <w:vAlign w:val="bottom"/>
          </w:tcPr>
          <w:p>
            <w:pPr>
              <w:jc w:val="right"/>
              <w:ind w:right="180"/>
              <w:spacing w:after="0" w:line="127" w:lineRule="exact"/>
              <w:rPr>
                <w:sz w:val="20"/>
                <w:szCs w:val="20"/>
                <w:color w:val="auto"/>
              </w:rPr>
            </w:pPr>
            <w:r>
              <w:rPr>
                <w:rFonts w:ascii="Arial" w:cs="Arial" w:eastAsia="Arial" w:hAnsi="Arial"/>
                <w:sz w:val="14"/>
                <w:szCs w:val="14"/>
                <w:b w:val="1"/>
                <w:bCs w:val="1"/>
                <w:color w:val="auto"/>
              </w:rPr>
              <w:t>(US in</w:t>
            </w:r>
          </w:p>
        </w:tc>
        <w:tc>
          <w:tcPr>
            <w:tcW w:w="1200" w:type="dxa"/>
            <w:vAlign w:val="bottom"/>
          </w:tcPr>
          <w:p>
            <w:pPr>
              <w:jc w:val="right"/>
              <w:ind w:right="142"/>
              <w:spacing w:after="0" w:line="127" w:lineRule="exact"/>
              <w:rPr>
                <w:sz w:val="20"/>
                <w:szCs w:val="20"/>
                <w:color w:val="auto"/>
              </w:rPr>
            </w:pPr>
            <w:r>
              <w:rPr>
                <w:rFonts w:ascii="Arial" w:cs="Arial" w:eastAsia="Arial" w:hAnsi="Arial"/>
                <w:sz w:val="14"/>
                <w:szCs w:val="14"/>
                <w:b w:val="1"/>
                <w:bCs w:val="1"/>
                <w:color w:val="auto"/>
              </w:rPr>
              <w:t>(% of net</w:t>
            </w:r>
          </w:p>
        </w:tc>
      </w:tr>
      <w:tr>
        <w:trPr>
          <w:trHeight w:val="166"/>
        </w:trPr>
        <w:tc>
          <w:tcPr>
            <w:tcW w:w="1280" w:type="dxa"/>
            <w:vAlign w:val="bottom"/>
          </w:tcPr>
          <w:p>
            <w:pPr>
              <w:jc w:val="right"/>
              <w:ind w:right="422"/>
              <w:spacing w:after="0"/>
              <w:rPr>
                <w:sz w:val="20"/>
                <w:szCs w:val="20"/>
                <w:color w:val="auto"/>
              </w:rPr>
            </w:pPr>
            <w:r>
              <w:rPr>
                <w:rFonts w:ascii="Arial" w:cs="Arial" w:eastAsia="Arial" w:hAnsi="Arial"/>
                <w:sz w:val="14"/>
                <w:szCs w:val="14"/>
                <w:b w:val="1"/>
                <w:bCs w:val="1"/>
                <w:color w:val="auto"/>
              </w:rPr>
              <w:t>thousands)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revenues)</w:t>
            </w:r>
          </w:p>
        </w:tc>
        <w:tc>
          <w:tcPr>
            <w:tcW w:w="1240" w:type="dxa"/>
            <w:vAlign w:val="bottom"/>
          </w:tcPr>
          <w:p>
            <w:pPr>
              <w:jc w:val="right"/>
              <w:ind w:right="402"/>
              <w:spacing w:after="0"/>
              <w:rPr>
                <w:sz w:val="20"/>
                <w:szCs w:val="20"/>
                <w:color w:val="auto"/>
              </w:rPr>
            </w:pPr>
            <w:r>
              <w:rPr>
                <w:rFonts w:ascii="Arial" w:cs="Arial" w:eastAsia="Arial" w:hAnsi="Arial"/>
                <w:sz w:val="14"/>
                <w:szCs w:val="14"/>
                <w:b w:val="1"/>
                <w:bCs w:val="1"/>
                <w:color w:val="auto"/>
                <w:w w:val="98"/>
              </w:rPr>
              <w:t>thousands)</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revenues)</w:t>
            </w:r>
          </w:p>
        </w:tc>
        <w:tc>
          <w:tcPr>
            <w:tcW w:w="900" w:type="dxa"/>
            <w:vAlign w:val="bottom"/>
          </w:tcPr>
          <w:p>
            <w:pPr>
              <w:jc w:val="right"/>
              <w:ind w:right="60"/>
              <w:spacing w:after="0"/>
              <w:rPr>
                <w:sz w:val="20"/>
                <w:szCs w:val="20"/>
                <w:color w:val="auto"/>
              </w:rPr>
            </w:pPr>
            <w:r>
              <w:rPr>
                <w:rFonts w:ascii="Arial" w:cs="Arial" w:eastAsia="Arial" w:hAnsi="Arial"/>
                <w:sz w:val="14"/>
                <w:szCs w:val="14"/>
                <w:b w:val="1"/>
                <w:bCs w:val="1"/>
                <w:color w:val="auto"/>
                <w:w w:val="98"/>
              </w:rPr>
              <w:t>thousands)</w:t>
            </w:r>
          </w:p>
        </w:tc>
        <w:tc>
          <w:tcPr>
            <w:tcW w:w="1200" w:type="dxa"/>
            <w:vAlign w:val="bottom"/>
          </w:tcPr>
          <w:p>
            <w:pPr>
              <w:jc w:val="right"/>
              <w:ind w:right="142"/>
              <w:spacing w:after="0"/>
              <w:rPr>
                <w:sz w:val="20"/>
                <w:szCs w:val="20"/>
                <w:color w:val="auto"/>
              </w:rPr>
            </w:pPr>
            <w:r>
              <w:rPr>
                <w:rFonts w:ascii="Arial" w:cs="Arial" w:eastAsia="Arial" w:hAnsi="Arial"/>
                <w:sz w:val="14"/>
                <w:szCs w:val="14"/>
                <w:b w:val="1"/>
                <w:bCs w:val="1"/>
                <w:color w:val="auto"/>
              </w:rPr>
              <w:t>revenues)</w:t>
            </w:r>
          </w:p>
        </w:tc>
      </w:tr>
      <w:tr>
        <w:trPr>
          <w:trHeight w:val="221"/>
        </w:trPr>
        <w:tc>
          <w:tcPr>
            <w:tcW w:w="1280" w:type="dxa"/>
            <w:vAlign w:val="bottom"/>
          </w:tcPr>
          <w:p>
            <w:pPr>
              <w:jc w:val="right"/>
              <w:ind w:right="302"/>
              <w:spacing w:after="0"/>
              <w:rPr>
                <w:sz w:val="20"/>
                <w:szCs w:val="20"/>
                <w:color w:val="auto"/>
              </w:rPr>
            </w:pPr>
            <w:r>
              <w:rPr>
                <w:rFonts w:ascii="Arial" w:cs="Arial" w:eastAsia="Arial" w:hAnsi="Arial"/>
                <w:sz w:val="17"/>
                <w:szCs w:val="17"/>
                <w:color w:val="auto"/>
              </w:rPr>
              <w:t>8,311</w:t>
            </w:r>
          </w:p>
        </w:tc>
        <w:tc>
          <w:tcPr>
            <w:tcW w:w="880" w:type="dxa"/>
            <w:vAlign w:val="bottom"/>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1240" w:type="dxa"/>
            <w:vAlign w:val="bottom"/>
          </w:tcPr>
          <w:p>
            <w:pPr>
              <w:jc w:val="right"/>
              <w:ind w:right="282"/>
              <w:spacing w:after="0"/>
              <w:rPr>
                <w:sz w:val="20"/>
                <w:szCs w:val="20"/>
                <w:color w:val="auto"/>
              </w:rPr>
            </w:pPr>
            <w:r>
              <w:rPr>
                <w:rFonts w:ascii="Arial" w:cs="Arial" w:eastAsia="Arial" w:hAnsi="Arial"/>
                <w:sz w:val="17"/>
                <w:szCs w:val="17"/>
                <w:color w:val="auto"/>
              </w:rPr>
              <w:t>11,325</w:t>
            </w:r>
          </w:p>
        </w:tc>
        <w:tc>
          <w:tcPr>
            <w:tcW w:w="86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8,707</w:t>
            </w:r>
          </w:p>
        </w:tc>
        <w:tc>
          <w:tcPr>
            <w:tcW w:w="12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325"/>
        </w:trPr>
        <w:tc>
          <w:tcPr>
            <w:tcW w:w="1280" w:type="dxa"/>
            <w:vAlign w:val="bottom"/>
          </w:tcPr>
          <w:p>
            <w:pPr>
              <w:jc w:val="right"/>
              <w:ind w:right="302"/>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82"/>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29"/>
        </w:trPr>
        <w:tc>
          <w:tcPr>
            <w:tcW w:w="1280" w:type="dxa"/>
            <w:vAlign w:val="bottom"/>
          </w:tcPr>
          <w:p>
            <w:pPr>
              <w:jc w:val="right"/>
              <w:ind w:right="302"/>
              <w:spacing w:after="0"/>
              <w:rPr>
                <w:sz w:val="20"/>
                <w:szCs w:val="20"/>
                <w:color w:val="auto"/>
              </w:rPr>
            </w:pPr>
            <w:r>
              <w:rPr>
                <w:rFonts w:ascii="Arial" w:cs="Arial" w:eastAsia="Arial" w:hAnsi="Arial"/>
                <w:sz w:val="17"/>
                <w:szCs w:val="17"/>
                <w:color w:val="auto"/>
              </w:rPr>
              <w:t>8,311</w:t>
            </w:r>
          </w:p>
        </w:tc>
        <w:tc>
          <w:tcPr>
            <w:tcW w:w="880" w:type="dxa"/>
            <w:vAlign w:val="bottom"/>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24"/>
                <w:szCs w:val="24"/>
                <w:color w:val="auto"/>
              </w:rPr>
            </w:pPr>
          </w:p>
        </w:tc>
        <w:tc>
          <w:tcPr>
            <w:tcW w:w="1240" w:type="dxa"/>
            <w:vAlign w:val="bottom"/>
          </w:tcPr>
          <w:p>
            <w:pPr>
              <w:jc w:val="right"/>
              <w:ind w:right="282"/>
              <w:spacing w:after="0"/>
              <w:rPr>
                <w:sz w:val="20"/>
                <w:szCs w:val="20"/>
                <w:color w:val="auto"/>
              </w:rPr>
            </w:pPr>
            <w:r>
              <w:rPr>
                <w:rFonts w:ascii="Arial" w:cs="Arial" w:eastAsia="Arial" w:hAnsi="Arial"/>
                <w:sz w:val="17"/>
                <w:szCs w:val="17"/>
                <w:color w:val="auto"/>
              </w:rPr>
              <w:t>11,325</w:t>
            </w:r>
          </w:p>
        </w:tc>
        <w:tc>
          <w:tcPr>
            <w:tcW w:w="86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8,707</w:t>
            </w:r>
          </w:p>
        </w:tc>
        <w:tc>
          <w:tcPr>
            <w:tcW w:w="1200" w:type="dxa"/>
            <w:vAlign w:val="bottom"/>
          </w:tcPr>
          <w:p>
            <w:pPr>
              <w:jc w:val="right"/>
              <w:spacing w:after="0"/>
              <w:rPr>
                <w:sz w:val="20"/>
                <w:szCs w:val="20"/>
                <w:color w:val="auto"/>
              </w:rPr>
            </w:pPr>
            <w:r>
              <w:rPr>
                <w:rFonts w:ascii="Arial" w:cs="Arial" w:eastAsia="Arial" w:hAnsi="Arial"/>
                <w:sz w:val="17"/>
                <w:szCs w:val="17"/>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-619125</wp:posOffset>
            </wp:positionV>
            <wp:extent cx="7137400" cy="140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-205740</wp:posOffset>
            </wp:positionV>
            <wp:extent cx="7137400" cy="272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7400" cy="27241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380" w:space="280"/>
            <w:col w:w="6580"/>
          </w:cols>
          <w:pgMar w:left="320" w:top="335" w:right="339" w:bottom="1440" w:gutter="0" w:footer="0" w:header="0"/>
          <w:type w:val="continuous"/>
        </w:sectPr>
      </w:pPr>
    </w:p>
    <w:p>
      <w:pPr>
        <w:ind w:left="520" w:right="40" w:hanging="516"/>
        <w:spacing w:after="0" w:line="286"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Exclude rebates in the amount of US$553 thousand, US$74 thousand and US$31 thousand in 2017, 2018 and 2019, respectively, received under cost-plus marketing campaigns from the publisher for which we acted as its sales agent under our sales agency arrangement.</w:t>
      </w:r>
    </w:p>
    <w:p>
      <w:pPr>
        <w:spacing w:after="0" w:line="159" w:lineRule="exact"/>
        <w:rPr>
          <w:sz w:val="20"/>
          <w:szCs w:val="20"/>
          <w:color w:val="auto"/>
        </w:rPr>
      </w:pPr>
    </w:p>
    <w:p>
      <w:pPr>
        <w:ind w:right="120" w:firstLine="782"/>
        <w:spacing w:after="0" w:line="356" w:lineRule="auto"/>
        <w:rPr>
          <w:sz w:val="20"/>
          <w:szCs w:val="20"/>
          <w:color w:val="auto"/>
        </w:rPr>
      </w:pPr>
      <w:r>
        <w:rPr>
          <w:rFonts w:ascii="Arial" w:cs="Arial" w:eastAsia="Arial" w:hAnsi="Arial"/>
          <w:sz w:val="15"/>
          <w:szCs w:val="15"/>
          <w:color w:val="auto"/>
        </w:rPr>
        <w:t>The table below shows the rebates and discounts we granted to marketers and marketing agencies under our cost-plus and specified action marketing campaigns for our mobile marketing solutions and other marketing solutions, which were recognized as reduction of revenue for the periods presented.</w:t>
      </w:r>
    </w:p>
    <w:p>
      <w:pPr>
        <w:sectPr>
          <w:pgSz w:w="11900" w:h="16838" w:orient="portrait"/>
          <w:cols w:equalWidth="0" w:num="1">
            <w:col w:w="11240"/>
          </w:cols>
          <w:pgMar w:left="320" w:top="3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Rebates and discounts we granted</w:t>
      </w:r>
    </w:p>
    <w:p>
      <w:pPr>
        <w:spacing w:after="0" w:line="26" w:lineRule="exact"/>
        <w:rPr>
          <w:sz w:val="20"/>
          <w:szCs w:val="20"/>
          <w:color w:val="auto"/>
        </w:rPr>
      </w:pPr>
    </w:p>
    <w:p>
      <w:pPr>
        <w:ind w:right="640"/>
        <w:spacing w:after="0" w:line="251" w:lineRule="auto"/>
        <w:rPr>
          <w:sz w:val="20"/>
          <w:szCs w:val="20"/>
          <w:color w:val="auto"/>
        </w:rPr>
      </w:pPr>
      <w:r>
        <w:rPr>
          <w:rFonts w:ascii="Arial" w:cs="Arial" w:eastAsia="Arial" w:hAnsi="Arial"/>
          <w:sz w:val="17"/>
          <w:szCs w:val="17"/>
          <w:color w:val="auto"/>
        </w:rPr>
        <w:t>Rebates and discounts we granted for mobile marketing solutions</w:t>
      </w:r>
      <w:r>
        <w:rPr>
          <w:rFonts w:ascii="Arial" w:cs="Arial" w:eastAsia="Arial" w:hAnsi="Arial"/>
          <w:sz w:val="19"/>
          <w:szCs w:val="19"/>
          <w:color w:val="auto"/>
          <w:vertAlign w:val="superscript"/>
        </w:rPr>
        <w:t>(1)</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Rebates and discounts we granted for other marketing solutions</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16770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7"/>
        </w:trPr>
        <w:tc>
          <w:tcPr>
            <w:tcW w:w="1240" w:type="dxa"/>
            <w:vAlign w:val="bottom"/>
          </w:tcPr>
          <w:p>
            <w:pPr>
              <w:jc w:val="right"/>
              <w:ind w:right="522"/>
              <w:spacing w:after="0" w:line="127" w:lineRule="exact"/>
              <w:rPr>
                <w:sz w:val="20"/>
                <w:szCs w:val="20"/>
                <w:color w:val="auto"/>
              </w:rPr>
            </w:pPr>
            <w:r>
              <w:rPr>
                <w:rFonts w:ascii="Arial" w:cs="Arial" w:eastAsia="Arial" w:hAnsi="Arial"/>
                <w:sz w:val="14"/>
                <w:szCs w:val="14"/>
                <w:b w:val="1"/>
                <w:bCs w:val="1"/>
                <w:color w:val="auto"/>
              </w:rPr>
              <w:t>(US in</w:t>
            </w:r>
          </w:p>
        </w:tc>
        <w:tc>
          <w:tcPr>
            <w:tcW w:w="82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1"/>
                <w:szCs w:val="11"/>
                <w:color w:val="auto"/>
              </w:rPr>
            </w:pPr>
          </w:p>
        </w:tc>
        <w:tc>
          <w:tcPr>
            <w:tcW w:w="1200" w:type="dxa"/>
            <w:vAlign w:val="bottom"/>
          </w:tcPr>
          <w:p>
            <w:pPr>
              <w:jc w:val="right"/>
              <w:ind w:right="502"/>
              <w:spacing w:after="0" w:line="127" w:lineRule="exact"/>
              <w:rPr>
                <w:sz w:val="20"/>
                <w:szCs w:val="20"/>
                <w:color w:val="auto"/>
              </w:rPr>
            </w:pPr>
            <w:r>
              <w:rPr>
                <w:rFonts w:ascii="Arial" w:cs="Arial" w:eastAsia="Arial" w:hAnsi="Arial"/>
                <w:sz w:val="14"/>
                <w:szCs w:val="14"/>
                <w:b w:val="1"/>
                <w:bCs w:val="1"/>
                <w:color w:val="auto"/>
              </w:rPr>
              <w:t>(US in</w:t>
            </w:r>
          </w:p>
        </w:tc>
        <w:tc>
          <w:tcPr>
            <w:tcW w:w="80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1180" w:type="dxa"/>
            <w:vAlign w:val="bottom"/>
          </w:tcPr>
          <w:p>
            <w:pPr>
              <w:jc w:val="right"/>
              <w:ind w:right="482"/>
              <w:spacing w:after="0" w:line="127" w:lineRule="exact"/>
              <w:rPr>
                <w:sz w:val="20"/>
                <w:szCs w:val="20"/>
                <w:color w:val="auto"/>
              </w:rPr>
            </w:pPr>
            <w:r>
              <w:rPr>
                <w:rFonts w:ascii="Arial" w:cs="Arial" w:eastAsia="Arial" w:hAnsi="Arial"/>
                <w:sz w:val="14"/>
                <w:szCs w:val="14"/>
                <w:b w:val="1"/>
                <w:bCs w:val="1"/>
                <w:color w:val="auto"/>
              </w:rPr>
              <w:t>(US in</w:t>
            </w:r>
          </w:p>
        </w:tc>
        <w:tc>
          <w:tcPr>
            <w:tcW w:w="80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 of net</w:t>
            </w:r>
          </w:p>
        </w:tc>
        <w:tc>
          <w:tcPr>
            <w:tcW w:w="60" w:type="dxa"/>
            <w:vAlign w:val="bottom"/>
          </w:tcPr>
          <w:p>
            <w:pPr>
              <w:spacing w:after="0"/>
              <w:rPr>
                <w:sz w:val="11"/>
                <w:szCs w:val="11"/>
                <w:color w:val="auto"/>
              </w:rPr>
            </w:pPr>
          </w:p>
        </w:tc>
      </w:tr>
      <w:tr>
        <w:trPr>
          <w:trHeight w:val="166"/>
        </w:trPr>
        <w:tc>
          <w:tcPr>
            <w:tcW w:w="1240" w:type="dxa"/>
            <w:vAlign w:val="bottom"/>
          </w:tcPr>
          <w:p>
            <w:pPr>
              <w:jc w:val="right"/>
              <w:ind w:right="382"/>
              <w:spacing w:after="0"/>
              <w:rPr>
                <w:sz w:val="20"/>
                <w:szCs w:val="20"/>
                <w:color w:val="auto"/>
              </w:rPr>
            </w:pPr>
            <w:r>
              <w:rPr>
                <w:rFonts w:ascii="Arial" w:cs="Arial" w:eastAsia="Arial" w:hAnsi="Arial"/>
                <w:sz w:val="14"/>
                <w:szCs w:val="14"/>
                <w:b w:val="1"/>
                <w:bCs w:val="1"/>
                <w:color w:val="auto"/>
              </w:rPr>
              <w:t>thousands)</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revenues)</w:t>
            </w:r>
          </w:p>
        </w:tc>
        <w:tc>
          <w:tcPr>
            <w:tcW w:w="1200" w:type="dxa"/>
            <w:vAlign w:val="bottom"/>
          </w:tcPr>
          <w:p>
            <w:pPr>
              <w:jc w:val="right"/>
              <w:ind w:right="362"/>
              <w:spacing w:after="0"/>
              <w:rPr>
                <w:sz w:val="20"/>
                <w:szCs w:val="20"/>
                <w:color w:val="auto"/>
              </w:rPr>
            </w:pPr>
            <w:r>
              <w:rPr>
                <w:rFonts w:ascii="Arial" w:cs="Arial" w:eastAsia="Arial" w:hAnsi="Arial"/>
                <w:sz w:val="14"/>
                <w:szCs w:val="14"/>
                <w:b w:val="1"/>
                <w:bCs w:val="1"/>
                <w:color w:val="auto"/>
                <w:w w:val="98"/>
              </w:rPr>
              <w:t>thousands)</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1180" w:type="dxa"/>
            <w:vAlign w:val="bottom"/>
          </w:tcPr>
          <w:p>
            <w:pPr>
              <w:jc w:val="right"/>
              <w:ind w:right="342"/>
              <w:spacing w:after="0"/>
              <w:rPr>
                <w:sz w:val="20"/>
                <w:szCs w:val="20"/>
                <w:color w:val="auto"/>
              </w:rPr>
            </w:pPr>
            <w:r>
              <w:rPr>
                <w:rFonts w:ascii="Arial" w:cs="Arial" w:eastAsia="Arial" w:hAnsi="Arial"/>
                <w:sz w:val="14"/>
                <w:szCs w:val="14"/>
                <w:b w:val="1"/>
                <w:bCs w:val="1"/>
                <w:color w:val="auto"/>
                <w:w w:val="98"/>
              </w:rPr>
              <w:t>thousands)</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r>
      <w:tr>
        <w:trPr>
          <w:trHeight w:val="221"/>
        </w:trPr>
        <w:tc>
          <w:tcPr>
            <w:tcW w:w="1240" w:type="dxa"/>
            <w:vAlign w:val="bottom"/>
          </w:tcPr>
          <w:p>
            <w:pPr>
              <w:jc w:val="right"/>
              <w:ind w:right="202"/>
              <w:spacing w:after="0"/>
              <w:rPr>
                <w:sz w:val="20"/>
                <w:szCs w:val="20"/>
                <w:color w:val="auto"/>
              </w:rPr>
            </w:pPr>
            <w:r>
              <w:rPr>
                <w:rFonts w:ascii="Arial" w:cs="Arial" w:eastAsia="Arial" w:hAnsi="Arial"/>
                <w:sz w:val="17"/>
                <w:szCs w:val="17"/>
                <w:color w:val="auto"/>
              </w:rPr>
              <w:t>(24,321)</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(19.4)</w:t>
            </w:r>
          </w:p>
        </w:tc>
        <w:tc>
          <w:tcPr>
            <w:tcW w:w="1200" w:type="dxa"/>
            <w:vAlign w:val="bottom"/>
          </w:tcPr>
          <w:p>
            <w:pPr>
              <w:jc w:val="right"/>
              <w:ind w:right="162"/>
              <w:spacing w:after="0"/>
              <w:rPr>
                <w:sz w:val="20"/>
                <w:szCs w:val="20"/>
                <w:color w:val="auto"/>
              </w:rPr>
            </w:pPr>
            <w:r>
              <w:rPr>
                <w:rFonts w:ascii="Arial" w:cs="Arial" w:eastAsia="Arial" w:hAnsi="Arial"/>
                <w:sz w:val="17"/>
                <w:szCs w:val="17"/>
                <w:color w:val="auto"/>
              </w:rPr>
              <w:t>(46,496)</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(29.1)</w:t>
            </w:r>
          </w:p>
        </w:tc>
        <w:tc>
          <w:tcPr>
            <w:tcW w:w="1180" w:type="dxa"/>
            <w:vAlign w:val="bottom"/>
          </w:tcPr>
          <w:p>
            <w:pPr>
              <w:jc w:val="right"/>
              <w:ind w:right="162"/>
              <w:spacing w:after="0"/>
              <w:rPr>
                <w:sz w:val="20"/>
                <w:szCs w:val="20"/>
                <w:color w:val="auto"/>
              </w:rPr>
            </w:pPr>
            <w:r>
              <w:rPr>
                <w:rFonts w:ascii="Arial" w:cs="Arial" w:eastAsia="Arial" w:hAnsi="Arial"/>
                <w:sz w:val="17"/>
                <w:szCs w:val="17"/>
                <w:color w:val="auto"/>
              </w:rPr>
              <w:t>(72,395)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(36.3)</w:t>
            </w:r>
          </w:p>
        </w:tc>
      </w:tr>
      <w:tr>
        <w:trPr>
          <w:trHeight w:val="325"/>
        </w:trPr>
        <w:tc>
          <w:tcPr>
            <w:tcW w:w="1240" w:type="dxa"/>
            <w:vAlign w:val="bottom"/>
          </w:tcPr>
          <w:p>
            <w:pPr>
              <w:jc w:val="right"/>
              <w:ind w:right="202"/>
              <w:spacing w:after="0"/>
              <w:rPr>
                <w:sz w:val="20"/>
                <w:szCs w:val="20"/>
                <w:color w:val="auto"/>
              </w:rPr>
            </w:pPr>
            <w:r>
              <w:rPr>
                <w:rFonts w:ascii="Arial" w:cs="Arial" w:eastAsia="Arial" w:hAnsi="Arial"/>
                <w:sz w:val="17"/>
                <w:szCs w:val="17"/>
                <w:color w:val="auto"/>
              </w:rPr>
              <w:t>(22,427)</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(17.9)</w:t>
            </w:r>
          </w:p>
        </w:tc>
        <w:tc>
          <w:tcPr>
            <w:tcW w:w="1200" w:type="dxa"/>
            <w:vAlign w:val="bottom"/>
          </w:tcPr>
          <w:p>
            <w:pPr>
              <w:jc w:val="right"/>
              <w:ind w:right="162"/>
              <w:spacing w:after="0"/>
              <w:rPr>
                <w:sz w:val="20"/>
                <w:szCs w:val="20"/>
                <w:color w:val="auto"/>
              </w:rPr>
            </w:pPr>
            <w:r>
              <w:rPr>
                <w:rFonts w:ascii="Arial" w:cs="Arial" w:eastAsia="Arial" w:hAnsi="Arial"/>
                <w:sz w:val="17"/>
                <w:szCs w:val="17"/>
                <w:color w:val="auto"/>
              </w:rPr>
              <w:t>(43,943)</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(27.5)</w:t>
            </w:r>
          </w:p>
        </w:tc>
        <w:tc>
          <w:tcPr>
            <w:tcW w:w="1180" w:type="dxa"/>
            <w:vAlign w:val="bottom"/>
          </w:tcPr>
          <w:p>
            <w:pPr>
              <w:jc w:val="right"/>
              <w:ind w:right="162"/>
              <w:spacing w:after="0"/>
              <w:rPr>
                <w:sz w:val="20"/>
                <w:szCs w:val="20"/>
                <w:color w:val="auto"/>
              </w:rPr>
            </w:pPr>
            <w:r>
              <w:rPr>
                <w:rFonts w:ascii="Arial" w:cs="Arial" w:eastAsia="Arial" w:hAnsi="Arial"/>
                <w:sz w:val="17"/>
                <w:szCs w:val="17"/>
                <w:color w:val="auto"/>
              </w:rPr>
              <w:t>(69,820)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(35.0)</w:t>
            </w:r>
          </w:p>
        </w:tc>
      </w:tr>
      <w:tr>
        <w:trPr>
          <w:trHeight w:val="325"/>
        </w:trPr>
        <w:tc>
          <w:tcPr>
            <w:tcW w:w="1240" w:type="dxa"/>
            <w:vAlign w:val="bottom"/>
          </w:tcPr>
          <w:p>
            <w:pPr>
              <w:jc w:val="right"/>
              <w:ind w:right="202"/>
              <w:spacing w:after="0"/>
              <w:rPr>
                <w:sz w:val="20"/>
                <w:szCs w:val="20"/>
                <w:color w:val="auto"/>
              </w:rPr>
            </w:pPr>
            <w:r>
              <w:rPr>
                <w:rFonts w:ascii="Arial" w:cs="Arial" w:eastAsia="Arial" w:hAnsi="Arial"/>
                <w:sz w:val="17"/>
                <w:szCs w:val="17"/>
                <w:color w:val="auto"/>
              </w:rPr>
              <w:t>(1,894)</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1200" w:type="dxa"/>
            <w:vAlign w:val="bottom"/>
          </w:tcPr>
          <w:p>
            <w:pPr>
              <w:jc w:val="right"/>
              <w:ind w:right="162"/>
              <w:spacing w:after="0"/>
              <w:rPr>
                <w:sz w:val="20"/>
                <w:szCs w:val="20"/>
                <w:color w:val="auto"/>
              </w:rPr>
            </w:pPr>
            <w:r>
              <w:rPr>
                <w:rFonts w:ascii="Arial" w:cs="Arial" w:eastAsia="Arial" w:hAnsi="Arial"/>
                <w:sz w:val="17"/>
                <w:szCs w:val="17"/>
                <w:color w:val="auto"/>
              </w:rPr>
              <w:t>(2,553)</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180" w:type="dxa"/>
            <w:vAlign w:val="bottom"/>
          </w:tcPr>
          <w:p>
            <w:pPr>
              <w:jc w:val="right"/>
              <w:ind w:right="162"/>
              <w:spacing w:after="0"/>
              <w:rPr>
                <w:sz w:val="20"/>
                <w:szCs w:val="20"/>
                <w:color w:val="auto"/>
              </w:rPr>
            </w:pPr>
            <w:r>
              <w:rPr>
                <w:rFonts w:ascii="Arial" w:cs="Arial" w:eastAsia="Arial" w:hAnsi="Arial"/>
                <w:sz w:val="17"/>
                <w:szCs w:val="17"/>
                <w:color w:val="auto"/>
              </w:rPr>
              <w:t>(2,575)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-553085</wp:posOffset>
            </wp:positionV>
            <wp:extent cx="7137400" cy="140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-139700</wp:posOffset>
            </wp:positionV>
            <wp:extent cx="7137400" cy="140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4520" w:space="140"/>
            <w:col w:w="6580"/>
          </w:cols>
          <w:pgMar w:left="320" w:top="335" w:right="339" w:bottom="1440" w:gutter="0" w:footer="0" w:header="0"/>
          <w:type w:val="continuous"/>
        </w:sectPr>
      </w:pPr>
    </w:p>
    <w:p>
      <w:pPr>
        <w:ind w:left="520" w:right="320" w:hanging="516"/>
        <w:spacing w:after="0" w:line="260"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Of which US$(12,981) thousand, US$(15,514) thousand and US$(59,456) thousand were in connection with our specified action (i.e., gross) marketing campaigns, and US$(9,446) thousand, US$(28,429) thousand and US$(10,363) thousand were in connection with our cost-plus (i.e., net) marketing campaigns in 2017, 2018 and 2019, respectively.</w:t>
      </w:r>
    </w:p>
    <w:p>
      <w:pPr>
        <w:spacing w:after="0" w:line="1" w:lineRule="exact"/>
        <w:rPr>
          <w:rFonts w:ascii="Arial" w:cs="Arial" w:eastAsia="Arial" w:hAnsi="Arial"/>
          <w:sz w:val="17"/>
          <w:szCs w:val="17"/>
          <w:color w:val="auto"/>
        </w:rPr>
      </w:pPr>
    </w:p>
    <w:p>
      <w:pPr>
        <w:jc w:val="both"/>
        <w:ind w:left="520" w:right="240" w:hanging="516"/>
        <w:spacing w:after="0" w:line="263"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Of which US$(783) thousand, US$(371) thousand and US$(75) thousand were in connection with our specified action (i.e., gross) marketing campaigns, and US$(1,111) thousand, US$(2,182) thousand and US$(2,501) thousand were in connection with our cost-plus (i.e., net) marketing campaigns in 2017,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type w:val="continuous"/>
        </w:sectPr>
      </w:pPr>
    </w:p>
    <w:bookmarkStart w:id="87" w:name="page88"/>
    <w:bookmarkEnd w:id="87"/>
    <w:p>
      <w:pPr>
        <w:jc w:val="both"/>
        <w:ind w:right="100" w:firstLine="782"/>
        <w:spacing w:after="0" w:line="270" w:lineRule="auto"/>
        <w:rPr>
          <w:sz w:val="20"/>
          <w:szCs w:val="20"/>
          <w:color w:val="auto"/>
        </w:rPr>
      </w:pPr>
      <w:r>
        <w:rPr>
          <w:rFonts w:ascii="Arial" w:cs="Arial" w:eastAsia="Arial" w:hAnsi="Arial"/>
          <w:sz w:val="17"/>
          <w:szCs w:val="17"/>
          <w:color w:val="auto"/>
        </w:rPr>
        <w:t>On January 1, 2018, we adopted ASC 606 “Revenue from Contracts with Customers” using the modified retrospective method. Since the adoption of ASC 606, rebates we grant under our sales agency arrangements are presented net of revenues, as opposed to being included in cost of revenues in prior periods. The table below shows our rebates granted under our sales agency arrangement.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
        </w:trPr>
        <w:tc>
          <w:tcPr>
            <w:tcW w:w="4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466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bottom w:val="single" w:sz="8" w:color="auto"/>
            </w:tcBorders>
          </w:tcPr>
          <w:p>
            <w:pPr>
              <w:jc w:val="right"/>
              <w:ind w:right="5"/>
              <w:spacing w:after="0" w:line="149"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4660" w:type="dxa"/>
            <w:vAlign w:val="bottom"/>
          </w:tcPr>
          <w:p>
            <w:pPr>
              <w:spacing w:after="0"/>
              <w:rPr>
                <w:sz w:val="11"/>
                <w:szCs w:val="11"/>
                <w:color w:val="auto"/>
              </w:rPr>
            </w:pPr>
          </w:p>
        </w:tc>
        <w:tc>
          <w:tcPr>
            <w:tcW w:w="1220" w:type="dxa"/>
            <w:vAlign w:val="bottom"/>
          </w:tcPr>
          <w:p>
            <w:pPr>
              <w:jc w:val="right"/>
              <w:ind w:right="464"/>
              <w:spacing w:after="0" w:line="127" w:lineRule="exact"/>
              <w:rPr>
                <w:sz w:val="20"/>
                <w:szCs w:val="20"/>
                <w:color w:val="auto"/>
              </w:rPr>
            </w:pPr>
            <w:r>
              <w:rPr>
                <w:rFonts w:ascii="Arial" w:cs="Arial" w:eastAsia="Arial" w:hAnsi="Arial"/>
                <w:sz w:val="14"/>
                <w:szCs w:val="14"/>
                <w:b w:val="1"/>
                <w:bCs w:val="1"/>
                <w:color w:val="auto"/>
              </w:rPr>
              <w:t>(US in</w:t>
            </w:r>
          </w:p>
        </w:tc>
        <w:tc>
          <w:tcPr>
            <w:tcW w:w="82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1"/>
                <w:szCs w:val="11"/>
                <w:color w:val="auto"/>
              </w:rPr>
            </w:pPr>
          </w:p>
        </w:tc>
        <w:tc>
          <w:tcPr>
            <w:tcW w:w="1220" w:type="dxa"/>
            <w:vAlign w:val="bottom"/>
          </w:tcPr>
          <w:p>
            <w:pPr>
              <w:jc w:val="center"/>
              <w:ind w:right="245"/>
              <w:spacing w:after="0" w:line="127" w:lineRule="exact"/>
              <w:rPr>
                <w:sz w:val="20"/>
                <w:szCs w:val="20"/>
                <w:color w:val="auto"/>
              </w:rPr>
            </w:pPr>
            <w:r>
              <w:rPr>
                <w:rFonts w:ascii="Arial" w:cs="Arial" w:eastAsia="Arial" w:hAnsi="Arial"/>
                <w:sz w:val="14"/>
                <w:szCs w:val="14"/>
                <w:b w:val="1"/>
                <w:bCs w:val="1"/>
                <w:color w:val="auto"/>
                <w:w w:val="93"/>
              </w:rPr>
              <w:t>(US in</w:t>
            </w:r>
          </w:p>
        </w:tc>
        <w:tc>
          <w:tcPr>
            <w:tcW w:w="80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1180" w:type="dxa"/>
            <w:vAlign w:val="bottom"/>
          </w:tcPr>
          <w:p>
            <w:pPr>
              <w:jc w:val="center"/>
              <w:ind w:right="224"/>
              <w:spacing w:after="0" w:line="127" w:lineRule="exact"/>
              <w:rPr>
                <w:sz w:val="20"/>
                <w:szCs w:val="20"/>
                <w:color w:val="auto"/>
              </w:rPr>
            </w:pPr>
            <w:r>
              <w:rPr>
                <w:rFonts w:ascii="Arial" w:cs="Arial" w:eastAsia="Arial" w:hAnsi="Arial"/>
                <w:sz w:val="14"/>
                <w:szCs w:val="14"/>
                <w:b w:val="1"/>
                <w:bCs w:val="1"/>
                <w:color w:val="auto"/>
                <w:w w:val="88"/>
              </w:rPr>
              <w:t>(US in</w:t>
            </w:r>
          </w:p>
        </w:tc>
        <w:tc>
          <w:tcPr>
            <w:tcW w:w="80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r>
      <w:tr>
        <w:trPr>
          <w:trHeight w:val="166"/>
        </w:trPr>
        <w:tc>
          <w:tcPr>
            <w:tcW w:w="4660" w:type="dxa"/>
            <w:vAlign w:val="bottom"/>
          </w:tcPr>
          <w:p>
            <w:pPr>
              <w:spacing w:after="0"/>
              <w:rPr>
                <w:sz w:val="14"/>
                <w:szCs w:val="14"/>
                <w:color w:val="auto"/>
              </w:rPr>
            </w:pPr>
          </w:p>
        </w:tc>
        <w:tc>
          <w:tcPr>
            <w:tcW w:w="1220" w:type="dxa"/>
            <w:vAlign w:val="bottom"/>
          </w:tcPr>
          <w:p>
            <w:pPr>
              <w:jc w:val="right"/>
              <w:ind w:right="324"/>
              <w:spacing w:after="0"/>
              <w:rPr>
                <w:sz w:val="20"/>
                <w:szCs w:val="20"/>
                <w:color w:val="auto"/>
              </w:rPr>
            </w:pPr>
            <w:r>
              <w:rPr>
                <w:rFonts w:ascii="Arial" w:cs="Arial" w:eastAsia="Arial" w:hAnsi="Arial"/>
                <w:sz w:val="14"/>
                <w:szCs w:val="14"/>
                <w:b w:val="1"/>
                <w:bCs w:val="1"/>
                <w:color w:val="auto"/>
              </w:rPr>
              <w:t>thousands)</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revenues)</w:t>
            </w:r>
          </w:p>
        </w:tc>
        <w:tc>
          <w:tcPr>
            <w:tcW w:w="1220" w:type="dxa"/>
            <w:vAlign w:val="bottom"/>
          </w:tcPr>
          <w:p>
            <w:pPr>
              <w:jc w:val="center"/>
              <w:ind w:right="245"/>
              <w:spacing w:after="0"/>
              <w:rPr>
                <w:sz w:val="20"/>
                <w:szCs w:val="20"/>
                <w:color w:val="auto"/>
              </w:rPr>
            </w:pPr>
            <w:r>
              <w:rPr>
                <w:rFonts w:ascii="Arial" w:cs="Arial" w:eastAsia="Arial" w:hAnsi="Arial"/>
                <w:sz w:val="14"/>
                <w:szCs w:val="14"/>
                <w:b w:val="1"/>
                <w:bCs w:val="1"/>
                <w:color w:val="auto"/>
                <w:w w:val="87"/>
              </w:rPr>
              <w:t>thousands)</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1180" w:type="dxa"/>
            <w:vAlign w:val="bottom"/>
          </w:tcPr>
          <w:p>
            <w:pPr>
              <w:jc w:val="center"/>
              <w:ind w:right="224"/>
              <w:spacing w:after="0"/>
              <w:rPr>
                <w:sz w:val="20"/>
                <w:szCs w:val="20"/>
                <w:color w:val="auto"/>
              </w:rPr>
            </w:pPr>
            <w:r>
              <w:rPr>
                <w:rFonts w:ascii="Arial" w:cs="Arial" w:eastAsia="Arial" w:hAnsi="Arial"/>
                <w:sz w:val="14"/>
                <w:szCs w:val="14"/>
                <w:b w:val="1"/>
                <w:bCs w:val="1"/>
                <w:color w:val="auto"/>
                <w:w w:val="84"/>
              </w:rPr>
              <w:t>thousands)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Rebates we granted under the sales agency arrangement</w:t>
            </w:r>
          </w:p>
        </w:tc>
        <w:tc>
          <w:tcPr>
            <w:tcW w:w="1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7"/>
                <w:szCs w:val="17"/>
                <w:color w:val="auto"/>
              </w:rPr>
              <w:t>- Recorded as cost of revenues under ASC 605</w:t>
            </w:r>
          </w:p>
        </w:tc>
        <w:tc>
          <w:tcPr>
            <w:tcW w:w="1220" w:type="dxa"/>
            <w:vAlign w:val="bottom"/>
          </w:tcPr>
          <w:p>
            <w:pPr>
              <w:jc w:val="right"/>
              <w:ind w:right="144"/>
              <w:spacing w:after="0"/>
              <w:rPr>
                <w:sz w:val="20"/>
                <w:szCs w:val="20"/>
                <w:color w:val="auto"/>
              </w:rPr>
            </w:pPr>
            <w:r>
              <w:rPr>
                <w:rFonts w:ascii="Arial" w:cs="Arial" w:eastAsia="Arial" w:hAnsi="Arial"/>
                <w:sz w:val="17"/>
                <w:szCs w:val="17"/>
                <w:color w:val="auto"/>
              </w:rPr>
              <w:t>(2,236)</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(1.8)</w:t>
            </w:r>
          </w:p>
        </w:tc>
        <w:tc>
          <w:tcPr>
            <w:tcW w:w="1220" w:type="dxa"/>
            <w:vAlign w:val="bottom"/>
          </w:tcPr>
          <w:p>
            <w:pPr>
              <w:jc w:val="right"/>
              <w:ind w:right="245"/>
              <w:spacing w:after="0"/>
              <w:rPr>
                <w:sz w:val="20"/>
                <w:szCs w:val="20"/>
                <w:color w:val="auto"/>
              </w:rPr>
            </w:pPr>
            <w:r>
              <w:rPr>
                <w:rFonts w:ascii="Arial" w:cs="Arial" w:eastAsia="Arial" w:hAnsi="Arial"/>
                <w:sz w:val="17"/>
                <w:szCs w:val="17"/>
                <w:color w:val="auto"/>
              </w:rPr>
              <w:t>N/A</w:t>
            </w:r>
          </w:p>
        </w:tc>
        <w:tc>
          <w:tcPr>
            <w:tcW w:w="1000" w:type="dxa"/>
            <w:vAlign w:val="bottom"/>
            <w:gridSpan w:val="2"/>
          </w:tcPr>
          <w:p>
            <w:pPr>
              <w:ind w:left="480"/>
              <w:spacing w:after="0"/>
              <w:rPr>
                <w:sz w:val="20"/>
                <w:szCs w:val="20"/>
                <w:color w:val="auto"/>
              </w:rPr>
            </w:pPr>
            <w:r>
              <w:rPr>
                <w:rFonts w:ascii="Arial" w:cs="Arial" w:eastAsia="Arial" w:hAnsi="Arial"/>
                <w:sz w:val="17"/>
                <w:szCs w:val="17"/>
                <w:color w:val="auto"/>
              </w:rPr>
              <w:t>N/A</w:t>
            </w:r>
          </w:p>
        </w:tc>
        <w:tc>
          <w:tcPr>
            <w:tcW w:w="1180" w:type="dxa"/>
            <w:vAlign w:val="bottom"/>
          </w:tcPr>
          <w:p>
            <w:pPr>
              <w:jc w:val="right"/>
              <w:ind w:right="224"/>
              <w:spacing w:after="0"/>
              <w:rPr>
                <w:sz w:val="20"/>
                <w:szCs w:val="20"/>
                <w:color w:val="auto"/>
              </w:rPr>
            </w:pPr>
            <w:r>
              <w:rPr>
                <w:rFonts w:ascii="Arial" w:cs="Arial" w:eastAsia="Arial" w:hAnsi="Arial"/>
                <w:sz w:val="17"/>
                <w:szCs w:val="17"/>
                <w:color w:val="auto"/>
              </w:rPr>
              <w:t>N/A</w:t>
            </w:r>
          </w:p>
        </w:tc>
        <w:tc>
          <w:tcPr>
            <w:tcW w:w="900" w:type="dxa"/>
            <w:vAlign w:val="bottom"/>
            <w:gridSpan w:val="2"/>
          </w:tcPr>
          <w:p>
            <w:pPr>
              <w:ind w:left="480"/>
              <w:spacing w:after="0"/>
              <w:rPr>
                <w:sz w:val="20"/>
                <w:szCs w:val="20"/>
                <w:color w:val="auto"/>
              </w:rPr>
            </w:pPr>
            <w:r>
              <w:rPr>
                <w:rFonts w:ascii="Arial" w:cs="Arial" w:eastAsia="Arial" w:hAnsi="Arial"/>
                <w:sz w:val="17"/>
                <w:szCs w:val="17"/>
                <w:color w:val="auto"/>
              </w:rPr>
              <w:t>N/A</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 Recorded as a reduction of revenue under ASC 606</w:t>
            </w:r>
          </w:p>
        </w:tc>
        <w:tc>
          <w:tcPr>
            <w:tcW w:w="1220" w:type="dxa"/>
            <w:vAlign w:val="bottom"/>
            <w:shd w:val="clear" w:color="auto" w:fill="CFF0FC"/>
          </w:tcPr>
          <w:p>
            <w:pPr>
              <w:jc w:val="right"/>
              <w:ind w:right="144"/>
              <w:spacing w:after="0"/>
              <w:rPr>
                <w:sz w:val="20"/>
                <w:szCs w:val="20"/>
                <w:color w:val="auto"/>
              </w:rPr>
            </w:pPr>
            <w:r>
              <w:rPr>
                <w:rFonts w:ascii="Arial" w:cs="Arial" w:eastAsia="Arial" w:hAnsi="Arial"/>
                <w:sz w:val="17"/>
                <w:szCs w:val="17"/>
                <w:color w:val="auto"/>
              </w:rPr>
              <w:t>N/A</w:t>
            </w:r>
          </w:p>
        </w:tc>
        <w:tc>
          <w:tcPr>
            <w:tcW w:w="1060" w:type="dxa"/>
            <w:vAlign w:val="bottom"/>
            <w:gridSpan w:val="2"/>
            <w:shd w:val="clear" w:color="auto" w:fill="CFF0FC"/>
          </w:tcPr>
          <w:p>
            <w:pPr>
              <w:ind w:left="520"/>
              <w:spacing w:after="0"/>
              <w:rPr>
                <w:sz w:val="20"/>
                <w:szCs w:val="20"/>
                <w:color w:val="auto"/>
              </w:rPr>
            </w:pPr>
            <w:r>
              <w:rPr>
                <w:rFonts w:ascii="Arial" w:cs="Arial" w:eastAsia="Arial" w:hAnsi="Arial"/>
                <w:sz w:val="17"/>
                <w:szCs w:val="17"/>
                <w:color w:val="auto"/>
              </w:rPr>
              <w:t>N/A</w:t>
            </w:r>
          </w:p>
        </w:tc>
        <w:tc>
          <w:tcPr>
            <w:tcW w:w="1220" w:type="dxa"/>
            <w:vAlign w:val="bottom"/>
            <w:shd w:val="clear" w:color="auto" w:fill="CFF0FC"/>
          </w:tcPr>
          <w:p>
            <w:pPr>
              <w:jc w:val="right"/>
              <w:ind w:right="185"/>
              <w:spacing w:after="0"/>
              <w:rPr>
                <w:sz w:val="20"/>
                <w:szCs w:val="20"/>
                <w:color w:val="auto"/>
              </w:rPr>
            </w:pPr>
            <w:r>
              <w:rPr>
                <w:rFonts w:ascii="Arial" w:cs="Arial" w:eastAsia="Arial" w:hAnsi="Arial"/>
                <w:sz w:val="17"/>
                <w:szCs w:val="17"/>
                <w:color w:val="auto"/>
              </w:rPr>
              <w:t>(2,654)</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w:t>
            </w:r>
          </w:p>
        </w:tc>
        <w:tc>
          <w:tcPr>
            <w:tcW w:w="118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(2,146)</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w:t>
            </w:r>
          </w:p>
        </w:tc>
      </w:tr>
    </w:tbl>
    <w:p>
      <w:pPr>
        <w:spacing w:after="0" w:line="209" w:lineRule="exact"/>
        <w:rPr>
          <w:sz w:val="20"/>
          <w:szCs w:val="20"/>
          <w:color w:val="auto"/>
        </w:rPr>
      </w:pPr>
    </w:p>
    <w:p>
      <w:pPr>
        <w:ind w:firstLine="782"/>
        <w:spacing w:after="0" w:line="295" w:lineRule="auto"/>
        <w:rPr>
          <w:sz w:val="20"/>
          <w:szCs w:val="20"/>
          <w:color w:val="auto"/>
        </w:rPr>
      </w:pPr>
      <w:r>
        <w:rPr>
          <w:rFonts w:ascii="Arial" w:cs="Arial" w:eastAsia="Arial" w:hAnsi="Arial"/>
          <w:sz w:val="15"/>
          <w:szCs w:val="15"/>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In 2017, 2018 and 2019, we derived 15.9%, 11.3% and 11.8% of our net revenues from outside China, respectively. Our net revenues from clients in China increased significantly from 2017 to 2018 and further to 2019 as a result of (i) the business expansion in OptAim, which used its consolidated subsidiaries in China to execute marketing campaign contracts, (ii) our continuous priority in the execution of our mobile strategy, and (iii) revenue contribution from Changyi which operates enterprise solutions business in China. Clients for our mobile marketing solutions and enterprise solutions are primarily based in China. Our net revenues from clients outside China decreased from 2017 to 2018 as we optimized the client base for other marketing solutions to focus on profitability and liquidity, and our strategic shift away from other marketing solutions. Our net revenues from clients outside China increased in 2019 as we grasped the growing opportunities in marketing business outside China. The table below shows our net revenues breakdown by geographic region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5"/>
        </w:trPr>
        <w:tc>
          <w:tcPr>
            <w:tcW w:w="466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149"/>
        </w:trPr>
        <w:tc>
          <w:tcPr>
            <w:tcW w:w="4660" w:type="dxa"/>
            <w:vAlign w:val="bottom"/>
          </w:tcPr>
          <w:p>
            <w:pPr>
              <w:spacing w:after="0"/>
              <w:rPr>
                <w:sz w:val="12"/>
                <w:szCs w:val="12"/>
                <w:color w:val="auto"/>
              </w:rPr>
            </w:pPr>
          </w:p>
        </w:tc>
        <w:tc>
          <w:tcPr>
            <w:tcW w:w="1280" w:type="dxa"/>
            <w:vAlign w:val="bottom"/>
            <w:tcBorders>
              <w:bottom w:val="single" w:sz="8" w:color="auto"/>
            </w:tcBorders>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845"/>
              <w:spacing w:after="0" w:line="149"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845"/>
              <w:spacing w:after="0" w:line="149" w:lineRule="exact"/>
              <w:rPr>
                <w:sz w:val="20"/>
                <w:szCs w:val="20"/>
                <w:color w:val="auto"/>
              </w:rPr>
            </w:pPr>
            <w:r>
              <w:rPr>
                <w:rFonts w:ascii="Arial" w:cs="Arial" w:eastAsia="Arial" w:hAnsi="Arial"/>
                <w:sz w:val="14"/>
                <w:szCs w:val="14"/>
                <w:b w:val="1"/>
                <w:bCs w:val="1"/>
                <w:color w:val="auto"/>
                <w:w w:val="83"/>
              </w:rPr>
              <w:t>2019</w:t>
            </w:r>
          </w:p>
        </w:tc>
      </w:tr>
      <w:tr>
        <w:trPr>
          <w:trHeight w:val="127"/>
        </w:trPr>
        <w:tc>
          <w:tcPr>
            <w:tcW w:w="4660" w:type="dxa"/>
            <w:vAlign w:val="bottom"/>
          </w:tcPr>
          <w:p>
            <w:pPr>
              <w:spacing w:after="0"/>
              <w:rPr>
                <w:sz w:val="11"/>
                <w:szCs w:val="11"/>
                <w:color w:val="auto"/>
              </w:rPr>
            </w:pPr>
          </w:p>
        </w:tc>
        <w:tc>
          <w:tcPr>
            <w:tcW w:w="1280" w:type="dxa"/>
            <w:vAlign w:val="bottom"/>
            <w:gridSpan w:val="3"/>
          </w:tcPr>
          <w:p>
            <w:pPr>
              <w:jc w:val="center"/>
              <w:ind w:right="380"/>
              <w:spacing w:after="0" w:line="127" w:lineRule="exact"/>
              <w:rPr>
                <w:sz w:val="20"/>
                <w:szCs w:val="20"/>
                <w:color w:val="auto"/>
              </w:rPr>
            </w:pPr>
            <w:r>
              <w:rPr>
                <w:rFonts w:ascii="Arial" w:cs="Arial" w:eastAsia="Arial" w:hAnsi="Arial"/>
                <w:sz w:val="14"/>
                <w:szCs w:val="14"/>
                <w:b w:val="1"/>
                <w:bCs w:val="1"/>
                <w:color w:val="auto"/>
                <w:w w:val="93"/>
              </w:rPr>
              <w:t>(US in</w:t>
            </w:r>
          </w:p>
        </w:tc>
        <w:tc>
          <w:tcPr>
            <w:tcW w:w="880" w:type="dxa"/>
            <w:vAlign w:val="bottom"/>
          </w:tcPr>
          <w:p>
            <w:pPr>
              <w:jc w:val="right"/>
              <w:ind w:right="159"/>
              <w:spacing w:after="0" w:line="127" w:lineRule="exact"/>
              <w:rPr>
                <w:sz w:val="20"/>
                <w:szCs w:val="20"/>
                <w:color w:val="auto"/>
              </w:rPr>
            </w:pPr>
            <w:r>
              <w:rPr>
                <w:rFonts w:ascii="Arial" w:cs="Arial" w:eastAsia="Arial" w:hAnsi="Arial"/>
                <w:sz w:val="14"/>
                <w:szCs w:val="14"/>
                <w:b w:val="1"/>
                <w:bCs w:val="1"/>
                <w:color w:val="auto"/>
              </w:rPr>
              <w:t>(% of net</w:t>
            </w:r>
          </w:p>
        </w:tc>
        <w:tc>
          <w:tcPr>
            <w:tcW w:w="120" w:type="dxa"/>
            <w:vAlign w:val="bottom"/>
          </w:tcPr>
          <w:p>
            <w:pPr>
              <w:spacing w:after="0"/>
              <w:rPr>
                <w:sz w:val="11"/>
                <w:szCs w:val="11"/>
                <w:color w:val="auto"/>
              </w:rPr>
            </w:pPr>
          </w:p>
        </w:tc>
        <w:tc>
          <w:tcPr>
            <w:tcW w:w="900" w:type="dxa"/>
            <w:vAlign w:val="bottom"/>
          </w:tcPr>
          <w:p>
            <w:pPr>
              <w:jc w:val="right"/>
              <w:ind w:right="201"/>
              <w:spacing w:after="0" w:line="127" w:lineRule="exact"/>
              <w:rPr>
                <w:sz w:val="20"/>
                <w:szCs w:val="20"/>
                <w:color w:val="auto"/>
              </w:rPr>
            </w:pPr>
            <w:r>
              <w:rPr>
                <w:rFonts w:ascii="Arial" w:cs="Arial" w:eastAsia="Arial" w:hAnsi="Arial"/>
                <w:sz w:val="14"/>
                <w:szCs w:val="14"/>
                <w:b w:val="1"/>
                <w:bCs w:val="1"/>
                <w:color w:val="auto"/>
              </w:rPr>
              <w:t>(US in</w:t>
            </w:r>
          </w:p>
        </w:tc>
        <w:tc>
          <w:tcPr>
            <w:tcW w:w="200" w:type="dxa"/>
            <w:vAlign w:val="bottom"/>
          </w:tcPr>
          <w:p>
            <w:pPr>
              <w:spacing w:after="0"/>
              <w:rPr>
                <w:sz w:val="11"/>
                <w:szCs w:val="11"/>
                <w:color w:val="auto"/>
              </w:rPr>
            </w:pPr>
          </w:p>
        </w:tc>
        <w:tc>
          <w:tcPr>
            <w:tcW w:w="1000" w:type="dxa"/>
            <w:vAlign w:val="bottom"/>
          </w:tcPr>
          <w:p>
            <w:pPr>
              <w:jc w:val="right"/>
              <w:ind w:right="145"/>
              <w:spacing w:after="0" w:line="127"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c>
          <w:tcPr>
            <w:tcW w:w="900" w:type="dxa"/>
            <w:vAlign w:val="bottom"/>
          </w:tcPr>
          <w:p>
            <w:pPr>
              <w:jc w:val="right"/>
              <w:ind w:right="179"/>
              <w:spacing w:after="0" w:line="127" w:lineRule="exact"/>
              <w:rPr>
                <w:sz w:val="20"/>
                <w:szCs w:val="20"/>
                <w:color w:val="auto"/>
              </w:rPr>
            </w:pPr>
            <w:r>
              <w:rPr>
                <w:rFonts w:ascii="Arial" w:cs="Arial" w:eastAsia="Arial" w:hAnsi="Arial"/>
                <w:sz w:val="14"/>
                <w:szCs w:val="14"/>
                <w:b w:val="1"/>
                <w:bCs w:val="1"/>
                <w:color w:val="auto"/>
              </w:rPr>
              <w:t>(US in</w:t>
            </w:r>
          </w:p>
        </w:tc>
        <w:tc>
          <w:tcPr>
            <w:tcW w:w="200" w:type="dxa"/>
            <w:vAlign w:val="bottom"/>
          </w:tcPr>
          <w:p>
            <w:pPr>
              <w:spacing w:after="0"/>
              <w:rPr>
                <w:sz w:val="11"/>
                <w:szCs w:val="11"/>
                <w:color w:val="auto"/>
              </w:rPr>
            </w:pPr>
          </w:p>
        </w:tc>
        <w:tc>
          <w:tcPr>
            <w:tcW w:w="1000" w:type="dxa"/>
            <w:vAlign w:val="bottom"/>
          </w:tcPr>
          <w:p>
            <w:pPr>
              <w:jc w:val="right"/>
              <w:ind w:right="145"/>
              <w:spacing w:after="0" w:line="127" w:lineRule="exact"/>
              <w:rPr>
                <w:sz w:val="20"/>
                <w:szCs w:val="20"/>
                <w:color w:val="auto"/>
              </w:rPr>
            </w:pPr>
            <w:r>
              <w:rPr>
                <w:rFonts w:ascii="Arial" w:cs="Arial" w:eastAsia="Arial" w:hAnsi="Arial"/>
                <w:sz w:val="14"/>
                <w:szCs w:val="14"/>
                <w:b w:val="1"/>
                <w:bCs w:val="1"/>
                <w:color w:val="auto"/>
              </w:rPr>
              <w:t>(% of net</w:t>
            </w:r>
          </w:p>
        </w:tc>
      </w:tr>
      <w:tr>
        <w:trPr>
          <w:trHeight w:val="166"/>
        </w:trPr>
        <w:tc>
          <w:tcPr>
            <w:tcW w:w="466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thousands)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revenues)</w:t>
            </w:r>
          </w:p>
        </w:tc>
        <w:tc>
          <w:tcPr>
            <w:tcW w:w="900" w:type="dxa"/>
            <w:vAlign w:val="bottom"/>
          </w:tcPr>
          <w:p>
            <w:pPr>
              <w:jc w:val="right"/>
              <w:ind w:right="61"/>
              <w:spacing w:after="0"/>
              <w:rPr>
                <w:sz w:val="20"/>
                <w:szCs w:val="20"/>
                <w:color w:val="auto"/>
              </w:rPr>
            </w:pPr>
            <w:r>
              <w:rPr>
                <w:rFonts w:ascii="Arial" w:cs="Arial" w:eastAsia="Arial" w:hAnsi="Arial"/>
                <w:sz w:val="14"/>
                <w:szCs w:val="14"/>
                <w:b w:val="1"/>
                <w:bCs w:val="1"/>
                <w:color w:val="auto"/>
                <w:w w:val="98"/>
              </w:rPr>
              <w:t>thousands)</w:t>
            </w:r>
          </w:p>
        </w:tc>
        <w:tc>
          <w:tcPr>
            <w:tcW w:w="2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revenues)</w:t>
            </w: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w w:val="98"/>
              </w:rPr>
              <w:t>thousands)</w:t>
            </w:r>
          </w:p>
        </w:tc>
        <w:tc>
          <w:tcPr>
            <w:tcW w:w="200" w:type="dxa"/>
            <w:vAlign w:val="bottom"/>
          </w:tcPr>
          <w:p>
            <w:pPr>
              <w:spacing w:after="0"/>
              <w:rPr>
                <w:sz w:val="14"/>
                <w:szCs w:val="14"/>
                <w:color w:val="auto"/>
              </w:rPr>
            </w:pPr>
          </w:p>
        </w:tc>
        <w:tc>
          <w:tcPr>
            <w:tcW w:w="1000" w:type="dxa"/>
            <w:vAlign w:val="bottom"/>
          </w:tcPr>
          <w:p>
            <w:pPr>
              <w:jc w:val="right"/>
              <w:ind w:right="145"/>
              <w:spacing w:after="0"/>
              <w:rPr>
                <w:sz w:val="20"/>
                <w:szCs w:val="20"/>
                <w:color w:val="auto"/>
              </w:rPr>
            </w:pPr>
            <w:r>
              <w:rPr>
                <w:rFonts w:ascii="Arial" w:cs="Arial" w:eastAsia="Arial" w:hAnsi="Arial"/>
                <w:sz w:val="14"/>
                <w:szCs w:val="14"/>
                <w:b w:val="1"/>
                <w:bCs w:val="1"/>
                <w:color w:val="auto"/>
              </w:rPr>
              <w:t>revenues)</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PRC</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105,380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84.1</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141,926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88.7</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175,970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88.2</w:t>
            </w:r>
          </w:p>
        </w:tc>
      </w:tr>
      <w:tr>
        <w:trPr>
          <w:trHeight w:val="221"/>
        </w:trPr>
        <w:tc>
          <w:tcPr>
            <w:tcW w:w="4660" w:type="dxa"/>
            <w:vAlign w:val="bottom"/>
          </w:tcPr>
          <w:p>
            <w:pPr>
              <w:spacing w:after="0"/>
              <w:rPr>
                <w:sz w:val="20"/>
                <w:szCs w:val="20"/>
                <w:color w:val="auto"/>
              </w:rPr>
            </w:pPr>
            <w:r>
              <w:rPr>
                <w:rFonts w:ascii="Arial" w:cs="Arial" w:eastAsia="Arial" w:hAnsi="Arial"/>
                <w:sz w:val="17"/>
                <w:szCs w:val="17"/>
                <w:color w:val="auto"/>
              </w:rPr>
              <w:t>Hong Kong</w:t>
            </w:r>
          </w:p>
        </w:tc>
        <w:tc>
          <w:tcPr>
            <w:tcW w:w="920" w:type="dxa"/>
            <w:vAlign w:val="bottom"/>
          </w:tcPr>
          <w:p>
            <w:pPr>
              <w:jc w:val="right"/>
              <w:spacing w:after="0"/>
              <w:rPr>
                <w:sz w:val="20"/>
                <w:szCs w:val="20"/>
                <w:color w:val="auto"/>
              </w:rPr>
            </w:pPr>
            <w:r>
              <w:rPr>
                <w:rFonts w:ascii="Arial" w:cs="Arial" w:eastAsia="Arial" w:hAnsi="Arial"/>
                <w:sz w:val="17"/>
                <w:szCs w:val="17"/>
                <w:color w:val="auto"/>
              </w:rPr>
              <w:t>18,287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17,004</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22,567</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11.3</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Others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1,087</w:t>
            </w:r>
          </w:p>
        </w:tc>
        <w:tc>
          <w:tcPr>
            <w:tcW w:w="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871</w:t>
            </w:r>
          </w:p>
        </w:tc>
        <w:tc>
          <w:tcPr>
            <w:tcW w:w="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0.5</w:t>
            </w:r>
          </w:p>
        </w:tc>
      </w:tr>
      <w:tr>
        <w:trPr>
          <w:trHeight w:val="214"/>
        </w:trPr>
        <w:tc>
          <w:tcPr>
            <w:tcW w:w="4660" w:type="dxa"/>
            <w:vAlign w:val="bottom"/>
          </w:tcPr>
          <w:p>
            <w:pPr>
              <w:spacing w:after="0"/>
              <w:rPr>
                <w:sz w:val="20"/>
                <w:szCs w:val="20"/>
                <w:color w:val="auto"/>
              </w:rPr>
            </w:pPr>
            <w:r>
              <w:rPr>
                <w:rFonts w:ascii="Arial" w:cs="Arial" w:eastAsia="Arial" w:hAnsi="Arial"/>
                <w:sz w:val="17"/>
                <w:szCs w:val="17"/>
                <w:color w:val="auto"/>
              </w:rPr>
              <w:t>Total net revenues</w:t>
            </w:r>
          </w:p>
        </w:tc>
        <w:tc>
          <w:tcPr>
            <w:tcW w:w="920" w:type="dxa"/>
            <w:vAlign w:val="bottom"/>
          </w:tcPr>
          <w:p>
            <w:pPr>
              <w:jc w:val="right"/>
              <w:spacing w:after="0"/>
              <w:rPr>
                <w:sz w:val="20"/>
                <w:szCs w:val="20"/>
                <w:color w:val="auto"/>
              </w:rPr>
            </w:pPr>
            <w:r>
              <w:rPr>
                <w:rFonts w:ascii="Arial" w:cs="Arial" w:eastAsia="Arial" w:hAnsi="Arial"/>
                <w:sz w:val="17"/>
                <w:szCs w:val="17"/>
                <w:color w:val="auto"/>
              </w:rPr>
              <w:t>125,258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160,017</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199,408</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4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Gross Profit Margin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Solutions</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Cost of revenues for our marketing solutions primarily consists of:</w:t>
      </w:r>
    </w:p>
    <w:p>
      <w:pPr>
        <w:spacing w:after="0" w:line="195" w:lineRule="exact"/>
        <w:rPr>
          <w:sz w:val="20"/>
          <w:szCs w:val="20"/>
          <w:color w:val="auto"/>
        </w:rPr>
      </w:pPr>
    </w:p>
    <w:p>
      <w:pPr>
        <w:jc w:val="both"/>
        <w:ind w:left="1300" w:right="60" w:hanging="515"/>
        <w:spacing w:after="0" w:line="270"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Media cost in connection with specified-action marketing campaigns</w:t>
      </w:r>
      <w:r>
        <w:rPr>
          <w:rFonts w:ascii="Arial" w:cs="Arial" w:eastAsia="Arial" w:hAnsi="Arial"/>
          <w:sz w:val="17"/>
          <w:szCs w:val="17"/>
          <w:color w:val="auto"/>
        </w:rPr>
        <w:t>. Media cost refers to cost we pay to publishers for acquisition of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opportunities, which is partially offset by rebates we receive from publishers in specified-action marketing campaigns. Media cost represented 93.0%, 96.1% and 96.4% of our cost of revenues in 2017, 2018 and 2019, respectively.</w:t>
      </w:r>
    </w:p>
    <w:p>
      <w:pPr>
        <w:spacing w:after="0" w:line="68" w:lineRule="exact"/>
        <w:rPr>
          <w:rFonts w:ascii="Arial" w:cs="Arial" w:eastAsia="Arial" w:hAnsi="Arial"/>
          <w:sz w:val="17"/>
          <w:szCs w:val="17"/>
          <w:color w:val="auto"/>
        </w:rPr>
      </w:pPr>
    </w:p>
    <w:p>
      <w:pPr>
        <w:ind w:left="1300" w:right="60" w:hanging="515"/>
        <w:spacing w:after="0" w:line="286"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Rebates we grant under our sales agency arrangement (prior to January 1, 2018)</w:t>
      </w:r>
      <w:r>
        <w:rPr>
          <w:rFonts w:ascii="Arial" w:cs="Arial" w:eastAsia="Arial" w:hAnsi="Arial"/>
          <w:sz w:val="17"/>
          <w:szCs w:val="17"/>
          <w:color w:val="auto"/>
        </w:rPr>
        <w:t>. Rebates we grant under our sales agency arrangement were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as cost of revenues in 2017, represented 2.3% of our cost of revenues in 2017.</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88" w:name="page89"/>
    <w:bookmarkEnd w:id="88"/>
    <w:p>
      <w:pPr>
        <w:ind w:right="360" w:firstLine="782"/>
        <w:spacing w:after="0" w:line="286" w:lineRule="auto"/>
        <w:rPr>
          <w:sz w:val="20"/>
          <w:szCs w:val="20"/>
          <w:color w:val="auto"/>
        </w:rPr>
      </w:pPr>
      <w:r>
        <w:rPr>
          <w:rFonts w:ascii="Arial" w:cs="Arial" w:eastAsia="Arial" w:hAnsi="Arial"/>
          <w:sz w:val="17"/>
          <w:szCs w:val="17"/>
          <w:color w:val="auto"/>
        </w:rPr>
        <w:t>The table below shows the rebates we granted to marketers and marketing agencies under our sales agency arrangement for our mobile marketing solutions and other marketing solutions for the periods presented as recognized in cost of revenues.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2"/>
                <w:szCs w:val="12"/>
                <w:color w:val="auto"/>
              </w:rPr>
            </w:pPr>
          </w:p>
        </w:tc>
      </w:tr>
      <w:tr>
        <w:trPr>
          <w:trHeight w:val="127"/>
        </w:trPr>
        <w:tc>
          <w:tcPr>
            <w:tcW w:w="4660" w:type="dxa"/>
            <w:vAlign w:val="bottom"/>
          </w:tcPr>
          <w:p>
            <w:pPr>
              <w:spacing w:after="0"/>
              <w:rPr>
                <w:sz w:val="11"/>
                <w:szCs w:val="11"/>
                <w:color w:val="auto"/>
              </w:rPr>
            </w:pPr>
          </w:p>
        </w:tc>
        <w:tc>
          <w:tcPr>
            <w:tcW w:w="1200" w:type="dxa"/>
            <w:vAlign w:val="bottom"/>
          </w:tcPr>
          <w:p>
            <w:pPr>
              <w:jc w:val="right"/>
              <w:ind w:right="482"/>
              <w:spacing w:after="0" w:line="127" w:lineRule="exact"/>
              <w:rPr>
                <w:sz w:val="20"/>
                <w:szCs w:val="20"/>
                <w:color w:val="auto"/>
              </w:rPr>
            </w:pPr>
            <w:r>
              <w:rPr>
                <w:rFonts w:ascii="Arial" w:cs="Arial" w:eastAsia="Arial" w:hAnsi="Arial"/>
                <w:sz w:val="14"/>
                <w:szCs w:val="14"/>
                <w:b w:val="1"/>
                <w:bCs w:val="1"/>
                <w:color w:val="auto"/>
              </w:rPr>
              <w:t>(US in</w:t>
            </w:r>
          </w:p>
        </w:tc>
        <w:tc>
          <w:tcPr>
            <w:tcW w:w="860" w:type="dxa"/>
            <w:vAlign w:val="bottom"/>
          </w:tcPr>
          <w:p>
            <w:pPr>
              <w:jc w:val="right"/>
              <w:spacing w:after="0" w:line="127" w:lineRule="exact"/>
              <w:rPr>
                <w:sz w:val="20"/>
                <w:szCs w:val="20"/>
                <w:color w:val="auto"/>
              </w:rPr>
            </w:pPr>
            <w:r>
              <w:rPr>
                <w:rFonts w:ascii="Arial" w:cs="Arial" w:eastAsia="Arial" w:hAnsi="Arial"/>
                <w:sz w:val="14"/>
                <w:szCs w:val="14"/>
                <w:b w:val="1"/>
                <w:bCs w:val="1"/>
                <w:color w:val="auto"/>
                <w:w w:val="90"/>
              </w:rPr>
              <w:t>(% of cost of</w:t>
            </w:r>
          </w:p>
        </w:tc>
        <w:tc>
          <w:tcPr>
            <w:tcW w:w="200" w:type="dxa"/>
            <w:vAlign w:val="bottom"/>
          </w:tcPr>
          <w:p>
            <w:pPr>
              <w:spacing w:after="0"/>
              <w:rPr>
                <w:sz w:val="11"/>
                <w:szCs w:val="11"/>
                <w:color w:val="auto"/>
              </w:rPr>
            </w:pPr>
          </w:p>
        </w:tc>
        <w:tc>
          <w:tcPr>
            <w:tcW w:w="1220" w:type="dxa"/>
            <w:vAlign w:val="bottom"/>
          </w:tcPr>
          <w:p>
            <w:pPr>
              <w:jc w:val="right"/>
              <w:ind w:right="463"/>
              <w:spacing w:after="0" w:line="127" w:lineRule="exact"/>
              <w:rPr>
                <w:sz w:val="20"/>
                <w:szCs w:val="20"/>
                <w:color w:val="auto"/>
              </w:rPr>
            </w:pPr>
            <w:r>
              <w:rPr>
                <w:rFonts w:ascii="Arial" w:cs="Arial" w:eastAsia="Arial" w:hAnsi="Arial"/>
                <w:sz w:val="14"/>
                <w:szCs w:val="14"/>
                <w:b w:val="1"/>
                <w:bCs w:val="1"/>
                <w:color w:val="auto"/>
              </w:rPr>
              <w:t>(US in</w:t>
            </w:r>
          </w:p>
        </w:tc>
        <w:tc>
          <w:tcPr>
            <w:tcW w:w="900" w:type="dxa"/>
            <w:vAlign w:val="bottom"/>
          </w:tcPr>
          <w:p>
            <w:pPr>
              <w:spacing w:after="0" w:line="127" w:lineRule="exact"/>
              <w:rPr>
                <w:sz w:val="20"/>
                <w:szCs w:val="20"/>
                <w:color w:val="auto"/>
              </w:rPr>
            </w:pPr>
            <w:r>
              <w:rPr>
                <w:rFonts w:ascii="Arial" w:cs="Arial" w:eastAsia="Arial" w:hAnsi="Arial"/>
                <w:sz w:val="14"/>
                <w:szCs w:val="14"/>
                <w:b w:val="1"/>
                <w:bCs w:val="1"/>
                <w:color w:val="auto"/>
              </w:rPr>
              <w:t>(% of cost of</w:t>
            </w:r>
          </w:p>
        </w:tc>
        <w:tc>
          <w:tcPr>
            <w:tcW w:w="100" w:type="dxa"/>
            <w:vAlign w:val="bottom"/>
          </w:tcPr>
          <w:p>
            <w:pPr>
              <w:spacing w:after="0"/>
              <w:rPr>
                <w:sz w:val="11"/>
                <w:szCs w:val="11"/>
                <w:color w:val="auto"/>
              </w:rPr>
            </w:pPr>
          </w:p>
        </w:tc>
        <w:tc>
          <w:tcPr>
            <w:tcW w:w="1200" w:type="dxa"/>
            <w:vAlign w:val="bottom"/>
          </w:tcPr>
          <w:p>
            <w:pPr>
              <w:jc w:val="right"/>
              <w:ind w:right="442"/>
              <w:spacing w:after="0" w:line="127" w:lineRule="exact"/>
              <w:rPr>
                <w:sz w:val="20"/>
                <w:szCs w:val="20"/>
                <w:color w:val="auto"/>
              </w:rPr>
            </w:pPr>
            <w:r>
              <w:rPr>
                <w:rFonts w:ascii="Arial" w:cs="Arial" w:eastAsia="Arial" w:hAnsi="Arial"/>
                <w:sz w:val="14"/>
                <w:szCs w:val="14"/>
                <w:b w:val="1"/>
                <w:bCs w:val="1"/>
                <w:color w:val="auto"/>
              </w:rPr>
              <w:t>(US in</w:t>
            </w:r>
          </w:p>
        </w:tc>
        <w:tc>
          <w:tcPr>
            <w:tcW w:w="900" w:type="dxa"/>
            <w:vAlign w:val="bottom"/>
          </w:tcPr>
          <w:p>
            <w:pPr>
              <w:jc w:val="right"/>
              <w:ind w:right="40"/>
              <w:spacing w:after="0" w:line="127" w:lineRule="exact"/>
              <w:rPr>
                <w:sz w:val="20"/>
                <w:szCs w:val="20"/>
                <w:color w:val="auto"/>
              </w:rPr>
            </w:pPr>
            <w:r>
              <w:rPr>
                <w:rFonts w:ascii="Arial" w:cs="Arial" w:eastAsia="Arial" w:hAnsi="Arial"/>
                <w:sz w:val="14"/>
                <w:szCs w:val="14"/>
                <w:b w:val="1"/>
                <w:bCs w:val="1"/>
                <w:color w:val="auto"/>
                <w:w w:val="90"/>
              </w:rPr>
              <w:t>(% of cost of</w:t>
            </w:r>
          </w:p>
        </w:tc>
      </w:tr>
      <w:tr>
        <w:trPr>
          <w:trHeight w:val="166"/>
        </w:trPr>
        <w:tc>
          <w:tcPr>
            <w:tcW w:w="4660" w:type="dxa"/>
            <w:vAlign w:val="bottom"/>
          </w:tcPr>
          <w:p>
            <w:pPr>
              <w:spacing w:after="0"/>
              <w:rPr>
                <w:sz w:val="14"/>
                <w:szCs w:val="14"/>
                <w:color w:val="auto"/>
              </w:rPr>
            </w:pPr>
          </w:p>
        </w:tc>
        <w:tc>
          <w:tcPr>
            <w:tcW w:w="1200" w:type="dxa"/>
            <w:vAlign w:val="bottom"/>
          </w:tcPr>
          <w:p>
            <w:pPr>
              <w:jc w:val="right"/>
              <w:ind w:right="342"/>
              <w:spacing w:after="0"/>
              <w:rPr>
                <w:sz w:val="20"/>
                <w:szCs w:val="20"/>
                <w:color w:val="auto"/>
              </w:rPr>
            </w:pPr>
            <w:r>
              <w:rPr>
                <w:rFonts w:ascii="Arial" w:cs="Arial" w:eastAsia="Arial" w:hAnsi="Arial"/>
                <w:sz w:val="14"/>
                <w:szCs w:val="14"/>
                <w:b w:val="1"/>
                <w:bCs w:val="1"/>
                <w:color w:val="auto"/>
              </w:rPr>
              <w:t>thousands)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revenues)</w:t>
            </w:r>
          </w:p>
        </w:tc>
        <w:tc>
          <w:tcPr>
            <w:tcW w:w="1220" w:type="dxa"/>
            <w:vAlign w:val="bottom"/>
          </w:tcPr>
          <w:p>
            <w:pPr>
              <w:jc w:val="right"/>
              <w:ind w:right="323"/>
              <w:spacing w:after="0"/>
              <w:rPr>
                <w:sz w:val="20"/>
                <w:szCs w:val="20"/>
                <w:color w:val="auto"/>
              </w:rPr>
            </w:pPr>
            <w:r>
              <w:rPr>
                <w:rFonts w:ascii="Arial" w:cs="Arial" w:eastAsia="Arial" w:hAnsi="Arial"/>
                <w:sz w:val="14"/>
                <w:szCs w:val="14"/>
                <w:b w:val="1"/>
                <w:bCs w:val="1"/>
                <w:color w:val="auto"/>
              </w:rPr>
              <w:t>thousands)</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w:t>
            </w:r>
            <w:r>
              <w:rPr>
                <w:rFonts w:ascii="Arial" w:cs="Arial" w:eastAsia="Arial" w:hAnsi="Arial"/>
                <w:sz w:val="11"/>
                <w:szCs w:val="11"/>
                <w:b w:val="1"/>
                <w:bCs w:val="1"/>
                <w:color w:val="auto"/>
              </w:rPr>
              <w:t>(1)</w:t>
            </w:r>
          </w:p>
        </w:tc>
        <w:tc>
          <w:tcPr>
            <w:tcW w:w="1200" w:type="dxa"/>
            <w:vAlign w:val="bottom"/>
          </w:tcPr>
          <w:p>
            <w:pPr>
              <w:jc w:val="right"/>
              <w:ind w:right="302"/>
              <w:spacing w:after="0"/>
              <w:rPr>
                <w:sz w:val="20"/>
                <w:szCs w:val="20"/>
                <w:color w:val="auto"/>
              </w:rPr>
            </w:pPr>
            <w:r>
              <w:rPr>
                <w:rFonts w:ascii="Arial" w:cs="Arial" w:eastAsia="Arial" w:hAnsi="Arial"/>
                <w:sz w:val="14"/>
                <w:szCs w:val="14"/>
                <w:b w:val="1"/>
                <w:bCs w:val="1"/>
                <w:color w:val="auto"/>
              </w:rPr>
              <w:t>thousands)</w:t>
            </w:r>
          </w:p>
        </w:tc>
        <w:tc>
          <w:tcPr>
            <w:tcW w:w="900" w:type="dxa"/>
            <w:vAlign w:val="bottom"/>
          </w:tcPr>
          <w:p>
            <w:pPr>
              <w:jc w:val="right"/>
              <w:ind w:right="140"/>
              <w:spacing w:after="0"/>
              <w:rPr>
                <w:sz w:val="20"/>
                <w:szCs w:val="20"/>
                <w:color w:val="auto"/>
              </w:rPr>
            </w:pPr>
            <w:r>
              <w:rPr>
                <w:rFonts w:ascii="Arial" w:cs="Arial" w:eastAsia="Arial" w:hAnsi="Arial"/>
                <w:sz w:val="14"/>
                <w:szCs w:val="14"/>
                <w:b w:val="1"/>
                <w:bCs w:val="1"/>
                <w:color w:val="auto"/>
                <w:w w:val="99"/>
              </w:rPr>
              <w:t>revenues)</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Rebates we granted under the sales agency arrangement </w:t>
            </w:r>
            <w:r>
              <w:rPr>
                <w:rFonts w:ascii="Arial" w:cs="Arial" w:eastAsia="Arial" w:hAnsi="Arial"/>
                <w:sz w:val="19"/>
                <w:szCs w:val="19"/>
                <w:color w:val="auto"/>
                <w:vertAlign w:val="superscript"/>
              </w:rPr>
              <w:t>(1)</w:t>
            </w:r>
          </w:p>
        </w:tc>
        <w:tc>
          <w:tcPr>
            <w:tcW w:w="1200" w:type="dxa"/>
            <w:vAlign w:val="bottom"/>
            <w:shd w:val="clear" w:color="auto" w:fill="CFF0FC"/>
          </w:tcPr>
          <w:p>
            <w:pPr>
              <w:jc w:val="right"/>
              <w:ind w:right="162"/>
              <w:spacing w:after="0"/>
              <w:rPr>
                <w:sz w:val="20"/>
                <w:szCs w:val="20"/>
                <w:color w:val="auto"/>
              </w:rPr>
            </w:pPr>
            <w:r>
              <w:rPr>
                <w:rFonts w:ascii="Arial" w:cs="Arial" w:eastAsia="Arial" w:hAnsi="Arial"/>
                <w:sz w:val="17"/>
                <w:szCs w:val="17"/>
                <w:color w:val="auto"/>
              </w:rPr>
              <w:t>(2,236)</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w:t>
            </w:r>
          </w:p>
        </w:tc>
        <w:tc>
          <w:tcPr>
            <w:tcW w:w="1220" w:type="dxa"/>
            <w:vAlign w:val="bottom"/>
            <w:shd w:val="clear" w:color="auto" w:fill="CFF0FC"/>
          </w:tcPr>
          <w:p>
            <w:pPr>
              <w:jc w:val="right"/>
              <w:ind w:right="143"/>
              <w:spacing w:after="0"/>
              <w:rPr>
                <w:sz w:val="20"/>
                <w:szCs w:val="20"/>
                <w:color w:val="auto"/>
              </w:rPr>
            </w:pPr>
            <w:r>
              <w:rPr>
                <w:rFonts w:ascii="Arial" w:cs="Arial" w:eastAsia="Arial" w:hAnsi="Arial"/>
                <w:sz w:val="17"/>
                <w:szCs w:val="17"/>
                <w:color w:val="auto"/>
              </w:rPr>
              <w:t>N/A</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N/A</w:t>
            </w:r>
          </w:p>
        </w:tc>
        <w:tc>
          <w:tcPr>
            <w:tcW w:w="1200" w:type="dxa"/>
            <w:vAlign w:val="bottom"/>
            <w:shd w:val="clear" w:color="auto" w:fill="CFF0FC"/>
          </w:tcPr>
          <w:p>
            <w:pPr>
              <w:jc w:val="right"/>
              <w:ind w:right="142"/>
              <w:spacing w:after="0"/>
              <w:rPr>
                <w:sz w:val="20"/>
                <w:szCs w:val="20"/>
                <w:color w:val="auto"/>
              </w:rPr>
            </w:pPr>
            <w:r>
              <w:rPr>
                <w:rFonts w:ascii="Arial" w:cs="Arial" w:eastAsia="Arial" w:hAnsi="Arial"/>
                <w:sz w:val="17"/>
                <w:szCs w:val="17"/>
                <w:color w:val="auto"/>
              </w:rPr>
              <w:t>N/A</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4660" w:type="dxa"/>
            <w:vAlign w:val="bottom"/>
          </w:tcPr>
          <w:p>
            <w:pPr>
              <w:spacing w:after="0"/>
              <w:rPr>
                <w:sz w:val="20"/>
                <w:szCs w:val="20"/>
                <w:color w:val="auto"/>
              </w:rPr>
            </w:pPr>
            <w:r>
              <w:rPr>
                <w:rFonts w:ascii="Arial" w:cs="Arial" w:eastAsia="Arial" w:hAnsi="Arial"/>
                <w:sz w:val="17"/>
                <w:szCs w:val="17"/>
                <w:color w:val="auto"/>
              </w:rPr>
              <w:t>Rebates we granted for mobile marketing solutions</w:t>
            </w:r>
          </w:p>
        </w:tc>
        <w:tc>
          <w:tcPr>
            <w:tcW w:w="1200" w:type="dxa"/>
            <w:vAlign w:val="bottom"/>
          </w:tcPr>
          <w:p>
            <w:pPr>
              <w:jc w:val="right"/>
              <w:ind w:right="222"/>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43"/>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42"/>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Rebates we granted for other marketing solutions</w:t>
            </w:r>
            <w:r>
              <w:rPr>
                <w:rFonts w:ascii="Arial" w:cs="Arial" w:eastAsia="Arial" w:hAnsi="Arial"/>
                <w:sz w:val="19"/>
                <w:szCs w:val="19"/>
                <w:color w:val="auto"/>
                <w:vertAlign w:val="superscript"/>
              </w:rPr>
              <w:t>(1)</w:t>
            </w:r>
          </w:p>
        </w:tc>
        <w:tc>
          <w:tcPr>
            <w:tcW w:w="1200" w:type="dxa"/>
            <w:vAlign w:val="bottom"/>
            <w:shd w:val="clear" w:color="auto" w:fill="CFF0FC"/>
          </w:tcPr>
          <w:p>
            <w:pPr>
              <w:jc w:val="right"/>
              <w:ind w:right="162"/>
              <w:spacing w:after="0"/>
              <w:rPr>
                <w:sz w:val="20"/>
                <w:szCs w:val="20"/>
                <w:color w:val="auto"/>
              </w:rPr>
            </w:pPr>
            <w:r>
              <w:rPr>
                <w:rFonts w:ascii="Arial" w:cs="Arial" w:eastAsia="Arial" w:hAnsi="Arial"/>
                <w:sz w:val="17"/>
                <w:szCs w:val="17"/>
                <w:color w:val="auto"/>
              </w:rPr>
              <w:t>(2,236)</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w:t>
            </w:r>
          </w:p>
        </w:tc>
        <w:tc>
          <w:tcPr>
            <w:tcW w:w="1220" w:type="dxa"/>
            <w:vAlign w:val="bottom"/>
            <w:shd w:val="clear" w:color="auto" w:fill="CFF0FC"/>
          </w:tcPr>
          <w:p>
            <w:pPr>
              <w:jc w:val="right"/>
              <w:ind w:right="143"/>
              <w:spacing w:after="0"/>
              <w:rPr>
                <w:sz w:val="20"/>
                <w:szCs w:val="20"/>
                <w:color w:val="auto"/>
              </w:rPr>
            </w:pPr>
            <w:r>
              <w:rPr>
                <w:rFonts w:ascii="Arial" w:cs="Arial" w:eastAsia="Arial" w:hAnsi="Arial"/>
                <w:sz w:val="17"/>
                <w:szCs w:val="17"/>
                <w:color w:val="auto"/>
              </w:rPr>
              <w:t>N/A</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N/A</w:t>
            </w:r>
          </w:p>
        </w:tc>
        <w:tc>
          <w:tcPr>
            <w:tcW w:w="1200" w:type="dxa"/>
            <w:vAlign w:val="bottom"/>
            <w:shd w:val="clear" w:color="auto" w:fill="CFF0FC"/>
          </w:tcPr>
          <w:p>
            <w:pPr>
              <w:jc w:val="right"/>
              <w:ind w:right="142"/>
              <w:spacing w:after="0"/>
              <w:rPr>
                <w:sz w:val="20"/>
                <w:szCs w:val="20"/>
                <w:color w:val="auto"/>
              </w:rPr>
            </w:pPr>
            <w:r>
              <w:rPr>
                <w:rFonts w:ascii="Arial" w:cs="Arial" w:eastAsia="Arial" w:hAnsi="Arial"/>
                <w:sz w:val="17"/>
                <w:szCs w:val="17"/>
                <w:color w:val="auto"/>
              </w:rPr>
              <w:t>N/A</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16770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111" w:lineRule="exact"/>
        <w:rPr>
          <w:sz w:val="20"/>
          <w:szCs w:val="20"/>
          <w:color w:val="auto"/>
        </w:rPr>
      </w:pPr>
    </w:p>
    <w:p>
      <w:pPr>
        <w:ind w:left="520" w:right="120" w:hanging="516"/>
        <w:spacing w:after="0" w:line="270" w:lineRule="auto"/>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January 1, 2018, we adopted ASC 606 “Revenue from Contracts with Customers” using the modified retrospective method. Since the adoption of ASC 606, rebates we grant under our sales agency arrangements are presented as net of revenues, as opposed to being included as cost of revenues in prior periods.</w:t>
      </w:r>
    </w:p>
    <w:p>
      <w:pPr>
        <w:spacing w:after="0" w:line="173" w:lineRule="exact"/>
        <w:rPr>
          <w:sz w:val="20"/>
          <w:szCs w:val="20"/>
          <w:color w:val="auto"/>
        </w:rPr>
      </w:pPr>
    </w:p>
    <w:p>
      <w:pPr>
        <w:ind w:right="20" w:firstLine="782"/>
        <w:spacing w:after="0" w:line="286" w:lineRule="auto"/>
        <w:rPr>
          <w:sz w:val="20"/>
          <w:szCs w:val="20"/>
          <w:color w:val="auto"/>
        </w:rPr>
      </w:pPr>
      <w:r>
        <w:rPr>
          <w:rFonts w:ascii="Arial" w:cs="Arial" w:eastAsia="Arial" w:hAnsi="Arial"/>
          <w:sz w:val="17"/>
          <w:szCs w:val="17"/>
          <w:color w:val="auto"/>
        </w:rPr>
        <w:t>The table below shows our rebates received from website publishers under specified action marketing campaigns, which were recognized as deduction of cost of revenues for our mobile marketing solutions and other marketing solutions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1240" w:type="dxa"/>
            <w:vAlign w:val="bottom"/>
            <w:tcBorders>
              <w:bottom w:val="single" w:sz="8" w:color="auto"/>
            </w:tcBorders>
          </w:tcPr>
          <w:p>
            <w:pPr>
              <w:jc w:val="right"/>
              <w:ind w:right="2"/>
              <w:spacing w:after="0" w:line="149"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42"/>
              <w:spacing w:after="0" w:line="149" w:lineRule="exact"/>
              <w:rPr>
                <w:sz w:val="20"/>
                <w:szCs w:val="20"/>
                <w:color w:val="auto"/>
              </w:rPr>
            </w:pPr>
            <w:r>
              <w:rPr>
                <w:rFonts w:ascii="Arial" w:cs="Arial" w:eastAsia="Arial" w:hAnsi="Arial"/>
                <w:sz w:val="14"/>
                <w:szCs w:val="14"/>
                <w:b w:val="1"/>
                <w:bCs w:val="1"/>
                <w:color w:val="auto"/>
                <w:w w:val="83"/>
              </w:rPr>
              <w:t>2019</w:t>
            </w:r>
          </w:p>
        </w:tc>
      </w:tr>
      <w:tr>
        <w:trPr>
          <w:trHeight w:val="127"/>
        </w:trPr>
        <w:tc>
          <w:tcPr>
            <w:tcW w:w="4660" w:type="dxa"/>
            <w:vAlign w:val="bottom"/>
          </w:tcPr>
          <w:p>
            <w:pPr>
              <w:spacing w:after="0"/>
              <w:rPr>
                <w:sz w:val="11"/>
                <w:szCs w:val="11"/>
                <w:color w:val="auto"/>
              </w:rPr>
            </w:pPr>
          </w:p>
        </w:tc>
        <w:tc>
          <w:tcPr>
            <w:tcW w:w="1240" w:type="dxa"/>
            <w:vAlign w:val="bottom"/>
          </w:tcPr>
          <w:p>
            <w:pPr>
              <w:jc w:val="right"/>
              <w:ind w:right="522"/>
              <w:spacing w:after="0" w:line="127" w:lineRule="exact"/>
              <w:rPr>
                <w:sz w:val="20"/>
                <w:szCs w:val="20"/>
                <w:color w:val="auto"/>
              </w:rPr>
            </w:pPr>
            <w:r>
              <w:rPr>
                <w:rFonts w:ascii="Arial" w:cs="Arial" w:eastAsia="Arial" w:hAnsi="Arial"/>
                <w:sz w:val="14"/>
                <w:szCs w:val="14"/>
                <w:b w:val="1"/>
                <w:bCs w:val="1"/>
                <w:color w:val="auto"/>
              </w:rPr>
              <w:t>(US in</w:t>
            </w:r>
          </w:p>
        </w:tc>
        <w:tc>
          <w:tcPr>
            <w:tcW w:w="820" w:type="dxa"/>
            <w:vAlign w:val="bottom"/>
          </w:tcPr>
          <w:p>
            <w:pPr>
              <w:jc w:val="right"/>
              <w:ind w:right="100"/>
              <w:spacing w:after="0" w:line="127" w:lineRule="exact"/>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1"/>
                <w:szCs w:val="11"/>
                <w:color w:val="auto"/>
              </w:rPr>
            </w:pPr>
          </w:p>
        </w:tc>
        <w:tc>
          <w:tcPr>
            <w:tcW w:w="1180" w:type="dxa"/>
            <w:vAlign w:val="bottom"/>
          </w:tcPr>
          <w:p>
            <w:pPr>
              <w:jc w:val="right"/>
              <w:ind w:right="483"/>
              <w:spacing w:after="0" w:line="127" w:lineRule="exact"/>
              <w:rPr>
                <w:sz w:val="20"/>
                <w:szCs w:val="20"/>
                <w:color w:val="auto"/>
              </w:rPr>
            </w:pPr>
            <w:r>
              <w:rPr>
                <w:rFonts w:ascii="Arial" w:cs="Arial" w:eastAsia="Arial" w:hAnsi="Arial"/>
                <w:sz w:val="14"/>
                <w:szCs w:val="14"/>
                <w:b w:val="1"/>
                <w:bCs w:val="1"/>
                <w:color w:val="auto"/>
              </w:rPr>
              <w:t>(US in</w:t>
            </w:r>
          </w:p>
        </w:tc>
        <w:tc>
          <w:tcPr>
            <w:tcW w:w="800" w:type="dxa"/>
            <w:vAlign w:val="bottom"/>
          </w:tcPr>
          <w:p>
            <w:pPr>
              <w:jc w:val="right"/>
              <w:ind w:right="100"/>
              <w:spacing w:after="0" w:line="127" w:lineRule="exact"/>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1"/>
                <w:szCs w:val="11"/>
                <w:color w:val="auto"/>
              </w:rPr>
            </w:pPr>
          </w:p>
        </w:tc>
        <w:tc>
          <w:tcPr>
            <w:tcW w:w="900" w:type="dxa"/>
            <w:vAlign w:val="bottom"/>
          </w:tcPr>
          <w:p>
            <w:pPr>
              <w:jc w:val="right"/>
              <w:ind w:right="180"/>
              <w:spacing w:after="0" w:line="127" w:lineRule="exact"/>
              <w:rPr>
                <w:sz w:val="20"/>
                <w:szCs w:val="20"/>
                <w:color w:val="auto"/>
              </w:rPr>
            </w:pPr>
            <w:r>
              <w:rPr>
                <w:rFonts w:ascii="Arial" w:cs="Arial" w:eastAsia="Arial" w:hAnsi="Arial"/>
                <w:sz w:val="14"/>
                <w:szCs w:val="14"/>
                <w:b w:val="1"/>
                <w:bCs w:val="1"/>
                <w:color w:val="auto"/>
              </w:rPr>
              <w:t>(US in</w:t>
            </w:r>
          </w:p>
        </w:tc>
        <w:tc>
          <w:tcPr>
            <w:tcW w:w="1200" w:type="dxa"/>
            <w:vAlign w:val="bottom"/>
          </w:tcPr>
          <w:p>
            <w:pPr>
              <w:jc w:val="right"/>
              <w:ind w:right="142"/>
              <w:spacing w:after="0" w:line="127" w:lineRule="exact"/>
              <w:rPr>
                <w:sz w:val="20"/>
                <w:szCs w:val="20"/>
                <w:color w:val="auto"/>
              </w:rPr>
            </w:pPr>
            <w:r>
              <w:rPr>
                <w:rFonts w:ascii="Arial" w:cs="Arial" w:eastAsia="Arial" w:hAnsi="Arial"/>
                <w:sz w:val="14"/>
                <w:szCs w:val="14"/>
                <w:b w:val="1"/>
                <w:bCs w:val="1"/>
                <w:color w:val="auto"/>
              </w:rPr>
              <w:t>(% of net</w:t>
            </w:r>
          </w:p>
        </w:tc>
      </w:tr>
      <w:tr>
        <w:trPr>
          <w:trHeight w:val="166"/>
        </w:trPr>
        <w:tc>
          <w:tcPr>
            <w:tcW w:w="4660" w:type="dxa"/>
            <w:vAlign w:val="bottom"/>
          </w:tcPr>
          <w:p>
            <w:pPr>
              <w:spacing w:after="0"/>
              <w:rPr>
                <w:sz w:val="14"/>
                <w:szCs w:val="14"/>
                <w:color w:val="auto"/>
              </w:rPr>
            </w:pPr>
          </w:p>
        </w:tc>
        <w:tc>
          <w:tcPr>
            <w:tcW w:w="1240" w:type="dxa"/>
            <w:vAlign w:val="bottom"/>
          </w:tcPr>
          <w:p>
            <w:pPr>
              <w:jc w:val="right"/>
              <w:ind w:right="382"/>
              <w:spacing w:after="0"/>
              <w:rPr>
                <w:sz w:val="20"/>
                <w:szCs w:val="20"/>
                <w:color w:val="auto"/>
              </w:rPr>
            </w:pPr>
            <w:r>
              <w:rPr>
                <w:rFonts w:ascii="Arial" w:cs="Arial" w:eastAsia="Arial" w:hAnsi="Arial"/>
                <w:sz w:val="14"/>
                <w:szCs w:val="14"/>
                <w:b w:val="1"/>
                <w:bCs w:val="1"/>
                <w:color w:val="auto"/>
              </w:rPr>
              <w:t>thousands)</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revenues)</w:t>
            </w:r>
          </w:p>
        </w:tc>
        <w:tc>
          <w:tcPr>
            <w:tcW w:w="1180" w:type="dxa"/>
            <w:vAlign w:val="bottom"/>
          </w:tcPr>
          <w:p>
            <w:pPr>
              <w:jc w:val="right"/>
              <w:ind w:right="343"/>
              <w:spacing w:after="0"/>
              <w:rPr>
                <w:sz w:val="20"/>
                <w:szCs w:val="20"/>
                <w:color w:val="auto"/>
              </w:rPr>
            </w:pPr>
            <w:r>
              <w:rPr>
                <w:rFonts w:ascii="Arial" w:cs="Arial" w:eastAsia="Arial" w:hAnsi="Arial"/>
                <w:sz w:val="14"/>
                <w:szCs w:val="14"/>
                <w:b w:val="1"/>
                <w:bCs w:val="1"/>
                <w:color w:val="auto"/>
                <w:w w:val="98"/>
              </w:rPr>
              <w:t>thousands)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revenues)</w:t>
            </w:r>
          </w:p>
        </w:tc>
        <w:tc>
          <w:tcPr>
            <w:tcW w:w="900" w:type="dxa"/>
            <w:vAlign w:val="bottom"/>
          </w:tcPr>
          <w:p>
            <w:pPr>
              <w:jc w:val="right"/>
              <w:ind w:right="60"/>
              <w:spacing w:after="0"/>
              <w:rPr>
                <w:sz w:val="20"/>
                <w:szCs w:val="20"/>
                <w:color w:val="auto"/>
              </w:rPr>
            </w:pPr>
            <w:r>
              <w:rPr>
                <w:rFonts w:ascii="Arial" w:cs="Arial" w:eastAsia="Arial" w:hAnsi="Arial"/>
                <w:sz w:val="14"/>
                <w:szCs w:val="14"/>
                <w:b w:val="1"/>
                <w:bCs w:val="1"/>
                <w:color w:val="auto"/>
                <w:w w:val="98"/>
              </w:rPr>
              <w:t>thousands)</w:t>
            </w:r>
          </w:p>
        </w:tc>
        <w:tc>
          <w:tcPr>
            <w:tcW w:w="1200" w:type="dxa"/>
            <w:vAlign w:val="bottom"/>
          </w:tcPr>
          <w:p>
            <w:pPr>
              <w:jc w:val="right"/>
              <w:ind w:right="142"/>
              <w:spacing w:after="0"/>
              <w:rPr>
                <w:sz w:val="20"/>
                <w:szCs w:val="20"/>
                <w:color w:val="auto"/>
              </w:rPr>
            </w:pPr>
            <w:r>
              <w:rPr>
                <w:rFonts w:ascii="Arial" w:cs="Arial" w:eastAsia="Arial" w:hAnsi="Arial"/>
                <w:sz w:val="14"/>
                <w:szCs w:val="14"/>
                <w:b w:val="1"/>
                <w:bCs w:val="1"/>
                <w:color w:val="auto"/>
              </w:rPr>
              <w:t>revenues)</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Rebates received from publishers</w:t>
            </w:r>
          </w:p>
        </w:tc>
        <w:tc>
          <w:tcPr>
            <w:tcW w:w="1240" w:type="dxa"/>
            <w:vAlign w:val="bottom"/>
            <w:shd w:val="clear" w:color="auto" w:fill="CFF0FC"/>
          </w:tcPr>
          <w:p>
            <w:pPr>
              <w:jc w:val="right"/>
              <w:ind w:right="262"/>
              <w:spacing w:after="0"/>
              <w:rPr>
                <w:sz w:val="20"/>
                <w:szCs w:val="20"/>
                <w:color w:val="auto"/>
              </w:rPr>
            </w:pPr>
            <w:r>
              <w:rPr>
                <w:rFonts w:ascii="Arial" w:cs="Arial" w:eastAsia="Arial" w:hAnsi="Arial"/>
                <w:sz w:val="17"/>
                <w:szCs w:val="17"/>
                <w:color w:val="auto"/>
              </w:rPr>
              <w:t>16,323</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23"/>
              <w:spacing w:after="0"/>
              <w:rPr>
                <w:sz w:val="20"/>
                <w:szCs w:val="20"/>
                <w:color w:val="auto"/>
              </w:rPr>
            </w:pPr>
            <w:r>
              <w:rPr>
                <w:rFonts w:ascii="Arial" w:cs="Arial" w:eastAsia="Arial" w:hAnsi="Arial"/>
                <w:sz w:val="17"/>
                <w:szCs w:val="17"/>
                <w:color w:val="auto"/>
              </w:rPr>
              <w:t>19,298</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16,690</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r>
      <w:tr>
        <w:trPr>
          <w:trHeight w:val="221"/>
        </w:trPr>
        <w:tc>
          <w:tcPr>
            <w:tcW w:w="4660" w:type="dxa"/>
            <w:vAlign w:val="bottom"/>
          </w:tcPr>
          <w:p>
            <w:pPr>
              <w:spacing w:after="0"/>
              <w:rPr>
                <w:sz w:val="20"/>
                <w:szCs w:val="20"/>
                <w:color w:val="auto"/>
              </w:rPr>
            </w:pPr>
            <w:r>
              <w:rPr>
                <w:rFonts w:ascii="Arial" w:cs="Arial" w:eastAsia="Arial" w:hAnsi="Arial"/>
                <w:sz w:val="17"/>
                <w:szCs w:val="17"/>
                <w:color w:val="auto"/>
                <w:w w:val="95"/>
              </w:rPr>
              <w:t>Rebates received from publishers for mobile marketing solutions</w:t>
            </w:r>
          </w:p>
        </w:tc>
        <w:tc>
          <w:tcPr>
            <w:tcW w:w="1240" w:type="dxa"/>
            <w:vAlign w:val="bottom"/>
          </w:tcPr>
          <w:p>
            <w:pPr>
              <w:jc w:val="right"/>
              <w:ind w:right="262"/>
              <w:spacing w:after="0"/>
              <w:rPr>
                <w:sz w:val="20"/>
                <w:szCs w:val="20"/>
                <w:color w:val="auto"/>
              </w:rPr>
            </w:pPr>
            <w:r>
              <w:rPr>
                <w:rFonts w:ascii="Arial" w:cs="Arial" w:eastAsia="Arial" w:hAnsi="Arial"/>
                <w:sz w:val="17"/>
                <w:szCs w:val="17"/>
                <w:color w:val="auto"/>
              </w:rPr>
              <w:t>16,279</w:t>
            </w:r>
          </w:p>
        </w:tc>
        <w:tc>
          <w:tcPr>
            <w:tcW w:w="820" w:type="dxa"/>
            <w:vAlign w:val="bottom"/>
          </w:tcPr>
          <w:p>
            <w:pPr>
              <w:jc w:val="right"/>
              <w:spacing w:after="0"/>
              <w:rPr>
                <w:sz w:val="20"/>
                <w:szCs w:val="20"/>
                <w:color w:val="auto"/>
              </w:rPr>
            </w:pPr>
            <w:r>
              <w:rPr>
                <w:rFonts w:ascii="Arial" w:cs="Arial" w:eastAsia="Arial" w:hAnsi="Arial"/>
                <w:sz w:val="17"/>
                <w:szCs w:val="17"/>
                <w:color w:val="auto"/>
              </w:rPr>
              <w:t>13.0</w:t>
            </w:r>
          </w:p>
        </w:tc>
        <w:tc>
          <w:tcPr>
            <w:tcW w:w="240" w:type="dxa"/>
            <w:vAlign w:val="bottom"/>
          </w:tcPr>
          <w:p>
            <w:pPr>
              <w:spacing w:after="0"/>
              <w:rPr>
                <w:sz w:val="19"/>
                <w:szCs w:val="19"/>
                <w:color w:val="auto"/>
              </w:rPr>
            </w:pPr>
          </w:p>
        </w:tc>
        <w:tc>
          <w:tcPr>
            <w:tcW w:w="1180" w:type="dxa"/>
            <w:vAlign w:val="bottom"/>
          </w:tcPr>
          <w:p>
            <w:pPr>
              <w:jc w:val="right"/>
              <w:ind w:right="223"/>
              <w:spacing w:after="0"/>
              <w:rPr>
                <w:sz w:val="20"/>
                <w:szCs w:val="20"/>
                <w:color w:val="auto"/>
              </w:rPr>
            </w:pPr>
            <w:r>
              <w:rPr>
                <w:rFonts w:ascii="Arial" w:cs="Arial" w:eastAsia="Arial" w:hAnsi="Arial"/>
                <w:sz w:val="17"/>
                <w:szCs w:val="17"/>
                <w:color w:val="auto"/>
              </w:rPr>
              <w:t>19,085</w:t>
            </w:r>
          </w:p>
        </w:tc>
        <w:tc>
          <w:tcPr>
            <w:tcW w:w="800" w:type="dxa"/>
            <w:vAlign w:val="bottom"/>
          </w:tcPr>
          <w:p>
            <w:pPr>
              <w:jc w:val="right"/>
              <w:spacing w:after="0"/>
              <w:rPr>
                <w:sz w:val="20"/>
                <w:szCs w:val="20"/>
                <w:color w:val="auto"/>
              </w:rPr>
            </w:pPr>
            <w:r>
              <w:rPr>
                <w:rFonts w:ascii="Arial" w:cs="Arial" w:eastAsia="Arial" w:hAnsi="Arial"/>
                <w:sz w:val="17"/>
                <w:szCs w:val="17"/>
                <w:color w:val="auto"/>
              </w:rPr>
              <w:t>12.0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16,490</w:t>
            </w:r>
          </w:p>
        </w:tc>
        <w:tc>
          <w:tcPr>
            <w:tcW w:w="120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w w:val="98"/>
              </w:rPr>
              <w:t>Rebates received from publishers for other marketing solutions</w:t>
            </w:r>
          </w:p>
        </w:tc>
        <w:tc>
          <w:tcPr>
            <w:tcW w:w="1240" w:type="dxa"/>
            <w:vAlign w:val="bottom"/>
            <w:shd w:val="clear" w:color="auto" w:fill="CFF0FC"/>
          </w:tcPr>
          <w:p>
            <w:pPr>
              <w:jc w:val="right"/>
              <w:ind w:right="262"/>
              <w:spacing w:after="0"/>
              <w:rPr>
                <w:sz w:val="20"/>
                <w:szCs w:val="20"/>
                <w:color w:val="auto"/>
              </w:rPr>
            </w:pPr>
            <w:r>
              <w:rPr>
                <w:rFonts w:ascii="Arial" w:cs="Arial" w:eastAsia="Arial" w:hAnsi="Arial"/>
                <w:sz w:val="17"/>
                <w:szCs w:val="17"/>
                <w:color w:val="auto"/>
              </w:rPr>
              <w:t>44</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223"/>
              <w:spacing w:after="0"/>
              <w:rPr>
                <w:sz w:val="20"/>
                <w:szCs w:val="20"/>
                <w:color w:val="auto"/>
              </w:rPr>
            </w:pPr>
            <w:r>
              <w:rPr>
                <w:rFonts w:ascii="Arial" w:cs="Arial" w:eastAsia="Arial" w:hAnsi="Arial"/>
                <w:sz w:val="17"/>
                <w:szCs w:val="17"/>
                <w:color w:val="auto"/>
              </w:rPr>
              <w:t>213</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w:t>
            </w:r>
          </w:p>
        </w:tc>
      </w:tr>
    </w:tbl>
    <w:p>
      <w:pPr>
        <w:spacing w:after="0" w:line="209" w:lineRule="exact"/>
        <w:rPr>
          <w:sz w:val="20"/>
          <w:szCs w:val="20"/>
          <w:color w:val="auto"/>
        </w:rPr>
      </w:pPr>
    </w:p>
    <w:p>
      <w:pPr>
        <w:ind w:left="1300" w:right="420" w:hanging="515"/>
        <w:spacing w:after="0" w:line="286"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Amortization of expenses</w:t>
      </w:r>
      <w:r>
        <w:rPr>
          <w:rFonts w:ascii="Arial" w:cs="Arial" w:eastAsia="Arial" w:hAnsi="Arial"/>
          <w:sz w:val="17"/>
          <w:szCs w:val="17"/>
          <w:color w:val="auto"/>
        </w:rPr>
        <w:t>. This relates to amortization of computer software acquired in the acquisitions of Buzzinate and OptAim,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4.3%, 3.4% and 3.6% of our cost of revenues in 2017, 2018 and 2019, respectively.</w:t>
      </w:r>
    </w:p>
    <w:p>
      <w:pPr>
        <w:spacing w:after="0" w:line="159" w:lineRule="exact"/>
        <w:rPr>
          <w:sz w:val="20"/>
          <w:szCs w:val="20"/>
          <w:color w:val="auto"/>
        </w:rPr>
      </w:pPr>
    </w:p>
    <w:p>
      <w:pPr>
        <w:ind w:right="20" w:firstLine="782"/>
        <w:spacing w:after="0" w:line="319" w:lineRule="auto"/>
        <w:rPr>
          <w:sz w:val="20"/>
          <w:szCs w:val="20"/>
          <w:color w:val="auto"/>
        </w:rPr>
      </w:pPr>
      <w:r>
        <w:rPr>
          <w:rFonts w:ascii="Arial" w:cs="Arial" w:eastAsia="Arial" w:hAnsi="Arial"/>
          <w:sz w:val="16"/>
          <w:szCs w:val="16"/>
          <w:color w:val="auto"/>
        </w:rPr>
        <w:t>The table below shows the cost of revenues, gross profit and gross profit margin for our mobile marketing solutions for the periods presented. Gross profit margin for our mobile marketing solutions represents gross profit as a percentage of net revenues for mobile marketing solutions.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4"/>
        </w:trPr>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r>
      <w:tr>
        <w:trPr>
          <w:trHeight w:val="322"/>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 net</w:t>
            </w:r>
          </w:p>
        </w:tc>
        <w:tc>
          <w:tcPr>
            <w:tcW w:w="116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of net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revenues for</w:t>
            </w:r>
          </w:p>
        </w:tc>
        <w:tc>
          <w:tcPr>
            <w:tcW w:w="1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revenues for</w:t>
            </w:r>
          </w:p>
        </w:tc>
        <w:tc>
          <w:tcPr>
            <w:tcW w:w="104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 of net</w:t>
            </w:r>
          </w:p>
        </w:tc>
      </w:tr>
      <w:tr>
        <w:trPr>
          <w:trHeight w:val="169"/>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mobile</w:t>
            </w:r>
          </w:p>
        </w:tc>
        <w:tc>
          <w:tcPr>
            <w:tcW w:w="1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mobile</w:t>
            </w:r>
          </w:p>
        </w:tc>
        <w:tc>
          <w:tcPr>
            <w:tcW w:w="104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revenues for</w:t>
            </w:r>
          </w:p>
        </w:tc>
      </w:tr>
      <w:tr>
        <w:trPr>
          <w:trHeight w:val="169"/>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(US in</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marketing</w:t>
            </w:r>
          </w:p>
        </w:tc>
        <w:tc>
          <w:tcPr>
            <w:tcW w:w="1160" w:type="dxa"/>
            <w:vAlign w:val="bottom"/>
          </w:tcPr>
          <w:p>
            <w:pPr>
              <w:jc w:val="right"/>
              <w:ind w:right="385"/>
              <w:spacing w:after="0"/>
              <w:rPr>
                <w:sz w:val="20"/>
                <w:szCs w:val="20"/>
                <w:color w:val="auto"/>
              </w:rPr>
            </w:pPr>
            <w:r>
              <w:rPr>
                <w:rFonts w:ascii="Arial" w:cs="Arial" w:eastAsia="Arial" w:hAnsi="Arial"/>
                <w:sz w:val="14"/>
                <w:szCs w:val="14"/>
                <w:b w:val="1"/>
                <w:bCs w:val="1"/>
                <w:color w:val="auto"/>
              </w:rPr>
              <w:t>(US in</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marketing</w:t>
            </w:r>
          </w:p>
        </w:tc>
        <w:tc>
          <w:tcPr>
            <w:tcW w:w="1040" w:type="dxa"/>
            <w:vAlign w:val="bottom"/>
          </w:tcPr>
          <w:p>
            <w:pPr>
              <w:jc w:val="right"/>
              <w:ind w:right="264"/>
              <w:spacing w:after="0"/>
              <w:rPr>
                <w:sz w:val="20"/>
                <w:szCs w:val="20"/>
                <w:color w:val="auto"/>
              </w:rPr>
            </w:pPr>
            <w:r>
              <w:rPr>
                <w:rFonts w:ascii="Arial" w:cs="Arial" w:eastAsia="Arial" w:hAnsi="Arial"/>
                <w:sz w:val="14"/>
                <w:szCs w:val="14"/>
                <w:b w:val="1"/>
                <w:bCs w:val="1"/>
                <w:color w:val="auto"/>
              </w:rPr>
              <w:t>(US in</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mobile marketing</w:t>
            </w:r>
          </w:p>
        </w:tc>
      </w:tr>
      <w:tr>
        <w:trPr>
          <w:trHeight w:val="179"/>
        </w:trPr>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thousands)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solutions)</w:t>
            </w:r>
          </w:p>
        </w:tc>
        <w:tc>
          <w:tcPr>
            <w:tcW w:w="1160" w:type="dxa"/>
            <w:vAlign w:val="bottom"/>
          </w:tcPr>
          <w:p>
            <w:pPr>
              <w:jc w:val="right"/>
              <w:ind w:right="245"/>
              <w:spacing w:after="0"/>
              <w:rPr>
                <w:sz w:val="20"/>
                <w:szCs w:val="20"/>
                <w:color w:val="auto"/>
              </w:rPr>
            </w:pPr>
            <w:r>
              <w:rPr>
                <w:rFonts w:ascii="Arial" w:cs="Arial" w:eastAsia="Arial" w:hAnsi="Arial"/>
                <w:sz w:val="14"/>
                <w:szCs w:val="14"/>
                <w:b w:val="1"/>
                <w:bCs w:val="1"/>
                <w:color w:val="auto"/>
              </w:rPr>
              <w:t>thousands)</w:t>
            </w: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solutions)</w:t>
            </w:r>
          </w:p>
        </w:tc>
        <w:tc>
          <w:tcPr>
            <w:tcW w:w="1040" w:type="dxa"/>
            <w:vAlign w:val="bottom"/>
          </w:tcPr>
          <w:p>
            <w:pPr>
              <w:jc w:val="right"/>
              <w:ind w:right="124"/>
              <w:spacing w:after="0"/>
              <w:rPr>
                <w:sz w:val="20"/>
                <w:szCs w:val="20"/>
                <w:color w:val="auto"/>
              </w:rPr>
            </w:pPr>
            <w:r>
              <w:rPr>
                <w:rFonts w:ascii="Arial" w:cs="Arial" w:eastAsia="Arial" w:hAnsi="Arial"/>
                <w:sz w:val="14"/>
                <w:szCs w:val="14"/>
                <w:b w:val="1"/>
                <w:bCs w:val="1"/>
                <w:color w:val="auto"/>
              </w:rPr>
              <w:t>thousands)</w:t>
            </w: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solutions)</w:t>
            </w:r>
          </w:p>
        </w:tc>
      </w:tr>
      <w:tr>
        <w:trPr>
          <w:trHeight w:val="221"/>
        </w:trPr>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 for mobile marketing solutions</w:t>
            </w:r>
          </w:p>
        </w:tc>
        <w:tc>
          <w:tcPr>
            <w:tcW w:w="40" w:type="dxa"/>
            <w:vAlign w:val="bottom"/>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ind w:left="342"/>
              <w:spacing w:after="0"/>
              <w:rPr>
                <w:sz w:val="20"/>
                <w:szCs w:val="20"/>
                <w:color w:val="auto"/>
              </w:rPr>
            </w:pPr>
            <w:r>
              <w:rPr>
                <w:rFonts w:ascii="Arial" w:cs="Arial" w:eastAsia="Arial" w:hAnsi="Arial"/>
                <w:sz w:val="17"/>
                <w:szCs w:val="17"/>
                <w:color w:val="auto"/>
                <w:w w:val="92"/>
              </w:rPr>
              <w:t>90,899</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89.6</w:t>
            </w:r>
          </w:p>
        </w:tc>
        <w:tc>
          <w:tcPr>
            <w:tcW w:w="116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119,953</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85.4</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139,116</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81.3</w:t>
            </w:r>
          </w:p>
        </w:tc>
        <w:tc>
          <w:tcPr>
            <w:tcW w:w="20" w:type="dxa"/>
            <w:vAlign w:val="bottom"/>
          </w:tcPr>
          <w:p>
            <w:pPr>
              <w:spacing w:after="0"/>
              <w:rPr>
                <w:sz w:val="19"/>
                <w:szCs w:val="19"/>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7"/>
                <w:szCs w:val="17"/>
                <w:color w:val="auto"/>
              </w:rPr>
              <w:t>Gross profit for mobile marketing solutions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left="342"/>
              <w:spacing w:after="0"/>
              <w:rPr>
                <w:sz w:val="20"/>
                <w:szCs w:val="20"/>
                <w:color w:val="auto"/>
              </w:rPr>
            </w:pPr>
            <w:r>
              <w:rPr>
                <w:rFonts w:ascii="Arial" w:cs="Arial" w:eastAsia="Arial" w:hAnsi="Arial"/>
                <w:sz w:val="17"/>
                <w:szCs w:val="17"/>
                <w:color w:val="auto"/>
                <w:w w:val="92"/>
              </w:rPr>
              <w:t>10,527</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10.4</w:t>
            </w:r>
          </w:p>
        </w:tc>
        <w:tc>
          <w:tcPr>
            <w:tcW w:w="1160" w:type="dxa"/>
            <w:vAlign w:val="bottom"/>
          </w:tcPr>
          <w:p>
            <w:pPr>
              <w:jc w:val="right"/>
              <w:ind w:right="65"/>
              <w:spacing w:after="0"/>
              <w:rPr>
                <w:sz w:val="20"/>
                <w:szCs w:val="20"/>
                <w:color w:val="auto"/>
              </w:rPr>
            </w:pPr>
            <w:r>
              <w:rPr>
                <w:rFonts w:ascii="Arial" w:cs="Arial" w:eastAsia="Arial" w:hAnsi="Arial"/>
                <w:sz w:val="17"/>
                <w:szCs w:val="17"/>
                <w:color w:val="auto"/>
              </w:rPr>
              <w:t>20,475</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14.6</w:t>
            </w:r>
          </w:p>
        </w:tc>
        <w:tc>
          <w:tcPr>
            <w:tcW w:w="1040" w:type="dxa"/>
            <w:vAlign w:val="bottom"/>
          </w:tcPr>
          <w:p>
            <w:pPr>
              <w:jc w:val="right"/>
              <w:spacing w:after="0"/>
              <w:rPr>
                <w:sz w:val="20"/>
                <w:szCs w:val="20"/>
                <w:color w:val="auto"/>
              </w:rPr>
            </w:pPr>
            <w:r>
              <w:rPr>
                <w:rFonts w:ascii="Arial" w:cs="Arial" w:eastAsia="Arial" w:hAnsi="Arial"/>
                <w:sz w:val="17"/>
                <w:szCs w:val="17"/>
                <w:color w:val="auto"/>
              </w:rPr>
              <w:t>31,951</w:t>
            </w:r>
          </w:p>
        </w:tc>
        <w:tc>
          <w:tcPr>
            <w:tcW w:w="1080" w:type="dxa"/>
            <w:vAlign w:val="bottom"/>
          </w:tcPr>
          <w:p>
            <w:pPr>
              <w:jc w:val="right"/>
              <w:spacing w:after="0"/>
              <w:rPr>
                <w:sz w:val="20"/>
                <w:szCs w:val="20"/>
                <w:color w:val="auto"/>
              </w:rPr>
            </w:pPr>
            <w:r>
              <w:rPr>
                <w:rFonts w:ascii="Arial" w:cs="Arial" w:eastAsia="Arial" w:hAnsi="Arial"/>
                <w:sz w:val="17"/>
                <w:szCs w:val="17"/>
                <w:color w:val="auto"/>
              </w:rPr>
              <w:t>18.7</w:t>
            </w:r>
          </w:p>
        </w:tc>
        <w:tc>
          <w:tcPr>
            <w:tcW w:w="20" w:type="dxa"/>
            <w:vAlign w:val="bottom"/>
          </w:tcPr>
          <w:p>
            <w:pPr>
              <w:spacing w:after="0"/>
              <w:rPr>
                <w:sz w:val="19"/>
                <w:szCs w:val="19"/>
                <w:color w:val="auto"/>
              </w:rPr>
            </w:pPr>
          </w:p>
        </w:tc>
      </w:tr>
      <w:tr>
        <w:trPr>
          <w:trHeight w:val="859"/>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left="402"/>
              <w:spacing w:after="0"/>
              <w:rPr>
                <w:sz w:val="20"/>
                <w:szCs w:val="20"/>
                <w:color w:val="auto"/>
              </w:rPr>
            </w:pPr>
            <w:r>
              <w:rPr>
                <w:rFonts w:ascii="Arial" w:cs="Arial" w:eastAsia="Arial" w:hAnsi="Arial"/>
                <w:sz w:val="17"/>
                <w:szCs w:val="17"/>
                <w:color w:val="auto"/>
                <w:w w:val="94"/>
              </w:rPr>
              <w:t>87</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89" w:name="page90"/>
    <w:bookmarkEnd w:id="89"/>
    <w:p>
      <w:pPr>
        <w:ind w:firstLine="782"/>
        <w:spacing w:after="0" w:line="319" w:lineRule="auto"/>
        <w:rPr>
          <w:sz w:val="20"/>
          <w:szCs w:val="20"/>
          <w:color w:val="auto"/>
        </w:rPr>
      </w:pPr>
      <w:r>
        <w:rPr>
          <w:rFonts w:ascii="Arial" w:cs="Arial" w:eastAsia="Arial" w:hAnsi="Arial"/>
          <w:sz w:val="16"/>
          <w:szCs w:val="16"/>
          <w:color w:val="auto"/>
        </w:rPr>
        <w:t>The table below shows the cost of revenues, gross profit and gross profit margin for our other marketing solutions for the periods presented. Gross profit margin for our other marketing solutions represents gross profit as a percentage of net revenues for other marketing solutions.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bottom w:val="single" w:sz="8" w:color="auto"/>
            </w:tcBorders>
            <w:gridSpan w:val="2"/>
          </w:tcPr>
          <w:p>
            <w:pPr>
              <w:jc w:val="right"/>
              <w:ind w:right="78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212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 net</w:t>
            </w:r>
          </w:p>
        </w:tc>
        <w:tc>
          <w:tcPr>
            <w:tcW w:w="10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 of net</w:t>
            </w:r>
          </w:p>
        </w:tc>
        <w:tc>
          <w:tcPr>
            <w:tcW w:w="10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of net</w:t>
            </w:r>
          </w:p>
        </w:tc>
        <w:tc>
          <w:tcPr>
            <w:tcW w:w="0" w:type="dxa"/>
            <w:vAlign w:val="bottom"/>
          </w:tcPr>
          <w:p>
            <w:pPr>
              <w:spacing w:after="0"/>
              <w:rPr>
                <w:sz w:val="1"/>
                <w:szCs w:val="1"/>
                <w:color w:val="auto"/>
              </w:rPr>
            </w:pPr>
          </w:p>
        </w:tc>
      </w:tr>
      <w:tr>
        <w:trPr>
          <w:trHeight w:val="143"/>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revenues for</w:t>
            </w:r>
          </w:p>
        </w:tc>
        <w:tc>
          <w:tcPr>
            <w:tcW w:w="10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(US in</w:t>
            </w:r>
          </w:p>
        </w:tc>
        <w:tc>
          <w:tcPr>
            <w:tcW w:w="9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1"/>
              </w:rPr>
              <w:t>other</w:t>
            </w:r>
          </w:p>
        </w:tc>
        <w:tc>
          <w:tcPr>
            <w:tcW w:w="1020" w:type="dxa"/>
            <w:vAlign w:val="bottom"/>
            <w:vMerge w:val="restart"/>
          </w:tcPr>
          <w:p>
            <w:pPr>
              <w:jc w:val="right"/>
              <w:ind w:right="245"/>
              <w:spacing w:after="0"/>
              <w:rPr>
                <w:sz w:val="20"/>
                <w:szCs w:val="20"/>
                <w:color w:val="auto"/>
              </w:rPr>
            </w:pPr>
            <w:r>
              <w:rPr>
                <w:rFonts w:ascii="Arial" w:cs="Arial" w:eastAsia="Arial" w:hAnsi="Arial"/>
                <w:sz w:val="14"/>
                <w:szCs w:val="14"/>
                <w:b w:val="1"/>
                <w:bCs w:val="1"/>
                <w:color w:val="auto"/>
              </w:rPr>
              <w:t>(US in</w:t>
            </w: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5"/>
              </w:rPr>
              <w:t>revenues for</w:t>
            </w:r>
          </w:p>
        </w:tc>
        <w:tc>
          <w:tcPr>
            <w:tcW w:w="10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(US in</w:t>
            </w: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revenues for other</w:t>
            </w:r>
          </w:p>
        </w:tc>
        <w:tc>
          <w:tcPr>
            <w:tcW w:w="0" w:type="dxa"/>
            <w:vAlign w:val="bottom"/>
          </w:tcPr>
          <w:p>
            <w:pPr>
              <w:spacing w:after="0"/>
              <w:rPr>
                <w:sz w:val="1"/>
                <w:szCs w:val="1"/>
                <w:color w:val="auto"/>
              </w:rPr>
            </w:pPr>
          </w:p>
        </w:tc>
      </w:tr>
      <w:tr>
        <w:trPr>
          <w:trHeight w:val="143"/>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2"/>
              </w:rPr>
              <w:t>marketing</w:t>
            </w:r>
          </w:p>
        </w:tc>
        <w:tc>
          <w:tcPr>
            <w:tcW w:w="1020" w:type="dxa"/>
            <w:vAlign w:val="bottom"/>
            <w:vMerge w:val="continue"/>
          </w:tcPr>
          <w:p>
            <w:pPr>
              <w:spacing w:after="0"/>
              <w:rPr>
                <w:sz w:val="12"/>
                <w:szCs w:val="12"/>
                <w:color w:val="auto"/>
              </w:rPr>
            </w:pP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other marketing</w:t>
            </w:r>
          </w:p>
        </w:tc>
        <w:tc>
          <w:tcPr>
            <w:tcW w:w="1020" w:type="dxa"/>
            <w:vAlign w:val="bottom"/>
            <w:vMerge w:val="continue"/>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marketing</w:t>
            </w: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211"/>
              <w:spacing w:after="0"/>
              <w:rPr>
                <w:sz w:val="20"/>
                <w:szCs w:val="20"/>
                <w:color w:val="auto"/>
              </w:rPr>
            </w:pPr>
            <w:r>
              <w:rPr>
                <w:rFonts w:ascii="Arial" w:cs="Arial" w:eastAsia="Arial" w:hAnsi="Arial"/>
                <w:sz w:val="14"/>
                <w:szCs w:val="14"/>
                <w:b w:val="1"/>
                <w:bCs w:val="1"/>
                <w:color w:val="auto"/>
              </w:rPr>
              <w:t>thousands)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solutions)</w:t>
            </w:r>
          </w:p>
        </w:tc>
        <w:tc>
          <w:tcPr>
            <w:tcW w:w="1020" w:type="dxa"/>
            <w:vAlign w:val="bottom"/>
          </w:tcPr>
          <w:p>
            <w:pPr>
              <w:jc w:val="right"/>
              <w:ind w:right="105"/>
              <w:spacing w:after="0"/>
              <w:rPr>
                <w:sz w:val="20"/>
                <w:szCs w:val="20"/>
                <w:color w:val="auto"/>
              </w:rPr>
            </w:pPr>
            <w:r>
              <w:rPr>
                <w:rFonts w:ascii="Arial" w:cs="Arial" w:eastAsia="Arial" w:hAnsi="Arial"/>
                <w:sz w:val="14"/>
                <w:szCs w:val="14"/>
                <w:b w:val="1"/>
                <w:bCs w:val="1"/>
                <w:color w:val="auto"/>
              </w:rPr>
              <w:t>thousands)</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solutions)</w:t>
            </w:r>
          </w:p>
        </w:tc>
        <w:tc>
          <w:tcPr>
            <w:tcW w:w="1020" w:type="dxa"/>
            <w:vAlign w:val="bottom"/>
          </w:tcPr>
          <w:p>
            <w:pPr>
              <w:jc w:val="right"/>
              <w:ind w:right="104"/>
              <w:spacing w:after="0"/>
              <w:rPr>
                <w:sz w:val="20"/>
                <w:szCs w:val="20"/>
                <w:color w:val="auto"/>
              </w:rPr>
            </w:pPr>
            <w:r>
              <w:rPr>
                <w:rFonts w:ascii="Arial" w:cs="Arial" w:eastAsia="Arial" w:hAnsi="Arial"/>
                <w:sz w:val="14"/>
                <w:szCs w:val="14"/>
                <w:b w:val="1"/>
                <w:bCs w:val="1"/>
                <w:color w:val="auto"/>
              </w:rPr>
              <w:t>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21"/>
        </w:trPr>
        <w:tc>
          <w:tcPr>
            <w:tcW w:w="470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 for other marketing solutions</w:t>
            </w:r>
          </w:p>
        </w:tc>
        <w:tc>
          <w:tcPr>
            <w:tcW w:w="40" w:type="dxa"/>
            <w:vAlign w:val="bottom"/>
          </w:tcPr>
          <w:p>
            <w:pPr>
              <w:spacing w:after="0"/>
              <w:rPr>
                <w:sz w:val="19"/>
                <w:szCs w:val="19"/>
                <w:color w:val="auto"/>
              </w:rPr>
            </w:pPr>
          </w:p>
        </w:tc>
        <w:tc>
          <w:tcPr>
            <w:tcW w:w="1200" w:type="dxa"/>
            <w:vAlign w:val="bottom"/>
            <w:gridSpan w:val="2"/>
            <w:shd w:val="clear" w:color="auto" w:fill="CFF0FC"/>
          </w:tcPr>
          <w:p>
            <w:pPr>
              <w:jc w:val="right"/>
              <w:ind w:right="31"/>
              <w:spacing w:after="0"/>
              <w:rPr>
                <w:sz w:val="20"/>
                <w:szCs w:val="20"/>
                <w:color w:val="auto"/>
              </w:rPr>
            </w:pPr>
            <w:r>
              <w:rPr>
                <w:rFonts w:ascii="Arial" w:cs="Arial" w:eastAsia="Arial" w:hAnsi="Arial"/>
                <w:sz w:val="17"/>
                <w:szCs w:val="17"/>
                <w:color w:val="auto"/>
              </w:rPr>
              <w:t>4,834</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20.3</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943</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4.8</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861</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7"/>
                <w:szCs w:val="17"/>
                <w:color w:val="auto"/>
              </w:rPr>
              <w:t>Gross profit for other marketing solutions</w:t>
            </w:r>
          </w:p>
        </w:tc>
        <w:tc>
          <w:tcPr>
            <w:tcW w:w="40" w:type="dxa"/>
            <w:vAlign w:val="bottom"/>
          </w:tcPr>
          <w:p>
            <w:pPr>
              <w:spacing w:after="0"/>
              <w:rPr>
                <w:sz w:val="19"/>
                <w:szCs w:val="19"/>
                <w:color w:val="auto"/>
              </w:rPr>
            </w:pPr>
          </w:p>
        </w:tc>
        <w:tc>
          <w:tcPr>
            <w:tcW w:w="1200" w:type="dxa"/>
            <w:vAlign w:val="bottom"/>
            <w:gridSpan w:val="2"/>
          </w:tcPr>
          <w:p>
            <w:pPr>
              <w:jc w:val="right"/>
              <w:ind w:right="31"/>
              <w:spacing w:after="0"/>
              <w:rPr>
                <w:sz w:val="20"/>
                <w:szCs w:val="20"/>
                <w:color w:val="auto"/>
              </w:rPr>
            </w:pPr>
            <w:r>
              <w:rPr>
                <w:rFonts w:ascii="Arial" w:cs="Arial" w:eastAsia="Arial" w:hAnsi="Arial"/>
                <w:sz w:val="17"/>
                <w:szCs w:val="17"/>
                <w:color w:val="auto"/>
              </w:rPr>
              <w:t>18,998</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79.7</w:t>
            </w:r>
          </w:p>
        </w:tc>
        <w:tc>
          <w:tcPr>
            <w:tcW w:w="1020" w:type="dxa"/>
            <w:vAlign w:val="bottom"/>
          </w:tcPr>
          <w:p>
            <w:pPr>
              <w:jc w:val="right"/>
              <w:spacing w:after="0"/>
              <w:rPr>
                <w:sz w:val="20"/>
                <w:szCs w:val="20"/>
                <w:color w:val="auto"/>
              </w:rPr>
            </w:pPr>
            <w:r>
              <w:rPr>
                <w:rFonts w:ascii="Arial" w:cs="Arial" w:eastAsia="Arial" w:hAnsi="Arial"/>
                <w:sz w:val="17"/>
                <w:szCs w:val="17"/>
                <w:color w:val="auto"/>
              </w:rPr>
              <w:t>18,646</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95.2</w:t>
            </w:r>
          </w:p>
        </w:tc>
        <w:tc>
          <w:tcPr>
            <w:tcW w:w="1020" w:type="dxa"/>
            <w:vAlign w:val="bottom"/>
          </w:tcPr>
          <w:p>
            <w:pPr>
              <w:jc w:val="right"/>
              <w:spacing w:after="0"/>
              <w:rPr>
                <w:sz w:val="20"/>
                <w:szCs w:val="20"/>
                <w:color w:val="auto"/>
              </w:rPr>
            </w:pPr>
            <w:r>
              <w:rPr>
                <w:rFonts w:ascii="Arial" w:cs="Arial" w:eastAsia="Arial" w:hAnsi="Arial"/>
                <w:sz w:val="17"/>
                <w:szCs w:val="17"/>
                <w:color w:val="auto"/>
              </w:rPr>
              <w:t>17,044</w:t>
            </w:r>
          </w:p>
        </w:tc>
        <w:tc>
          <w:tcPr>
            <w:tcW w:w="1100" w:type="dxa"/>
            <w:vAlign w:val="bottom"/>
          </w:tcPr>
          <w:p>
            <w:pPr>
              <w:jc w:val="right"/>
              <w:spacing w:after="0"/>
              <w:rPr>
                <w:sz w:val="20"/>
                <w:szCs w:val="20"/>
                <w:color w:val="auto"/>
              </w:rPr>
            </w:pPr>
            <w:r>
              <w:rPr>
                <w:rFonts w:ascii="Arial" w:cs="Arial" w:eastAsia="Arial" w:hAnsi="Arial"/>
                <w:sz w:val="17"/>
                <w:szCs w:val="17"/>
                <w:color w:val="auto"/>
              </w:rPr>
              <w:t>95.2</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0" w:firstLine="782"/>
        <w:spacing w:after="0" w:line="292" w:lineRule="auto"/>
        <w:rPr>
          <w:sz w:val="20"/>
          <w:szCs w:val="20"/>
          <w:color w:val="auto"/>
        </w:rPr>
      </w:pPr>
      <w:r>
        <w:rPr>
          <w:rFonts w:ascii="Arial" w:cs="Arial" w:eastAsia="Arial" w:hAnsi="Arial"/>
          <w:sz w:val="15"/>
          <w:szCs w:val="15"/>
          <w:color w:val="auto"/>
        </w:rPr>
        <w:t>Mobile marketing solutions are relatively nascent compared to other marketing solutions, with companies competing for greater market shares as they enter into this market and as mobile apps publishers tend to have stronger bargaining power compared to other online publishers as a result of the growing popularity of mobile apps. Due to this competitive landscape and pricing pressure, mobile marketing solutions tend to command a lower gross profit margin compared to non-mobile marketing solutions. In addition, the percentage of gross billing from mobile marketing solutions recognized as net revenues on a gross basis in 2017, 2018 and 2019 was 57.2%, 41.0% and 29.2%, respectively, greater than that for our other marketing solutions of 10.1%, 6.1% and 3.3%, respectively in the same periods. As a result, gross profit margin for our mobile marketing solutions in 2017, 2018 and 2019, which was 10.4%, 14.6%, and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18.7%, respectively, was significantly lower than that for our other marketing solutions, which was 79.7%, 95.2%, and 95.2%, respectively, in the same periods.</w:t>
      </w:r>
    </w:p>
    <w:p>
      <w:pPr>
        <w:spacing w:after="0" w:line="231" w:lineRule="exact"/>
        <w:rPr>
          <w:sz w:val="20"/>
          <w:szCs w:val="20"/>
          <w:color w:val="auto"/>
        </w:rPr>
      </w:pPr>
    </w:p>
    <w:p>
      <w:pPr>
        <w:ind w:right="100" w:firstLine="782"/>
        <w:spacing w:after="0" w:line="265" w:lineRule="auto"/>
        <w:rPr>
          <w:sz w:val="20"/>
          <w:szCs w:val="20"/>
          <w:color w:val="auto"/>
        </w:rPr>
      </w:pPr>
      <w:r>
        <w:rPr>
          <w:rFonts w:ascii="Arial" w:cs="Arial" w:eastAsia="Arial" w:hAnsi="Arial"/>
          <w:sz w:val="17"/>
          <w:szCs w:val="17"/>
          <w:color w:val="auto"/>
        </w:rPr>
        <w:t>The table below shows the cost of revenues, gross profit and gross profit margin for our sales agency arrangement for the periods presented. Cost of revenues for sales agency arrangement primarily consists of rebates we granted to marketer and marketing agency clients under the sales agency arrangement prior to January 1, 2018 when we adopted ASC 605, and other taxes. Gross profit margin for sales agency arrangement represents gross profit as a percentage of net revenues derived from sales agency arrangement.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9"/>
              </w:rPr>
              <w:t>Year Ended December 31,</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4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12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212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212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6"/>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 net</w:t>
            </w:r>
          </w:p>
        </w:tc>
        <w:tc>
          <w:tcPr>
            <w:tcW w:w="10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net</w:t>
            </w:r>
          </w:p>
        </w:tc>
        <w:tc>
          <w:tcPr>
            <w:tcW w:w="10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 of net</w:t>
            </w:r>
          </w:p>
        </w:tc>
        <w:tc>
          <w:tcPr>
            <w:tcW w:w="0" w:type="dxa"/>
            <w:vAlign w:val="bottom"/>
          </w:tcPr>
          <w:p>
            <w:pPr>
              <w:spacing w:after="0"/>
              <w:rPr>
                <w:sz w:val="1"/>
                <w:szCs w:val="1"/>
                <w:color w:val="auto"/>
              </w:rPr>
            </w:pPr>
          </w:p>
        </w:tc>
      </w:tr>
      <w:tr>
        <w:trPr>
          <w:trHeight w:val="143"/>
        </w:trPr>
        <w:tc>
          <w:tcPr>
            <w:tcW w:w="4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(US in</w:t>
            </w:r>
          </w:p>
        </w:tc>
        <w:tc>
          <w:tcPr>
            <w:tcW w:w="11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4"/>
              </w:rPr>
              <w:t>revenues for sales</w:t>
            </w:r>
          </w:p>
        </w:tc>
        <w:tc>
          <w:tcPr>
            <w:tcW w:w="104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(US in</w:t>
            </w: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4"/>
              </w:rPr>
              <w:t>revenues for sales</w:t>
            </w:r>
          </w:p>
        </w:tc>
        <w:tc>
          <w:tcPr>
            <w:tcW w:w="104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(US in</w:t>
            </w:r>
          </w:p>
        </w:tc>
        <w:tc>
          <w:tcPr>
            <w:tcW w:w="10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revenues for sales</w:t>
            </w:r>
          </w:p>
        </w:tc>
        <w:tc>
          <w:tcPr>
            <w:tcW w:w="0" w:type="dxa"/>
            <w:vAlign w:val="bottom"/>
          </w:tcPr>
          <w:p>
            <w:pPr>
              <w:spacing w:after="0"/>
              <w:rPr>
                <w:sz w:val="1"/>
                <w:szCs w:val="1"/>
                <w:color w:val="auto"/>
              </w:rPr>
            </w:pPr>
          </w:p>
        </w:tc>
      </w:tr>
      <w:tr>
        <w:trPr>
          <w:trHeight w:val="143"/>
        </w:trPr>
        <w:tc>
          <w:tcPr>
            <w:tcW w:w="4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18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2"/>
              </w:rPr>
              <w:t>agency</w:t>
            </w:r>
          </w:p>
        </w:tc>
        <w:tc>
          <w:tcPr>
            <w:tcW w:w="1040" w:type="dxa"/>
            <w:vAlign w:val="bottom"/>
            <w:vMerge w:val="continue"/>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2"/>
              </w:rPr>
              <w:t>agency</w:t>
            </w:r>
          </w:p>
        </w:tc>
        <w:tc>
          <w:tcPr>
            <w:tcW w:w="104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agency</w:t>
            </w:r>
          </w:p>
        </w:tc>
        <w:tc>
          <w:tcPr>
            <w:tcW w:w="0" w:type="dxa"/>
            <w:vAlign w:val="bottom"/>
          </w:tcPr>
          <w:p>
            <w:pPr>
              <w:spacing w:after="0"/>
              <w:rPr>
                <w:sz w:val="1"/>
                <w:szCs w:val="1"/>
                <w:color w:val="auto"/>
              </w:rPr>
            </w:pPr>
          </w:p>
        </w:tc>
      </w:tr>
      <w:tr>
        <w:trPr>
          <w:trHeight w:val="166"/>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b w:val="1"/>
                <w:bCs w:val="1"/>
                <w:color w:val="auto"/>
              </w:rPr>
              <w:t>thousands)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arrangement)</w:t>
            </w:r>
          </w:p>
        </w:tc>
        <w:tc>
          <w:tcPr>
            <w:tcW w:w="1040" w:type="dxa"/>
            <w:vAlign w:val="bottom"/>
          </w:tcPr>
          <w:p>
            <w:pPr>
              <w:jc w:val="right"/>
              <w:ind w:right="125"/>
              <w:spacing w:after="0"/>
              <w:rPr>
                <w:sz w:val="20"/>
                <w:szCs w:val="20"/>
                <w:color w:val="auto"/>
              </w:rPr>
            </w:pPr>
            <w:r>
              <w:rPr>
                <w:rFonts w:ascii="Arial" w:cs="Arial" w:eastAsia="Arial" w:hAnsi="Arial"/>
                <w:sz w:val="14"/>
                <w:szCs w:val="14"/>
                <w:b w:val="1"/>
                <w:bCs w:val="1"/>
                <w:color w:val="auto"/>
              </w:rPr>
              <w:t>thousands)</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arrangement)</w:t>
            </w:r>
          </w:p>
        </w:tc>
        <w:tc>
          <w:tcPr>
            <w:tcW w:w="1040" w:type="dxa"/>
            <w:vAlign w:val="bottom"/>
          </w:tcPr>
          <w:p>
            <w:pPr>
              <w:jc w:val="right"/>
              <w:ind w:right="124"/>
              <w:spacing w:after="0"/>
              <w:rPr>
                <w:sz w:val="20"/>
                <w:szCs w:val="20"/>
                <w:color w:val="auto"/>
              </w:rPr>
            </w:pPr>
            <w:r>
              <w:rPr>
                <w:rFonts w:ascii="Arial" w:cs="Arial" w:eastAsia="Arial" w:hAnsi="Arial"/>
                <w:sz w:val="14"/>
                <w:szCs w:val="14"/>
                <w:b w:val="1"/>
                <w:bCs w:val="1"/>
                <w:color w:val="auto"/>
              </w:rPr>
              <w:t>thousands)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arrangement)</w:t>
            </w:r>
          </w:p>
        </w:tc>
        <w:tc>
          <w:tcPr>
            <w:tcW w:w="0" w:type="dxa"/>
            <w:vAlign w:val="bottom"/>
          </w:tcPr>
          <w:p>
            <w:pPr>
              <w:spacing w:after="0"/>
              <w:rPr>
                <w:sz w:val="1"/>
                <w:szCs w:val="1"/>
                <w:color w:val="auto"/>
              </w:rPr>
            </w:pP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 for sales agency arrangement</w:t>
            </w:r>
          </w:p>
        </w:tc>
        <w:tc>
          <w:tcPr>
            <w:tcW w:w="40" w:type="dxa"/>
            <w:vAlign w:val="bottom"/>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2,236</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26.9</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0.4</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Gross profit for sales agency arrangement</w:t>
            </w: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6,075</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73.1</w:t>
            </w:r>
          </w:p>
        </w:tc>
        <w:tc>
          <w:tcPr>
            <w:tcW w:w="1040" w:type="dxa"/>
            <w:vAlign w:val="bottom"/>
          </w:tcPr>
          <w:p>
            <w:pPr>
              <w:jc w:val="right"/>
              <w:spacing w:after="0"/>
              <w:rPr>
                <w:sz w:val="20"/>
                <w:szCs w:val="20"/>
                <w:color w:val="auto"/>
              </w:rPr>
            </w:pPr>
            <w:r>
              <w:rPr>
                <w:rFonts w:ascii="Arial" w:cs="Arial" w:eastAsia="Arial" w:hAnsi="Arial"/>
                <w:sz w:val="17"/>
                <w:szCs w:val="17"/>
                <w:color w:val="auto"/>
              </w:rPr>
              <w:t>8,639</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99.6</w:t>
            </w:r>
          </w:p>
        </w:tc>
        <w:tc>
          <w:tcPr>
            <w:tcW w:w="1040" w:type="dxa"/>
            <w:vAlign w:val="bottom"/>
          </w:tcPr>
          <w:p>
            <w:pPr>
              <w:jc w:val="right"/>
              <w:spacing w:after="0"/>
              <w:rPr>
                <w:sz w:val="20"/>
                <w:szCs w:val="20"/>
                <w:color w:val="auto"/>
              </w:rPr>
            </w:pPr>
            <w:r>
              <w:rPr>
                <w:rFonts w:ascii="Arial" w:cs="Arial" w:eastAsia="Arial" w:hAnsi="Arial"/>
                <w:sz w:val="17"/>
                <w:szCs w:val="17"/>
                <w:color w:val="auto"/>
              </w:rPr>
              <w:t>6,488</w:t>
            </w:r>
          </w:p>
        </w:tc>
        <w:tc>
          <w:tcPr>
            <w:tcW w:w="1080" w:type="dxa"/>
            <w:vAlign w:val="bottom"/>
          </w:tcPr>
          <w:p>
            <w:pPr>
              <w:jc w:val="right"/>
              <w:spacing w:after="0"/>
              <w:rPr>
                <w:sz w:val="20"/>
                <w:szCs w:val="20"/>
                <w:color w:val="auto"/>
              </w:rPr>
            </w:pPr>
            <w:r>
              <w:rPr>
                <w:rFonts w:ascii="Arial" w:cs="Arial" w:eastAsia="Arial" w:hAnsi="Arial"/>
                <w:sz w:val="17"/>
                <w:szCs w:val="17"/>
                <w:color w:val="auto"/>
              </w:rPr>
              <w:t>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0" w:name="page91"/>
    <w:bookmarkEnd w:id="90"/>
    <w:p>
      <w:pPr>
        <w:ind w:right="80" w:firstLine="782"/>
        <w:spacing w:after="0" w:line="265" w:lineRule="auto"/>
        <w:rPr>
          <w:sz w:val="20"/>
          <w:szCs w:val="20"/>
          <w:color w:val="auto"/>
        </w:rPr>
      </w:pPr>
      <w:r>
        <w:rPr>
          <w:rFonts w:ascii="Arial" w:cs="Arial" w:eastAsia="Arial" w:hAnsi="Arial"/>
          <w:sz w:val="17"/>
          <w:szCs w:val="17"/>
          <w:color w:val="auto"/>
        </w:rPr>
        <w:t>The table below shows the cost of revenues, gross profit and gross profit margin for cost-plus marketing campaigns for the periods presented. Cost of revenues for cost-plus marketing campaigns primarily consists of salaries and benefits of the relevant operations and support personnel and depreciation of relevant property and equipment depreciation. Gross profit margin for cost-plus marketing campaigns represents gross profit as a percentage of net revenues derived from cost-plus marketing campaigns.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9"/>
              </w:rPr>
              <w:t>Year Ended December 31,</w:t>
            </w:r>
          </w:p>
        </w:tc>
        <w:tc>
          <w:tcPr>
            <w:tcW w:w="10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14"/>
        </w:trPr>
        <w:tc>
          <w:tcPr>
            <w:tcW w:w="44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12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212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212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rPr>
              <w:t>2019</w:t>
            </w:r>
          </w:p>
        </w:tc>
      </w:tr>
      <w:tr>
        <w:trPr>
          <w:trHeight w:val="452"/>
        </w:trPr>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 of net</w:t>
            </w:r>
          </w:p>
        </w:tc>
        <w:tc>
          <w:tcPr>
            <w:tcW w:w="10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net</w:t>
            </w:r>
          </w:p>
        </w:tc>
        <w:tc>
          <w:tcPr>
            <w:tcW w:w="10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 of net</w:t>
            </w:r>
          </w:p>
        </w:tc>
      </w:tr>
      <w:tr>
        <w:trPr>
          <w:trHeight w:val="169"/>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revenues for cost-</w:t>
            </w:r>
          </w:p>
        </w:tc>
        <w:tc>
          <w:tcPr>
            <w:tcW w:w="10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revenues for cost-</w:t>
            </w:r>
          </w:p>
        </w:tc>
        <w:tc>
          <w:tcPr>
            <w:tcW w:w="10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 for cost-</w:t>
            </w:r>
          </w:p>
        </w:tc>
      </w:tr>
      <w:tr>
        <w:trPr>
          <w:trHeight w:val="169"/>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51"/>
              <w:spacing w:after="0"/>
              <w:rPr>
                <w:sz w:val="20"/>
                <w:szCs w:val="20"/>
                <w:color w:val="auto"/>
              </w:rPr>
            </w:pPr>
            <w:r>
              <w:rPr>
                <w:rFonts w:ascii="Arial" w:cs="Arial" w:eastAsia="Arial" w:hAnsi="Arial"/>
                <w:sz w:val="14"/>
                <w:szCs w:val="14"/>
                <w:b w:val="1"/>
                <w:bCs w:val="1"/>
                <w:color w:val="auto"/>
              </w:rPr>
              <w:t>(US in</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plus marketing</w:t>
            </w:r>
          </w:p>
        </w:tc>
        <w:tc>
          <w:tcPr>
            <w:tcW w:w="1040" w:type="dxa"/>
            <w:vAlign w:val="bottom"/>
          </w:tcPr>
          <w:p>
            <w:pPr>
              <w:jc w:val="right"/>
              <w:ind w:right="265"/>
              <w:spacing w:after="0"/>
              <w:rPr>
                <w:sz w:val="20"/>
                <w:szCs w:val="20"/>
                <w:color w:val="auto"/>
              </w:rPr>
            </w:pPr>
            <w:r>
              <w:rPr>
                <w:rFonts w:ascii="Arial" w:cs="Arial" w:eastAsia="Arial" w:hAnsi="Arial"/>
                <w:sz w:val="14"/>
                <w:szCs w:val="14"/>
                <w:b w:val="1"/>
                <w:bCs w:val="1"/>
                <w:color w:val="auto"/>
              </w:rPr>
              <w:t>(US in</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plus marketing</w:t>
            </w:r>
          </w:p>
        </w:tc>
        <w:tc>
          <w:tcPr>
            <w:tcW w:w="1040" w:type="dxa"/>
            <w:vAlign w:val="bottom"/>
          </w:tcPr>
          <w:p>
            <w:pPr>
              <w:jc w:val="right"/>
              <w:ind w:right="265"/>
              <w:spacing w:after="0"/>
              <w:rPr>
                <w:sz w:val="20"/>
                <w:szCs w:val="20"/>
                <w:color w:val="auto"/>
              </w:rPr>
            </w:pPr>
            <w:r>
              <w:rPr>
                <w:rFonts w:ascii="Arial" w:cs="Arial" w:eastAsia="Arial" w:hAnsi="Arial"/>
                <w:sz w:val="14"/>
                <w:szCs w:val="14"/>
                <w:b w:val="1"/>
                <w:bCs w:val="1"/>
                <w:color w:val="auto"/>
              </w:rPr>
              <w:t>(US in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plus marketing</w:t>
            </w:r>
          </w:p>
        </w:tc>
      </w:tr>
      <w:tr>
        <w:trPr>
          <w:trHeight w:val="179"/>
        </w:trPr>
        <w:tc>
          <w:tcPr>
            <w:tcW w:w="4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31"/>
              <w:spacing w:after="0"/>
              <w:rPr>
                <w:sz w:val="20"/>
                <w:szCs w:val="20"/>
                <w:color w:val="auto"/>
              </w:rPr>
            </w:pPr>
            <w:r>
              <w:rPr>
                <w:rFonts w:ascii="Arial" w:cs="Arial" w:eastAsia="Arial" w:hAnsi="Arial"/>
                <w:sz w:val="14"/>
                <w:szCs w:val="14"/>
                <w:b w:val="1"/>
                <w:bCs w:val="1"/>
                <w:color w:val="auto"/>
              </w:rPr>
              <w:t>thousands)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campaigns)</w:t>
            </w:r>
          </w:p>
        </w:tc>
        <w:tc>
          <w:tcPr>
            <w:tcW w:w="1040" w:type="dxa"/>
            <w:vAlign w:val="bottom"/>
          </w:tcPr>
          <w:p>
            <w:pPr>
              <w:jc w:val="right"/>
              <w:ind w:right="125"/>
              <w:spacing w:after="0"/>
              <w:rPr>
                <w:sz w:val="20"/>
                <w:szCs w:val="20"/>
                <w:color w:val="auto"/>
              </w:rPr>
            </w:pPr>
            <w:r>
              <w:rPr>
                <w:rFonts w:ascii="Arial" w:cs="Arial" w:eastAsia="Arial" w:hAnsi="Arial"/>
                <w:sz w:val="14"/>
                <w:szCs w:val="14"/>
                <w:b w:val="1"/>
                <w:bCs w:val="1"/>
                <w:color w:val="auto"/>
              </w:rPr>
              <w:t>thousands)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campaigns)</w:t>
            </w:r>
          </w:p>
        </w:tc>
        <w:tc>
          <w:tcPr>
            <w:tcW w:w="1040" w:type="dxa"/>
            <w:vAlign w:val="bottom"/>
          </w:tcPr>
          <w:p>
            <w:pPr>
              <w:jc w:val="right"/>
              <w:ind w:right="125"/>
              <w:spacing w:after="0"/>
              <w:rPr>
                <w:sz w:val="20"/>
                <w:szCs w:val="20"/>
                <w:color w:val="auto"/>
              </w:rPr>
            </w:pPr>
            <w:r>
              <w:rPr>
                <w:rFonts w:ascii="Arial" w:cs="Arial" w:eastAsia="Arial" w:hAnsi="Arial"/>
                <w:sz w:val="14"/>
                <w:szCs w:val="14"/>
                <w:b w:val="1"/>
                <w:bCs w:val="1"/>
                <w:color w:val="auto"/>
              </w:rPr>
              <w:t>thousands)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campaigns)</w:t>
            </w: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 for cost-plus marketing campaigns</w:t>
            </w:r>
          </w:p>
        </w:tc>
        <w:tc>
          <w:tcPr>
            <w:tcW w:w="40" w:type="dxa"/>
            <w:vAlign w:val="bottom"/>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1,847</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17.1</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2,892</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23.7</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2,947</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w:t>
            </w: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Gross profit for cost-plus marketing campaigns</w:t>
            </w: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8,941</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82.9</w:t>
            </w:r>
          </w:p>
        </w:tc>
        <w:tc>
          <w:tcPr>
            <w:tcW w:w="1040" w:type="dxa"/>
            <w:vAlign w:val="bottom"/>
          </w:tcPr>
          <w:p>
            <w:pPr>
              <w:jc w:val="right"/>
              <w:spacing w:after="0"/>
              <w:rPr>
                <w:sz w:val="20"/>
                <w:szCs w:val="20"/>
                <w:color w:val="auto"/>
              </w:rPr>
            </w:pPr>
            <w:r>
              <w:rPr>
                <w:rFonts w:ascii="Arial" w:cs="Arial" w:eastAsia="Arial" w:hAnsi="Arial"/>
                <w:sz w:val="17"/>
                <w:szCs w:val="17"/>
                <w:color w:val="auto"/>
              </w:rPr>
              <w:t>9,300</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76.3</w:t>
            </w:r>
          </w:p>
        </w:tc>
        <w:tc>
          <w:tcPr>
            <w:tcW w:w="1040" w:type="dxa"/>
            <w:vAlign w:val="bottom"/>
          </w:tcPr>
          <w:p>
            <w:pPr>
              <w:jc w:val="right"/>
              <w:spacing w:after="0"/>
              <w:rPr>
                <w:sz w:val="20"/>
                <w:szCs w:val="20"/>
                <w:color w:val="auto"/>
              </w:rPr>
            </w:pPr>
            <w:r>
              <w:rPr>
                <w:rFonts w:ascii="Arial" w:cs="Arial" w:eastAsia="Arial" w:hAnsi="Arial"/>
                <w:sz w:val="16"/>
                <w:szCs w:val="16"/>
                <w:color w:val="auto"/>
              </w:rPr>
              <w:t>14,199</w:t>
            </w:r>
          </w:p>
        </w:tc>
        <w:tc>
          <w:tcPr>
            <w:tcW w:w="1080" w:type="dxa"/>
            <w:vAlign w:val="bottom"/>
          </w:tcPr>
          <w:p>
            <w:pPr>
              <w:jc w:val="right"/>
              <w:spacing w:after="0"/>
              <w:rPr>
                <w:sz w:val="20"/>
                <w:szCs w:val="20"/>
                <w:color w:val="auto"/>
              </w:rPr>
            </w:pPr>
            <w:r>
              <w:rPr>
                <w:rFonts w:ascii="Arial" w:cs="Arial" w:eastAsia="Arial" w:hAnsi="Arial"/>
                <w:sz w:val="17"/>
                <w:szCs w:val="17"/>
                <w:color w:val="auto"/>
              </w:rPr>
              <w:t>82.8</w:t>
            </w:r>
          </w:p>
        </w:tc>
      </w:tr>
    </w:tbl>
    <w:p>
      <w:pPr>
        <w:spacing w:after="0" w:line="196" w:lineRule="exact"/>
        <w:rPr>
          <w:sz w:val="20"/>
          <w:szCs w:val="20"/>
          <w:color w:val="auto"/>
        </w:rPr>
      </w:pPr>
    </w:p>
    <w:p>
      <w:pPr>
        <w:ind w:right="20" w:firstLine="782"/>
        <w:spacing w:after="0" w:line="323" w:lineRule="auto"/>
        <w:rPr>
          <w:sz w:val="20"/>
          <w:szCs w:val="20"/>
          <w:color w:val="auto"/>
        </w:rPr>
      </w:pPr>
      <w:r>
        <w:rPr>
          <w:rFonts w:ascii="Arial" w:cs="Arial" w:eastAsia="Arial" w:hAnsi="Arial"/>
          <w:sz w:val="15"/>
          <w:szCs w:val="15"/>
          <w:color w:val="auto"/>
        </w:rPr>
        <w:t>The table below shows the cost of revenues, gross profit and gross profit margin for specified action marketing campaigns for the periods presented. Cost of revenues for specified action marketing campaigns primarily consists of media cost, as deducted by rebates received from publishers. Gross profit margin for specified action marketing campaigns represents gross profit as a percentage of net revenues derived from specified action marketing campaigns.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9"/>
              </w:rPr>
              <w:t>Year Ended December 31,</w:t>
            </w:r>
          </w:p>
        </w:tc>
        <w:tc>
          <w:tcPr>
            <w:tcW w:w="10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14"/>
        </w:trPr>
        <w:tc>
          <w:tcPr>
            <w:tcW w:w="44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120" w:type="dxa"/>
            <w:vAlign w:val="bottom"/>
            <w:tcBorders>
              <w:bottom w:val="single" w:sz="8" w:color="auto"/>
            </w:tcBorders>
            <w:gridSpan w:val="2"/>
          </w:tcPr>
          <w:p>
            <w:pPr>
              <w:jc w:val="right"/>
              <w:ind w:right="84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2120" w:type="dxa"/>
            <w:vAlign w:val="bottom"/>
            <w:tcBorders>
              <w:bottom w:val="single" w:sz="8" w:color="auto"/>
            </w:tcBorders>
            <w:gridSpan w:val="2"/>
          </w:tcPr>
          <w:p>
            <w:pPr>
              <w:jc w:val="right"/>
              <w:ind w:right="84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2120" w:type="dxa"/>
            <w:vAlign w:val="bottom"/>
            <w:tcBorders>
              <w:bottom w:val="single" w:sz="8" w:color="auto"/>
            </w:tcBorders>
            <w:gridSpan w:val="2"/>
          </w:tcPr>
          <w:p>
            <w:pPr>
              <w:jc w:val="right"/>
              <w:ind w:right="846"/>
              <w:spacing w:after="0"/>
              <w:rPr>
                <w:sz w:val="20"/>
                <w:szCs w:val="20"/>
                <w:color w:val="auto"/>
              </w:rPr>
            </w:pPr>
            <w:r>
              <w:rPr>
                <w:rFonts w:ascii="Arial" w:cs="Arial" w:eastAsia="Arial" w:hAnsi="Arial"/>
                <w:sz w:val="14"/>
                <w:szCs w:val="14"/>
                <w:b w:val="1"/>
                <w:bCs w:val="1"/>
                <w:color w:val="auto"/>
              </w:rPr>
              <w:t>2019</w:t>
            </w:r>
          </w:p>
        </w:tc>
      </w:tr>
      <w:tr>
        <w:trPr>
          <w:trHeight w:val="504"/>
        </w:trPr>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of net</w:t>
            </w:r>
          </w:p>
        </w:tc>
        <w:tc>
          <w:tcPr>
            <w:tcW w:w="10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of net</w:t>
            </w:r>
          </w:p>
        </w:tc>
        <w:tc>
          <w:tcPr>
            <w:tcW w:w="10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 of net</w:t>
            </w:r>
          </w:p>
        </w:tc>
      </w:tr>
      <w:tr>
        <w:trPr>
          <w:trHeight w:val="169"/>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revenues for</w:t>
            </w:r>
          </w:p>
        </w:tc>
        <w:tc>
          <w:tcPr>
            <w:tcW w:w="10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revenues for</w:t>
            </w:r>
          </w:p>
        </w:tc>
        <w:tc>
          <w:tcPr>
            <w:tcW w:w="10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revenues for</w:t>
            </w:r>
          </w:p>
        </w:tc>
      </w:tr>
      <w:tr>
        <w:trPr>
          <w:trHeight w:val="169"/>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specified action</w:t>
            </w:r>
          </w:p>
        </w:tc>
        <w:tc>
          <w:tcPr>
            <w:tcW w:w="10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specified action</w:t>
            </w:r>
          </w:p>
        </w:tc>
        <w:tc>
          <w:tcPr>
            <w:tcW w:w="10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specified action</w:t>
            </w:r>
          </w:p>
        </w:tc>
      </w:tr>
      <w:tr>
        <w:trPr>
          <w:trHeight w:val="169"/>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291"/>
              <w:spacing w:after="0"/>
              <w:rPr>
                <w:sz w:val="20"/>
                <w:szCs w:val="20"/>
                <w:color w:val="auto"/>
              </w:rPr>
            </w:pPr>
            <w:r>
              <w:rPr>
                <w:rFonts w:ascii="Arial" w:cs="Arial" w:eastAsia="Arial" w:hAnsi="Arial"/>
                <w:sz w:val="14"/>
                <w:szCs w:val="14"/>
                <w:b w:val="1"/>
                <w:bCs w:val="1"/>
                <w:color w:val="auto"/>
              </w:rPr>
              <w:t>(US in</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marketing</w:t>
            </w:r>
          </w:p>
        </w:tc>
        <w:tc>
          <w:tcPr>
            <w:tcW w:w="1080" w:type="dxa"/>
            <w:vAlign w:val="bottom"/>
          </w:tcPr>
          <w:p>
            <w:pPr>
              <w:jc w:val="right"/>
              <w:ind w:right="305"/>
              <w:spacing w:after="0"/>
              <w:rPr>
                <w:sz w:val="20"/>
                <w:szCs w:val="20"/>
                <w:color w:val="auto"/>
              </w:rPr>
            </w:pPr>
            <w:r>
              <w:rPr>
                <w:rFonts w:ascii="Arial" w:cs="Arial" w:eastAsia="Arial" w:hAnsi="Arial"/>
                <w:sz w:val="14"/>
                <w:szCs w:val="14"/>
                <w:b w:val="1"/>
                <w:bCs w:val="1"/>
                <w:color w:val="auto"/>
              </w:rPr>
              <w:t>(US in</w:t>
            </w: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marketing</w:t>
            </w:r>
          </w:p>
        </w:tc>
        <w:tc>
          <w:tcPr>
            <w:tcW w:w="1060" w:type="dxa"/>
            <w:vAlign w:val="bottom"/>
          </w:tcPr>
          <w:p>
            <w:pPr>
              <w:jc w:val="right"/>
              <w:ind w:right="284"/>
              <w:spacing w:after="0"/>
              <w:rPr>
                <w:sz w:val="20"/>
                <w:szCs w:val="20"/>
                <w:color w:val="auto"/>
              </w:rPr>
            </w:pPr>
            <w:r>
              <w:rPr>
                <w:rFonts w:ascii="Arial" w:cs="Arial" w:eastAsia="Arial" w:hAnsi="Arial"/>
                <w:sz w:val="14"/>
                <w:szCs w:val="14"/>
                <w:b w:val="1"/>
                <w:bCs w:val="1"/>
                <w:color w:val="auto"/>
              </w:rPr>
              <w:t>(US in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marketing</w:t>
            </w:r>
          </w:p>
        </w:tc>
      </w:tr>
      <w:tr>
        <w:trPr>
          <w:trHeight w:val="179"/>
        </w:trPr>
        <w:tc>
          <w:tcPr>
            <w:tcW w:w="4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71"/>
              <w:spacing w:after="0"/>
              <w:rPr>
                <w:sz w:val="20"/>
                <w:szCs w:val="20"/>
                <w:color w:val="auto"/>
              </w:rPr>
            </w:pPr>
            <w:r>
              <w:rPr>
                <w:rFonts w:ascii="Arial" w:cs="Arial" w:eastAsia="Arial" w:hAnsi="Arial"/>
                <w:sz w:val="14"/>
                <w:szCs w:val="14"/>
                <w:b w:val="1"/>
                <w:bCs w:val="1"/>
                <w:color w:val="auto"/>
              </w:rPr>
              <w:t>thousands)</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campaigns)</w:t>
            </w:r>
          </w:p>
        </w:tc>
        <w:tc>
          <w:tcPr>
            <w:tcW w:w="1080" w:type="dxa"/>
            <w:vAlign w:val="bottom"/>
          </w:tcPr>
          <w:p>
            <w:pPr>
              <w:jc w:val="right"/>
              <w:ind w:right="165"/>
              <w:spacing w:after="0"/>
              <w:rPr>
                <w:sz w:val="20"/>
                <w:szCs w:val="20"/>
                <w:color w:val="auto"/>
              </w:rPr>
            </w:pPr>
            <w:r>
              <w:rPr>
                <w:rFonts w:ascii="Arial" w:cs="Arial" w:eastAsia="Arial" w:hAnsi="Arial"/>
                <w:sz w:val="14"/>
                <w:szCs w:val="14"/>
                <w:b w:val="1"/>
                <w:bCs w:val="1"/>
                <w:color w:val="auto"/>
              </w:rPr>
              <w:t>thousands)</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campaigns)</w:t>
            </w:r>
          </w:p>
        </w:tc>
        <w:tc>
          <w:tcPr>
            <w:tcW w:w="1060" w:type="dxa"/>
            <w:vAlign w:val="bottom"/>
          </w:tcPr>
          <w:p>
            <w:pPr>
              <w:jc w:val="right"/>
              <w:ind w:right="144"/>
              <w:spacing w:after="0"/>
              <w:rPr>
                <w:sz w:val="20"/>
                <w:szCs w:val="20"/>
                <w:color w:val="auto"/>
              </w:rPr>
            </w:pPr>
            <w:r>
              <w:rPr>
                <w:rFonts w:ascii="Arial" w:cs="Arial" w:eastAsia="Arial" w:hAnsi="Arial"/>
                <w:sz w:val="14"/>
                <w:szCs w:val="14"/>
                <w:b w:val="1"/>
                <w:bCs w:val="1"/>
                <w:color w:val="auto"/>
              </w:rPr>
              <w:t>thousands)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campaigns)</w:t>
            </w: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w w:val="99"/>
              </w:rPr>
              <w:t>Cost of revenues for specified action marketing campaigns</w:t>
            </w:r>
          </w:p>
        </w:tc>
        <w:tc>
          <w:tcPr>
            <w:tcW w:w="40" w:type="dxa"/>
            <w:vAlign w:val="bottom"/>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91,650</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86.3</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117,973</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84.8</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136,955</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82.9</w:t>
            </w: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Gross profit for specified action marketing campaigns</w:t>
            </w:r>
          </w:p>
        </w:tc>
        <w:tc>
          <w:tcPr>
            <w:tcW w:w="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14,509</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13.7</w:t>
            </w:r>
          </w:p>
        </w:tc>
        <w:tc>
          <w:tcPr>
            <w:tcW w:w="1080" w:type="dxa"/>
            <w:vAlign w:val="bottom"/>
          </w:tcPr>
          <w:p>
            <w:pPr>
              <w:jc w:val="right"/>
              <w:spacing w:after="0"/>
              <w:rPr>
                <w:sz w:val="20"/>
                <w:szCs w:val="20"/>
                <w:color w:val="auto"/>
              </w:rPr>
            </w:pPr>
            <w:r>
              <w:rPr>
                <w:rFonts w:ascii="Arial" w:cs="Arial" w:eastAsia="Arial" w:hAnsi="Arial"/>
                <w:sz w:val="17"/>
                <w:szCs w:val="17"/>
                <w:color w:val="auto"/>
              </w:rPr>
              <w:t>21,181</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15.2</w:t>
            </w:r>
          </w:p>
        </w:tc>
        <w:tc>
          <w:tcPr>
            <w:tcW w:w="1060" w:type="dxa"/>
            <w:vAlign w:val="bottom"/>
          </w:tcPr>
          <w:p>
            <w:pPr>
              <w:jc w:val="right"/>
              <w:spacing w:after="0"/>
              <w:rPr>
                <w:sz w:val="20"/>
                <w:szCs w:val="20"/>
                <w:color w:val="auto"/>
              </w:rPr>
            </w:pPr>
            <w:r>
              <w:rPr>
                <w:rFonts w:ascii="Arial" w:cs="Arial" w:eastAsia="Arial" w:hAnsi="Arial"/>
                <w:sz w:val="17"/>
                <w:szCs w:val="17"/>
                <w:color w:val="auto"/>
              </w:rPr>
              <w:t>28,308</w:t>
            </w:r>
          </w:p>
        </w:tc>
        <w:tc>
          <w:tcPr>
            <w:tcW w:w="1060" w:type="dxa"/>
            <w:vAlign w:val="bottom"/>
          </w:tcPr>
          <w:p>
            <w:pPr>
              <w:jc w:val="right"/>
              <w:spacing w:after="0"/>
              <w:rPr>
                <w:sz w:val="20"/>
                <w:szCs w:val="20"/>
                <w:color w:val="auto"/>
              </w:rPr>
            </w:pPr>
            <w:r>
              <w:rPr>
                <w:rFonts w:ascii="Arial" w:cs="Arial" w:eastAsia="Arial" w:hAnsi="Arial"/>
                <w:sz w:val="17"/>
                <w:szCs w:val="17"/>
                <w:color w:val="auto"/>
              </w:rPr>
              <w:t>17.1</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Enterprise Solutions</w:t>
      </w:r>
    </w:p>
    <w:p>
      <w:pPr>
        <w:spacing w:after="0" w:line="117" w:lineRule="exact"/>
        <w:rPr>
          <w:sz w:val="20"/>
          <w:szCs w:val="20"/>
          <w:color w:val="auto"/>
        </w:rPr>
      </w:pPr>
    </w:p>
    <w:p>
      <w:pPr>
        <w:jc w:val="both"/>
        <w:ind w:right="220" w:firstLine="782"/>
        <w:spacing w:after="0" w:line="270" w:lineRule="auto"/>
        <w:rPr>
          <w:sz w:val="20"/>
          <w:szCs w:val="20"/>
          <w:color w:val="auto"/>
        </w:rPr>
      </w:pPr>
      <w:r>
        <w:rPr>
          <w:rFonts w:ascii="Arial" w:cs="Arial" w:eastAsia="Arial" w:hAnsi="Arial"/>
          <w:sz w:val="17"/>
          <w:szCs w:val="17"/>
          <w:color w:val="auto"/>
        </w:rPr>
        <w:t>Cost of revenues for our enterprise solutions primarily consists of amortization expenses related to the computer software and systems, salaries and benefits of relevant operations and support personnel, depreciation of relevant property and equipment and other direct services costs. Our cost of revenues for enterprise solutions was US$2.7 million for 2019.</w:t>
      </w:r>
    </w:p>
    <w:p>
      <w:pPr>
        <w:spacing w:after="0" w:line="173" w:lineRule="exact"/>
        <w:rPr>
          <w:sz w:val="20"/>
          <w:szCs w:val="20"/>
          <w:color w:val="auto"/>
        </w:rPr>
      </w:pPr>
    </w:p>
    <w:p>
      <w:pPr>
        <w:ind w:right="380" w:firstLine="782"/>
        <w:spacing w:after="0" w:line="286" w:lineRule="auto"/>
        <w:rPr>
          <w:sz w:val="20"/>
          <w:szCs w:val="20"/>
          <w:color w:val="auto"/>
        </w:rPr>
      </w:pPr>
      <w:r>
        <w:rPr>
          <w:rFonts w:ascii="Arial" w:cs="Arial" w:eastAsia="Arial" w:hAnsi="Arial"/>
          <w:sz w:val="17"/>
          <w:szCs w:val="17"/>
          <w:color w:val="auto"/>
        </w:rPr>
        <w:t>Gross profit margin for enterprise solutions represents gross profit as a percentage of net revenues derived from enterprise solutions. In 2019, our gross profit for enterprise solutions was US$7.7 million, and our gross profit margin for enterprise solutions was 73.9%.</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right="160" w:firstLine="782"/>
        <w:spacing w:after="0" w:line="270" w:lineRule="auto"/>
        <w:rPr>
          <w:sz w:val="20"/>
          <w:szCs w:val="20"/>
          <w:color w:val="auto"/>
        </w:rPr>
      </w:pPr>
      <w:r>
        <w:rPr>
          <w:rFonts w:ascii="Arial" w:cs="Arial" w:eastAsia="Arial" w:hAnsi="Arial"/>
          <w:sz w:val="17"/>
          <w:szCs w:val="17"/>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w w:val="97"/>
              </w:rPr>
              <w:t>Year Ended December 31,</w:t>
            </w:r>
          </w:p>
        </w:tc>
        <w:tc>
          <w:tcPr>
            <w:tcW w:w="1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bottom w:val="single" w:sz="8" w:color="auto"/>
            </w:tcBorders>
          </w:tcPr>
          <w:p>
            <w:pPr>
              <w:jc w:val="right"/>
              <w:ind w:right="41"/>
              <w:spacing w:after="0" w:line="149"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rPr>
                <w:sz w:val="11"/>
                <w:szCs w:val="11"/>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0"/>
              </w:rPr>
              <w:t>(US in thousands)</w:t>
            </w:r>
          </w:p>
        </w:tc>
        <w:tc>
          <w:tcPr>
            <w:tcW w:w="82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1"/>
                <w:szCs w:val="11"/>
                <w:color w:val="auto"/>
              </w:rPr>
            </w:pPr>
          </w:p>
        </w:tc>
        <w:tc>
          <w:tcPr>
            <w:tcW w:w="12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88"/>
              </w:rPr>
              <w:t>(US in thousands)</w:t>
            </w:r>
          </w:p>
        </w:tc>
        <w:tc>
          <w:tcPr>
            <w:tcW w:w="940" w:type="dxa"/>
            <w:vAlign w:val="bottom"/>
          </w:tcPr>
          <w:p>
            <w:pPr>
              <w:jc w:val="right"/>
              <w:ind w:right="179"/>
              <w:spacing w:after="0" w:line="127" w:lineRule="exact"/>
              <w:rPr>
                <w:sz w:val="20"/>
                <w:szCs w:val="20"/>
                <w:color w:val="auto"/>
              </w:rPr>
            </w:pPr>
            <w:r>
              <w:rPr>
                <w:rFonts w:ascii="Arial" w:cs="Arial" w:eastAsia="Arial" w:hAnsi="Arial"/>
                <w:sz w:val="14"/>
                <w:szCs w:val="14"/>
                <w:b w:val="1"/>
                <w:bCs w:val="1"/>
                <w:color w:val="auto"/>
              </w:rPr>
              <w:t>(% of net</w:t>
            </w:r>
          </w:p>
        </w:tc>
        <w:tc>
          <w:tcPr>
            <w:tcW w:w="1200" w:type="dxa"/>
            <w:vAlign w:val="bottom"/>
          </w:tcPr>
          <w:p>
            <w:pPr>
              <w:jc w:val="right"/>
              <w:ind w:right="481"/>
              <w:spacing w:after="0" w:line="127" w:lineRule="exact"/>
              <w:rPr>
                <w:sz w:val="20"/>
                <w:szCs w:val="20"/>
                <w:color w:val="auto"/>
              </w:rPr>
            </w:pPr>
            <w:r>
              <w:rPr>
                <w:rFonts w:ascii="Arial" w:cs="Arial" w:eastAsia="Arial" w:hAnsi="Arial"/>
                <w:sz w:val="14"/>
                <w:szCs w:val="14"/>
                <w:b w:val="1"/>
                <w:bCs w:val="1"/>
                <w:color w:val="auto"/>
              </w:rPr>
              <w:t>(US in</w:t>
            </w:r>
          </w:p>
        </w:tc>
        <w:tc>
          <w:tcPr>
            <w:tcW w:w="80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revenues)</w:t>
            </w:r>
          </w:p>
        </w:tc>
        <w:tc>
          <w:tcPr>
            <w:tcW w:w="1240" w:type="dxa"/>
            <w:vAlign w:val="bottom"/>
            <w:vMerge w:val="continue"/>
          </w:tcPr>
          <w:p>
            <w:pPr>
              <w:spacing w:after="0"/>
              <w:rPr>
                <w:sz w:val="14"/>
                <w:szCs w:val="14"/>
                <w:color w:val="auto"/>
              </w:rPr>
            </w:pPr>
          </w:p>
        </w:tc>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rPr>
              <w:t>revenues)</w:t>
            </w:r>
          </w:p>
        </w:tc>
        <w:tc>
          <w:tcPr>
            <w:tcW w:w="1200" w:type="dxa"/>
            <w:vAlign w:val="bottom"/>
          </w:tcPr>
          <w:p>
            <w:pPr>
              <w:jc w:val="right"/>
              <w:ind w:right="341"/>
              <w:spacing w:after="0"/>
              <w:rPr>
                <w:sz w:val="20"/>
                <w:szCs w:val="20"/>
                <w:color w:val="auto"/>
              </w:rPr>
            </w:pPr>
            <w:r>
              <w:rPr>
                <w:rFonts w:ascii="Arial" w:cs="Arial" w:eastAsia="Arial" w:hAnsi="Arial"/>
                <w:sz w:val="14"/>
                <w:szCs w:val="14"/>
                <w:b w:val="1"/>
                <w:bCs w:val="1"/>
                <w:color w:val="auto"/>
              </w:rPr>
              <w:t>thousands)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240" w:type="dxa"/>
            <w:vAlign w:val="bottom"/>
            <w:shd w:val="clear" w:color="auto" w:fill="CFF0FC"/>
          </w:tcPr>
          <w:p>
            <w:pPr>
              <w:jc w:val="right"/>
              <w:ind w:right="199"/>
              <w:spacing w:after="0"/>
              <w:rPr>
                <w:sz w:val="20"/>
                <w:szCs w:val="20"/>
                <w:color w:val="auto"/>
              </w:rPr>
            </w:pPr>
            <w:r>
              <w:rPr>
                <w:rFonts w:ascii="Arial" w:cs="Arial" w:eastAsia="Arial" w:hAnsi="Arial"/>
                <w:sz w:val="17"/>
                <w:szCs w:val="17"/>
                <w:color w:val="auto"/>
              </w:rPr>
              <w:t>(44,696)</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(35.7)</w:t>
            </w:r>
          </w:p>
        </w:tc>
        <w:tc>
          <w:tcPr>
            <w:tcW w:w="1240" w:type="dxa"/>
            <w:vAlign w:val="bottom"/>
            <w:shd w:val="clear" w:color="auto" w:fill="CFF0FC"/>
          </w:tcPr>
          <w:p>
            <w:pPr>
              <w:jc w:val="right"/>
              <w:ind w:right="201"/>
              <w:spacing w:after="0"/>
              <w:rPr>
                <w:sz w:val="20"/>
                <w:szCs w:val="20"/>
                <w:color w:val="auto"/>
              </w:rPr>
            </w:pPr>
            <w:r>
              <w:rPr>
                <w:rFonts w:ascii="Arial" w:cs="Arial" w:eastAsia="Arial" w:hAnsi="Arial"/>
                <w:sz w:val="17"/>
                <w:szCs w:val="17"/>
                <w:color w:val="auto"/>
              </w:rPr>
              <w:t>(66,574)</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(41.6)</w:t>
            </w:r>
          </w:p>
        </w:tc>
        <w:tc>
          <w:tcPr>
            <w:tcW w:w="120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rPr>
              <w:t>(68,846)</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1240" w:type="dxa"/>
            <w:vAlign w:val="bottom"/>
          </w:tcPr>
          <w:p>
            <w:pPr>
              <w:jc w:val="right"/>
              <w:ind w:right="199"/>
              <w:spacing w:after="0"/>
              <w:rPr>
                <w:sz w:val="20"/>
                <w:szCs w:val="20"/>
                <w:color w:val="auto"/>
              </w:rPr>
            </w:pPr>
            <w:r>
              <w:rPr>
                <w:rFonts w:ascii="Arial" w:cs="Arial" w:eastAsia="Arial" w:hAnsi="Arial"/>
                <w:sz w:val="17"/>
                <w:szCs w:val="17"/>
                <w:color w:val="auto"/>
              </w:rPr>
              <w:t>(5,778)</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(4.6)</w:t>
            </w:r>
          </w:p>
        </w:tc>
        <w:tc>
          <w:tcPr>
            <w:tcW w:w="1240" w:type="dxa"/>
            <w:vAlign w:val="bottom"/>
          </w:tcPr>
          <w:p>
            <w:pPr>
              <w:jc w:val="right"/>
              <w:ind w:right="201"/>
              <w:spacing w:after="0"/>
              <w:rPr>
                <w:sz w:val="20"/>
                <w:szCs w:val="20"/>
                <w:color w:val="auto"/>
              </w:rPr>
            </w:pPr>
            <w:r>
              <w:rPr>
                <w:rFonts w:ascii="Arial" w:cs="Arial" w:eastAsia="Arial" w:hAnsi="Arial"/>
                <w:sz w:val="17"/>
                <w:szCs w:val="17"/>
                <w:color w:val="auto"/>
              </w:rPr>
              <w:t>(10,737)</w:t>
            </w:r>
          </w:p>
        </w:tc>
        <w:tc>
          <w:tcPr>
            <w:tcW w:w="940" w:type="dxa"/>
            <w:vAlign w:val="bottom"/>
          </w:tcPr>
          <w:p>
            <w:pPr>
              <w:jc w:val="right"/>
              <w:ind w:right="39"/>
              <w:spacing w:after="0"/>
              <w:rPr>
                <w:sz w:val="20"/>
                <w:szCs w:val="20"/>
                <w:color w:val="auto"/>
              </w:rPr>
            </w:pPr>
            <w:r>
              <w:rPr>
                <w:rFonts w:ascii="Arial" w:cs="Arial" w:eastAsia="Arial" w:hAnsi="Arial"/>
                <w:sz w:val="17"/>
                <w:szCs w:val="17"/>
                <w:color w:val="auto"/>
              </w:rPr>
              <w:t>(6.7)</w:t>
            </w:r>
          </w:p>
        </w:tc>
        <w:tc>
          <w:tcPr>
            <w:tcW w:w="1200" w:type="dxa"/>
            <w:vAlign w:val="bottom"/>
          </w:tcPr>
          <w:p>
            <w:pPr>
              <w:jc w:val="right"/>
              <w:ind w:right="161"/>
              <w:spacing w:after="0"/>
              <w:rPr>
                <w:sz w:val="20"/>
                <w:szCs w:val="20"/>
                <w:color w:val="auto"/>
              </w:rPr>
            </w:pPr>
            <w:r>
              <w:rPr>
                <w:rFonts w:ascii="Arial" w:cs="Arial" w:eastAsia="Arial" w:hAnsi="Arial"/>
                <w:sz w:val="17"/>
                <w:szCs w:val="17"/>
                <w:color w:val="auto"/>
              </w:rPr>
              <w:t>(5,574)</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1"/>
        </w:trPr>
        <w:tc>
          <w:tcPr>
            <w:tcW w:w="466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 expenses</w:t>
            </w:r>
          </w:p>
        </w:tc>
        <w:tc>
          <w:tcPr>
            <w:tcW w:w="1240" w:type="dxa"/>
            <w:vAlign w:val="bottom"/>
            <w:shd w:val="clear" w:color="auto" w:fill="CFF0FC"/>
          </w:tcPr>
          <w:p>
            <w:pPr>
              <w:jc w:val="right"/>
              <w:ind w:right="199"/>
              <w:spacing w:after="0"/>
              <w:rPr>
                <w:sz w:val="20"/>
                <w:szCs w:val="20"/>
                <w:color w:val="auto"/>
              </w:rPr>
            </w:pPr>
            <w:r>
              <w:rPr>
                <w:rFonts w:ascii="Arial" w:cs="Arial" w:eastAsia="Arial" w:hAnsi="Arial"/>
                <w:sz w:val="17"/>
                <w:szCs w:val="17"/>
                <w:color w:val="auto"/>
              </w:rPr>
              <w:t>(25,935)</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(20.7)</w:t>
            </w:r>
          </w:p>
        </w:tc>
        <w:tc>
          <w:tcPr>
            <w:tcW w:w="1240" w:type="dxa"/>
            <w:vAlign w:val="bottom"/>
            <w:shd w:val="clear" w:color="auto" w:fill="CFF0FC"/>
          </w:tcPr>
          <w:p>
            <w:pPr>
              <w:jc w:val="right"/>
              <w:ind w:right="201"/>
              <w:spacing w:after="0"/>
              <w:rPr>
                <w:sz w:val="20"/>
                <w:szCs w:val="20"/>
                <w:color w:val="auto"/>
              </w:rPr>
            </w:pPr>
            <w:r>
              <w:rPr>
                <w:rFonts w:ascii="Arial" w:cs="Arial" w:eastAsia="Arial" w:hAnsi="Arial"/>
                <w:sz w:val="17"/>
                <w:szCs w:val="17"/>
                <w:color w:val="auto"/>
              </w:rPr>
              <w:t>(32,080)</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(20.0)</w:t>
            </w:r>
          </w:p>
        </w:tc>
        <w:tc>
          <w:tcPr>
            <w:tcW w:w="120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rPr>
              <w:t>(42,968)</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240" w:type="dxa"/>
            <w:vAlign w:val="bottom"/>
          </w:tcPr>
          <w:p>
            <w:pPr>
              <w:jc w:val="right"/>
              <w:ind w:right="199"/>
              <w:spacing w:after="0"/>
              <w:rPr>
                <w:sz w:val="20"/>
                <w:szCs w:val="20"/>
                <w:color w:val="auto"/>
              </w:rPr>
            </w:pPr>
            <w:r>
              <w:rPr>
                <w:rFonts w:ascii="Arial" w:cs="Arial" w:eastAsia="Arial" w:hAnsi="Arial"/>
                <w:sz w:val="17"/>
                <w:szCs w:val="17"/>
                <w:color w:val="auto"/>
              </w:rPr>
              <w:t>(12,983)</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(10.4)</w:t>
            </w:r>
          </w:p>
        </w:tc>
        <w:tc>
          <w:tcPr>
            <w:tcW w:w="1240" w:type="dxa"/>
            <w:vAlign w:val="bottom"/>
          </w:tcPr>
          <w:p>
            <w:pPr>
              <w:jc w:val="right"/>
              <w:ind w:right="201"/>
              <w:spacing w:after="0"/>
              <w:rPr>
                <w:sz w:val="20"/>
                <w:szCs w:val="20"/>
                <w:color w:val="auto"/>
              </w:rPr>
            </w:pPr>
            <w:r>
              <w:rPr>
                <w:rFonts w:ascii="Arial" w:cs="Arial" w:eastAsia="Arial" w:hAnsi="Arial"/>
                <w:sz w:val="17"/>
                <w:szCs w:val="17"/>
                <w:color w:val="auto"/>
              </w:rPr>
              <w:t>(23,757)</w:t>
            </w:r>
          </w:p>
        </w:tc>
        <w:tc>
          <w:tcPr>
            <w:tcW w:w="940" w:type="dxa"/>
            <w:vAlign w:val="bottom"/>
          </w:tcPr>
          <w:p>
            <w:pPr>
              <w:jc w:val="right"/>
              <w:ind w:right="39"/>
              <w:spacing w:after="0"/>
              <w:rPr>
                <w:sz w:val="20"/>
                <w:szCs w:val="20"/>
                <w:color w:val="auto"/>
              </w:rPr>
            </w:pPr>
            <w:r>
              <w:rPr>
                <w:rFonts w:ascii="Arial" w:cs="Arial" w:eastAsia="Arial" w:hAnsi="Arial"/>
                <w:sz w:val="17"/>
                <w:szCs w:val="17"/>
                <w:color w:val="auto"/>
              </w:rPr>
              <w:t>(14.9)</w:t>
            </w:r>
          </w:p>
        </w:tc>
        <w:tc>
          <w:tcPr>
            <w:tcW w:w="1200" w:type="dxa"/>
            <w:vAlign w:val="bottom"/>
          </w:tcPr>
          <w:p>
            <w:pPr>
              <w:jc w:val="right"/>
              <w:ind w:right="161"/>
              <w:spacing w:after="0"/>
              <w:rPr>
                <w:sz w:val="20"/>
                <w:szCs w:val="20"/>
                <w:color w:val="auto"/>
              </w:rPr>
            </w:pPr>
            <w:r>
              <w:rPr>
                <w:rFonts w:ascii="Arial" w:cs="Arial" w:eastAsia="Arial" w:hAnsi="Arial"/>
                <w:sz w:val="17"/>
                <w:szCs w:val="17"/>
                <w:color w:val="auto"/>
              </w:rPr>
              <w:t>(20,304)</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left="1300" w:right="700" w:hanging="515"/>
        <w:spacing w:after="0" w:line="270"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 primarily of (i) salary and welfare for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personnel, (ii) rental expenses and (iii) depreciation of office premise and servers utilized by research and development personnel.</w:t>
      </w:r>
    </w:p>
    <w:p>
      <w:pPr>
        <w:spacing w:after="0" w:line="68" w:lineRule="exact"/>
        <w:rPr>
          <w:rFonts w:ascii="Arial" w:cs="Arial" w:eastAsia="Arial" w:hAnsi="Arial"/>
          <w:sz w:val="17"/>
          <w:szCs w:val="17"/>
          <w:color w:val="auto"/>
        </w:rPr>
      </w:pPr>
    </w:p>
    <w:p>
      <w:pPr>
        <w:ind w:left="1300" w:right="280" w:hanging="515"/>
        <w:spacing w:after="0" w:line="286"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consist primarily of (i) advertising and marketing expenses, and (ii) salary and</w:t>
      </w:r>
      <w:r>
        <w:rPr>
          <w:rFonts w:ascii="Arial" w:cs="Arial" w:eastAsia="Arial" w:hAnsi="Arial"/>
          <w:sz w:val="17"/>
          <w:szCs w:val="17"/>
          <w:i w:val="1"/>
          <w:iCs w:val="1"/>
          <w:color w:val="auto"/>
        </w:rPr>
        <w:t xml:space="preserve"> </w:t>
      </w:r>
      <w:r>
        <w:rPr>
          <w:rFonts w:ascii="Arial" w:cs="Arial" w:eastAsia="Arial" w:hAnsi="Arial"/>
          <w:sz w:val="17"/>
          <w:szCs w:val="17"/>
          <w:color w:val="auto"/>
        </w:rPr>
        <w:t>welfare for sales and marketing personnel.</w:t>
      </w:r>
    </w:p>
    <w:p>
      <w:pPr>
        <w:spacing w:after="0" w:line="54" w:lineRule="exact"/>
        <w:rPr>
          <w:rFonts w:ascii="Arial" w:cs="Arial" w:eastAsia="Arial" w:hAnsi="Arial"/>
          <w:sz w:val="17"/>
          <w:szCs w:val="17"/>
          <w:color w:val="auto"/>
        </w:rPr>
      </w:pPr>
    </w:p>
    <w:p>
      <w:pPr>
        <w:ind w:left="1300" w:right="120" w:hanging="515"/>
        <w:spacing w:after="0" w:line="263"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consist primarily of (i) salary and welfare for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personnel, and (ii) professional service fees. Professional service fees primarily related to legal and audit service in connection with our private placements and acquisitions, preparation for our initial public offering, issuance of convertible notes and merger and acquisitions. We expect to continue to invest in our corporate infrastructure and incur expenses related to being a public company, including accounting and legal fees, investor relations costs and compliance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Cayman Islands</w:t>
      </w:r>
    </w:p>
    <w:p>
      <w:pPr>
        <w:spacing w:after="0" w:line="117" w:lineRule="exact"/>
        <w:rPr>
          <w:sz w:val="20"/>
          <w:szCs w:val="20"/>
          <w:color w:val="auto"/>
        </w:rPr>
      </w:pPr>
    </w:p>
    <w:p>
      <w:pPr>
        <w:ind w:right="40" w:firstLine="782"/>
        <w:spacing w:after="0" w:line="270" w:lineRule="auto"/>
        <w:rPr>
          <w:sz w:val="20"/>
          <w:szCs w:val="20"/>
          <w:color w:val="auto"/>
        </w:rPr>
      </w:pPr>
      <w:r>
        <w:rPr>
          <w:rFonts w:ascii="Arial" w:cs="Arial" w:eastAsia="Arial" w:hAnsi="Arial"/>
          <w:sz w:val="17"/>
          <w:szCs w:val="17"/>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British Virgin Islands</w:t>
      </w:r>
    </w:p>
    <w:p>
      <w:pPr>
        <w:spacing w:after="0" w:line="117" w:lineRule="exact"/>
        <w:rPr>
          <w:sz w:val="20"/>
          <w:szCs w:val="20"/>
          <w:color w:val="auto"/>
        </w:rPr>
      </w:pPr>
    </w:p>
    <w:p>
      <w:pPr>
        <w:jc w:val="both"/>
        <w:ind w:right="260" w:firstLine="781"/>
        <w:spacing w:after="0" w:line="356" w:lineRule="auto"/>
        <w:rPr>
          <w:sz w:val="20"/>
          <w:szCs w:val="20"/>
          <w:color w:val="auto"/>
        </w:rPr>
      </w:pPr>
      <w:r>
        <w:rPr>
          <w:rFonts w:ascii="Arial" w:cs="Arial" w:eastAsia="Arial" w:hAnsi="Arial"/>
          <w:sz w:val="15"/>
          <w:szCs w:val="15"/>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117" w:lineRule="exact"/>
        <w:rPr>
          <w:sz w:val="20"/>
          <w:szCs w:val="20"/>
          <w:color w:val="auto"/>
        </w:rPr>
      </w:pPr>
    </w:p>
    <w:p>
      <w:pPr>
        <w:ind w:right="220" w:firstLine="782"/>
        <w:spacing w:after="0" w:line="295" w:lineRule="auto"/>
        <w:rPr>
          <w:sz w:val="20"/>
          <w:szCs w:val="20"/>
          <w:color w:val="auto"/>
        </w:rPr>
      </w:pPr>
      <w:r>
        <w:rPr>
          <w:rFonts w:ascii="Arial" w:cs="Arial" w:eastAsia="Arial" w:hAnsi="Arial"/>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PRC</w:t>
      </w:r>
    </w:p>
    <w:p>
      <w:pPr>
        <w:spacing w:after="0" w:line="117" w:lineRule="exact"/>
        <w:rPr>
          <w:sz w:val="20"/>
          <w:szCs w:val="20"/>
          <w:color w:val="auto"/>
        </w:rPr>
      </w:pPr>
    </w:p>
    <w:p>
      <w:pPr>
        <w:ind w:right="460" w:firstLine="782"/>
        <w:spacing w:after="0" w:line="319" w:lineRule="auto"/>
        <w:rPr>
          <w:sz w:val="20"/>
          <w:szCs w:val="20"/>
          <w:color w:val="auto"/>
        </w:rPr>
      </w:pPr>
      <w:r>
        <w:rPr>
          <w:rFonts w:ascii="Arial" w:cs="Arial" w:eastAsia="Arial" w:hAnsi="Arial"/>
          <w:sz w:val="16"/>
          <w:szCs w:val="16"/>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96" w:lineRule="exact"/>
        <w:rPr>
          <w:sz w:val="20"/>
          <w:szCs w:val="20"/>
          <w:color w:val="auto"/>
        </w:rPr>
      </w:pPr>
    </w:p>
    <w:p>
      <w:pPr>
        <w:ind w:right="100" w:firstLine="781"/>
        <w:spacing w:after="0" w:line="295"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2" w:name="page93"/>
    <w:bookmarkEnd w:id="92"/>
    <w:p>
      <w:pPr>
        <w:ind w:right="20" w:firstLine="782"/>
        <w:spacing w:after="0" w:line="259" w:lineRule="auto"/>
        <w:rPr>
          <w:sz w:val="20"/>
          <w:szCs w:val="20"/>
          <w:color w:val="auto"/>
        </w:rPr>
      </w:pPr>
      <w:r>
        <w:rPr>
          <w:rFonts w:ascii="Arial" w:cs="Arial" w:eastAsia="Arial" w:hAnsi="Arial"/>
          <w:sz w:val="17"/>
          <w:szCs w:val="17"/>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“Item 3. Key Information—D. Risk Factors—Risks Related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86" w:lineRule="exact"/>
        <w:rPr>
          <w:sz w:val="20"/>
          <w:szCs w:val="20"/>
          <w:color w:val="auto"/>
        </w:rPr>
      </w:pPr>
    </w:p>
    <w:p>
      <w:pPr>
        <w:ind w:right="220" w:firstLine="781"/>
        <w:spacing w:after="0" w:line="265" w:lineRule="auto"/>
        <w:rPr>
          <w:sz w:val="20"/>
          <w:szCs w:val="20"/>
          <w:color w:val="auto"/>
        </w:rPr>
      </w:pPr>
      <w:r>
        <w:rPr>
          <w:rFonts w:ascii="Arial" w:cs="Arial" w:eastAsia="Arial" w:hAnsi="Arial"/>
          <w:sz w:val="17"/>
          <w:szCs w:val="17"/>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275" w:lineRule="exact"/>
        <w:rPr>
          <w:sz w:val="20"/>
          <w:szCs w:val="20"/>
          <w:color w:val="auto"/>
        </w:rPr>
      </w:pPr>
    </w:p>
    <w:p>
      <w:pPr>
        <w:ind w:right="5540"/>
        <w:spacing w:after="0" w:line="387" w:lineRule="auto"/>
        <w:rPr>
          <w:sz w:val="20"/>
          <w:szCs w:val="20"/>
          <w:color w:val="auto"/>
        </w:rPr>
      </w:pPr>
      <w:r>
        <w:rPr>
          <w:rFonts w:ascii="Arial" w:cs="Arial" w:eastAsia="Arial" w:hAnsi="Arial"/>
          <w:sz w:val="17"/>
          <w:szCs w:val="17"/>
          <w:b w:val="1"/>
          <w:bCs w:val="1"/>
          <w:color w:val="auto"/>
        </w:rPr>
        <w:t xml:space="preserve">Year Ended December 31, 2019 Compared to Year Ended December 31, 2018 </w:t>
      </w:r>
      <w:r>
        <w:rPr>
          <w:rFonts w:ascii="Arial" w:cs="Arial" w:eastAsia="Arial" w:hAnsi="Arial"/>
          <w:sz w:val="17"/>
          <w:szCs w:val="17"/>
          <w:b w:val="1"/>
          <w:bCs w:val="1"/>
          <w:i w:val="1"/>
          <w:iCs w:val="1"/>
          <w:color w:val="auto"/>
        </w:rPr>
        <w:t>Net Revenues</w:t>
      </w:r>
    </w:p>
    <w:p>
      <w:pPr>
        <w:ind w:right="260" w:firstLine="782"/>
        <w:spacing w:after="0" w:line="286" w:lineRule="auto"/>
        <w:rPr>
          <w:sz w:val="20"/>
          <w:szCs w:val="20"/>
          <w:color w:val="auto"/>
        </w:rPr>
      </w:pPr>
      <w:r>
        <w:rPr>
          <w:rFonts w:ascii="Arial" w:cs="Arial" w:eastAsia="Arial" w:hAnsi="Arial"/>
          <w:sz w:val="17"/>
          <w:szCs w:val="17"/>
          <w:color w:val="auto"/>
        </w:rPr>
        <w:t>Our net revenues increased by US$39.4 million, or 24.6%, from US$160.0 million in 2018 to US$199.4 million in 2019, primarily as a result of an increase in our net revenues from our marketing solutions and the launch and development of our enterprise solutions.</w:t>
      </w:r>
    </w:p>
    <w:p>
      <w:pPr>
        <w:spacing w:after="0" w:line="159" w:lineRule="exact"/>
        <w:rPr>
          <w:sz w:val="20"/>
          <w:szCs w:val="20"/>
          <w:color w:val="auto"/>
        </w:rPr>
      </w:pPr>
    </w:p>
    <w:p>
      <w:pPr>
        <w:ind w:right="80" w:firstLine="782"/>
        <w:spacing w:after="0" w:line="259" w:lineRule="auto"/>
        <w:rPr>
          <w:sz w:val="20"/>
          <w:szCs w:val="20"/>
          <w:color w:val="auto"/>
        </w:rPr>
      </w:pPr>
      <w:r>
        <w:rPr>
          <w:rFonts w:ascii="Arial" w:cs="Arial" w:eastAsia="Arial" w:hAnsi="Arial"/>
          <w:sz w:val="17"/>
          <w:szCs w:val="17"/>
          <w:color w:val="auto"/>
        </w:rPr>
        <w:t>Net revenues from our mobile marketing solutions increased by US$30.7 million, or 21.9% from US$140.4 million in 2018 to US$171.1 million in 2019 as a result of a stronger market demand for our mobile marketing solutions. US$134.8 million, or 41.0 %, of gross billing from mobile marketing solutions was recognized as net revenues on a gross basis in 2018, compared to US$404.0 million, or 71.0%, in 2019. Rebates received from publishers and recognized as net revenues increased by US$45.3 million, or 136%, from US$33.2 million in 2018 to US$78.5 million in 2019 for our mobile marketing solutions because of the growth in gross billing from mobile marketing solutions. We did not receive any incentives from the publishers under our sales agency arrangement in 2019 and 2018 for our mobile marketing solutions. Rebates and discounts granted to our clients and recognized as reduction of revenue increased by US$25.9 million, or 59.0% from US$43.9 million in 2018 to US$69.8 million in 2019 for our mobile marketing solutions as gross billing from mobile marketing solutions increased.</w:t>
      </w:r>
    </w:p>
    <w:p>
      <w:pPr>
        <w:spacing w:after="0" w:line="186" w:lineRule="exact"/>
        <w:rPr>
          <w:sz w:val="20"/>
          <w:szCs w:val="20"/>
          <w:color w:val="auto"/>
        </w:rPr>
      </w:pPr>
    </w:p>
    <w:p>
      <w:pPr>
        <w:ind w:firstLine="782"/>
        <w:spacing w:after="0" w:line="259" w:lineRule="auto"/>
        <w:rPr>
          <w:sz w:val="20"/>
          <w:szCs w:val="20"/>
          <w:color w:val="auto"/>
        </w:rPr>
      </w:pPr>
      <w:r>
        <w:rPr>
          <w:rFonts w:ascii="Arial" w:cs="Arial" w:eastAsia="Arial" w:hAnsi="Arial"/>
          <w:sz w:val="17"/>
          <w:szCs w:val="17"/>
          <w:color w:val="auto"/>
        </w:rPr>
        <w:t>Net revenues from our other marketing solutions decreased by US$1.7 million, or 8.6% from US$19.6 million in 2018 to US$17.9 million in 2019 primarily as a result of our strategic focus on our mobile marketing solutions and enterprise solutions, compared with other marketing solutions. US$4.3 million, or 6.1%, of gross billing from other marketing solutions was recognized as net revenues on a gross basis in 2018, compared to US$2.1 million, or 3.3%, in 2019. Rebates received from publishers and recognized as net revenues increased by US$0.4 million or 12.1% from US$3.3 million in 2018 to US$3.7 million in 2019 for our other marketing solutions as we have negotiated favorable terms with publishers. Incentives received from the publishers under our sales agency arrangement, which were recognized as net revenues decreased by US$2.6 million, or 23.0% from US$11.3 million in 2018 to US$8.7 million in 2019 for our other marketing solutions due to fewer promotions received from the publisher. Rebates granted to our clients and recognized as reduction of revenue decreased by US$0.5 million, or 10.6% from US$5.2 million in 2018 to US$4.7 million in 2019 for our other marketing solutions as we received fewer promotions from the publishers.</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Net revenues from our enterprise solutions was US$10.4 million in 2019.</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i w:val="1"/>
          <w:iCs w:val="1"/>
          <w:color w:val="auto"/>
        </w:rPr>
        <w:t>Cost of Revenues, Gross Profit and Gross Profit Margin</w:t>
      </w:r>
    </w:p>
    <w:p>
      <w:pPr>
        <w:spacing w:after="0" w:line="185"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11430</wp:posOffset>
            </wp:positionV>
            <wp:extent cx="25114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(US$ in thousands, except %)</w:t>
            </w: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848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980" w:type="dxa"/>
            <w:vAlign w:val="bottom"/>
            <w:tcBorders>
              <w:bottom w:val="single" w:sz="8" w:color="CCEEFF"/>
            </w:tcBorders>
            <w:shd w:val="clear" w:color="auto" w:fill="CCEEFF"/>
          </w:tcPr>
          <w:p>
            <w:pPr>
              <w:jc w:val="right"/>
              <w:ind w:right="1140"/>
              <w:spacing w:after="0"/>
              <w:rPr>
                <w:sz w:val="20"/>
                <w:szCs w:val="20"/>
                <w:color w:val="auto"/>
              </w:rPr>
            </w:pPr>
            <w:r>
              <w:rPr>
                <w:rFonts w:ascii="Arial" w:cs="Arial" w:eastAsia="Arial" w:hAnsi="Arial"/>
                <w:sz w:val="17"/>
                <w:szCs w:val="17"/>
                <w:color w:val="auto"/>
              </w:rPr>
              <w:t>(120,897)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(142,703)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1980" w:type="dxa"/>
            <w:vAlign w:val="bottom"/>
          </w:tcPr>
          <w:p>
            <w:pPr>
              <w:jc w:val="right"/>
              <w:ind w:right="1140"/>
              <w:spacing w:after="0"/>
              <w:rPr>
                <w:sz w:val="20"/>
                <w:szCs w:val="20"/>
                <w:color w:val="auto"/>
              </w:rPr>
            </w:pPr>
            <w:r>
              <w:rPr>
                <w:rFonts w:ascii="Arial" w:cs="Arial" w:eastAsia="Arial" w:hAnsi="Arial"/>
                <w:sz w:val="17"/>
                <w:szCs w:val="17"/>
                <w:color w:val="auto"/>
              </w:rPr>
              <w:t>39,120</w:t>
            </w:r>
          </w:p>
        </w:tc>
        <w:tc>
          <w:tcPr>
            <w:tcW w:w="760" w:type="dxa"/>
            <w:vAlign w:val="bottom"/>
          </w:tcPr>
          <w:p>
            <w:pPr>
              <w:jc w:val="right"/>
              <w:spacing w:after="0"/>
              <w:rPr>
                <w:sz w:val="20"/>
                <w:szCs w:val="20"/>
                <w:color w:val="auto"/>
              </w:rPr>
            </w:pPr>
            <w:r>
              <w:rPr>
                <w:rFonts w:ascii="Arial" w:cs="Arial" w:eastAsia="Arial" w:hAnsi="Arial"/>
                <w:sz w:val="17"/>
                <w:szCs w:val="17"/>
                <w:color w:val="auto"/>
              </w:rPr>
              <w:t>56,705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 margin</w:t>
            </w:r>
          </w:p>
        </w:tc>
        <w:tc>
          <w:tcPr>
            <w:tcW w:w="1980" w:type="dxa"/>
            <w:vAlign w:val="bottom"/>
            <w:shd w:val="clear" w:color="auto" w:fill="CCEEFF"/>
          </w:tcPr>
          <w:p>
            <w:pPr>
              <w:jc w:val="right"/>
              <w:ind w:right="1140"/>
              <w:spacing w:after="0"/>
              <w:rPr>
                <w:sz w:val="20"/>
                <w:szCs w:val="20"/>
                <w:color w:val="auto"/>
              </w:rPr>
            </w:pPr>
            <w:r>
              <w:rPr>
                <w:rFonts w:ascii="Arial" w:cs="Arial" w:eastAsia="Arial" w:hAnsi="Arial"/>
                <w:sz w:val="17"/>
                <w:szCs w:val="17"/>
                <w:color w:val="auto"/>
              </w:rPr>
              <w:t>24.4%</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firstLine="782"/>
        <w:spacing w:after="0" w:line="295" w:lineRule="auto"/>
        <w:rPr>
          <w:sz w:val="20"/>
          <w:szCs w:val="20"/>
          <w:color w:val="auto"/>
        </w:rPr>
      </w:pPr>
      <w:r>
        <w:rPr>
          <w:rFonts w:ascii="Arial" w:cs="Arial" w:eastAsia="Arial" w:hAnsi="Arial"/>
          <w:sz w:val="16"/>
          <w:szCs w:val="16"/>
          <w:color w:val="auto"/>
        </w:rPr>
        <w:t>Our cost of revenues increased by US$21.8 million, or 18.0%, from US$120.9 million in 2018 to US$142.7 million in 2019, primarily as a result of an increase in media cost, which increased by US$21.4 million, or 18.4%, from US$116.2 million in 2018 to US$137.6 million in 2019 as a result of our sales growth during the year. 25.8% of our gross billing in 2019 was recognized as net revenues on a gross basis, compared to 34.8% in 2018.</w:t>
      </w:r>
    </w:p>
    <w:p>
      <w:pPr>
        <w:spacing w:after="0" w:line="154" w:lineRule="exact"/>
        <w:rPr>
          <w:sz w:val="20"/>
          <w:szCs w:val="20"/>
          <w:color w:val="auto"/>
        </w:rPr>
      </w:pPr>
    </w:p>
    <w:p>
      <w:pPr>
        <w:ind w:right="80" w:firstLine="782"/>
        <w:spacing w:after="0" w:line="286" w:lineRule="auto"/>
        <w:rPr>
          <w:sz w:val="20"/>
          <w:szCs w:val="20"/>
          <w:color w:val="auto"/>
        </w:rPr>
      </w:pPr>
      <w:r>
        <w:rPr>
          <w:rFonts w:ascii="Arial" w:cs="Arial" w:eastAsia="Arial" w:hAnsi="Arial"/>
          <w:sz w:val="17"/>
          <w:szCs w:val="17"/>
          <w:color w:val="auto"/>
        </w:rPr>
        <w:t>Cost of revenues for our mobile marketing solutions increased by US$19.1 million, or 15.9%, from US$120.0 million in 2018 to US$139.1 million in 2019, while cost of revenues for our other marketing solutions remained stable at US$0.9 million in 2018 and 2019 respectively.</w:t>
      </w:r>
    </w:p>
    <w:p>
      <w:pPr>
        <w:spacing w:after="0" w:line="159" w:lineRule="exact"/>
        <w:rPr>
          <w:sz w:val="20"/>
          <w:szCs w:val="20"/>
          <w:color w:val="auto"/>
        </w:rPr>
      </w:pPr>
    </w:p>
    <w:p>
      <w:pPr>
        <w:ind w:right="20" w:firstLine="782"/>
        <w:spacing w:after="0" w:line="261" w:lineRule="auto"/>
        <w:rPr>
          <w:sz w:val="20"/>
          <w:szCs w:val="20"/>
          <w:color w:val="auto"/>
        </w:rPr>
      </w:pPr>
      <w:r>
        <w:rPr>
          <w:rFonts w:ascii="Arial" w:cs="Arial" w:eastAsia="Arial" w:hAnsi="Arial"/>
          <w:sz w:val="17"/>
          <w:szCs w:val="17"/>
          <w:color w:val="auto"/>
        </w:rPr>
        <w:t>The increase in cost of revenues for our mobile marketing solutions was in line with the growth of gross billing from mobile marketing solutions. US$165.0 million, or 29.2%, of gross billing from mobile marketing solutions was recognized as net revenues on a gross basis in 2019, compared to US$134.8 million, or 41.0%, in 2018. No rebate or discount we granted was recognized as cost of revenues for our mobile marketing solutions in 2017 or 2018 as they were recorded as a reduction of revenue. Rebates received from website publishers recognized as deduction of cost of revenues increased by US$42.9 million, or 224.6% from US$19.1 million in 2018 to US$62.0 million in 2019 for our mobile marketing solutions as gross billing from mobile marketing solutions increased.</w:t>
      </w:r>
    </w:p>
    <w:p>
      <w:pPr>
        <w:spacing w:after="0" w:line="182" w:lineRule="exact"/>
        <w:rPr>
          <w:sz w:val="20"/>
          <w:szCs w:val="20"/>
          <w:color w:val="auto"/>
        </w:rPr>
      </w:pPr>
    </w:p>
    <w:p>
      <w:pPr>
        <w:ind w:right="520" w:firstLine="782"/>
        <w:spacing w:after="0" w:line="286" w:lineRule="auto"/>
        <w:rPr>
          <w:sz w:val="20"/>
          <w:szCs w:val="20"/>
          <w:color w:val="auto"/>
        </w:rPr>
      </w:pPr>
      <w:r>
        <w:rPr>
          <w:rFonts w:ascii="Arial" w:cs="Arial" w:eastAsia="Arial" w:hAnsi="Arial"/>
          <w:sz w:val="17"/>
          <w:szCs w:val="17"/>
          <w:color w:val="auto"/>
        </w:rPr>
        <w:t>The cost of revenues from our other marketing solutions remained unchanged and it was in line with the relative stable gross billing from other marketing solutions.</w:t>
      </w:r>
    </w:p>
    <w:p>
      <w:pPr>
        <w:spacing w:after="0" w:line="159" w:lineRule="exact"/>
        <w:rPr>
          <w:sz w:val="20"/>
          <w:szCs w:val="20"/>
          <w:color w:val="auto"/>
        </w:rPr>
      </w:pPr>
    </w:p>
    <w:p>
      <w:pPr>
        <w:ind w:right="80" w:firstLine="782"/>
        <w:spacing w:after="0" w:line="356" w:lineRule="auto"/>
        <w:rPr>
          <w:sz w:val="20"/>
          <w:szCs w:val="20"/>
          <w:color w:val="auto"/>
        </w:rPr>
      </w:pPr>
      <w:r>
        <w:rPr>
          <w:rFonts w:ascii="Arial" w:cs="Arial" w:eastAsia="Arial" w:hAnsi="Arial"/>
          <w:sz w:val="15"/>
          <w:szCs w:val="15"/>
          <w:color w:val="auto"/>
        </w:rPr>
        <w:t>Starting from 2019, we have also generated revenue from high margin SaaS products which are cloud-hosted software offering enterprise solutions to customers through provision of software licenses and retail and CRM solutions. Cost of revenue for our enterprise solutions was US$2.7 million in 2019.</w:t>
      </w:r>
    </w:p>
    <w:p>
      <w:pPr>
        <w:spacing w:after="0" w:line="113" w:lineRule="exact"/>
        <w:rPr>
          <w:sz w:val="20"/>
          <w:szCs w:val="20"/>
          <w:color w:val="auto"/>
        </w:rPr>
      </w:pPr>
    </w:p>
    <w:p>
      <w:pPr>
        <w:ind w:right="40" w:firstLine="782"/>
        <w:spacing w:after="0" w:line="265" w:lineRule="auto"/>
        <w:rPr>
          <w:sz w:val="20"/>
          <w:szCs w:val="20"/>
          <w:color w:val="auto"/>
        </w:rPr>
      </w:pPr>
      <w:r>
        <w:rPr>
          <w:rFonts w:ascii="Arial" w:cs="Arial" w:eastAsia="Arial" w:hAnsi="Arial"/>
          <w:sz w:val="17"/>
          <w:szCs w:val="17"/>
          <w:color w:val="auto"/>
        </w:rPr>
        <w:t>As a result of the above, our gross profit increased from US$39.1 million in 2018 to US$56.7 million in 2019. Specifically, gross profit for our mobile marketing solutions increased by US$11.5 million, or 56.1%, from US$20.5 million in 2018 to US$32.0 million in 2019, partially offset by a decrease in our gross profit for our other marketing solutions of US$1.6 million, or 8.6%, from US$18.6 million in 2018 to US$17.0 million in 2019. Our gross profit for enterprise solutions was US$7.7 million in 2019.</w:t>
      </w:r>
    </w:p>
    <w:p>
      <w:pPr>
        <w:spacing w:after="0" w:line="177" w:lineRule="exact"/>
        <w:rPr>
          <w:sz w:val="20"/>
          <w:szCs w:val="20"/>
          <w:color w:val="auto"/>
        </w:rPr>
      </w:pPr>
    </w:p>
    <w:p>
      <w:pPr>
        <w:ind w:right="40" w:firstLine="782"/>
        <w:spacing w:after="0" w:line="265" w:lineRule="auto"/>
        <w:rPr>
          <w:sz w:val="20"/>
          <w:szCs w:val="20"/>
          <w:color w:val="auto"/>
        </w:rPr>
      </w:pPr>
      <w:r>
        <w:rPr>
          <w:rFonts w:ascii="Arial" w:cs="Arial" w:eastAsia="Arial" w:hAnsi="Arial"/>
          <w:sz w:val="17"/>
          <w:szCs w:val="17"/>
          <w:color w:val="auto"/>
        </w:rPr>
        <w:t>Our gross profit margin increased from 24.4% in 2018 to 28.4% in 2019 primarily due to our continued client base optimization to focus on profitability and liquidity, and contribution from the newly launched enterprise solutions with higher margin. Gross profit margin for our mobile marketing solutions increased from 14.6% in 2018 to 18.7% in 2019. Gross profit margin for our other marketing solutions remained stable at 95.2% in 2018 and 2019. Our gross profit margin for enterprise solutions was 73.9% in 2019.</w:t>
      </w:r>
    </w:p>
    <w:p>
      <w:pPr>
        <w:spacing w:after="0" w:line="177" w:lineRule="exact"/>
        <w:rPr>
          <w:sz w:val="20"/>
          <w:szCs w:val="20"/>
          <w:color w:val="auto"/>
        </w:rPr>
      </w:pPr>
    </w:p>
    <w:p>
      <w:pPr>
        <w:ind w:right="80" w:firstLine="782"/>
        <w:spacing w:after="0" w:line="276" w:lineRule="auto"/>
        <w:rPr>
          <w:sz w:val="20"/>
          <w:szCs w:val="20"/>
          <w:color w:val="auto"/>
        </w:rPr>
      </w:pPr>
      <w:r>
        <w:rPr>
          <w:rFonts w:ascii="Arial" w:cs="Arial" w:eastAsia="Arial" w:hAnsi="Arial"/>
          <w:sz w:val="16"/>
          <w:szCs w:val="16"/>
          <w:color w:val="auto"/>
        </w:rPr>
        <w:t>Mobile marketing solutions are relatively nascent compared to other marketing solutions, with companies competing for more market share as they enter into this market and as mobile apps publishers tend to have stronger bargaining power compared to other online publishers as a result of the growing popularity of mobile apps. Due to this competitive landscape and pricing pressure, mobile marketing solutions tend to command a lower gross profit margin compared to non-mobile marketing solutions. Furthermore, as we continue to focus on the growth of our mobile marketing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In addition, consistent with the general industry trends for online marketing on mobile channels and on non-mobile channels, the percentage of gross billing from our mobile marketing solutions recognized as net revenues on a gross basis in 2018 and 2019 was 41.0% and 29.2% respectively, greater than compared to that for our other marketing solutions of 6.1% in 2019 and 3.3% respectively, for the same periods. As a result, gross profit margin for our mobile marketing solutions in 2018 and 2019 was significantly lower than that for our other marketing solutions for the same periods.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jc w:val="both"/>
        <w:ind w:right="380" w:firstLine="782"/>
        <w:spacing w:after="0" w:line="295" w:lineRule="auto"/>
        <w:rPr>
          <w:sz w:val="20"/>
          <w:szCs w:val="20"/>
          <w:color w:val="auto"/>
        </w:rPr>
      </w:pPr>
      <w:r>
        <w:rPr>
          <w:rFonts w:ascii="Arial" w:cs="Arial" w:eastAsia="Arial" w:hAnsi="Arial"/>
          <w:sz w:val="16"/>
          <w:szCs w:val="16"/>
          <w:color w:val="auto"/>
        </w:rPr>
        <w:t>Our operating expenses increased by US$2.3 million, or 3.4%, in 2019 compared to 2018, primarily due to an increase in our operating expenses incurred for new business, convertible notes issuance cost and professional fees in relation to acquisitions, partially offset by the decrease in our share-based compensation. The operating expenses as a percentage of net revenues decreased from 41.6% in 2018 to 34.5% in 2019.</w:t>
      </w:r>
    </w:p>
    <w:p>
      <w:pPr>
        <w:spacing w:after="0" w:line="50" w:lineRule="exact"/>
        <w:rPr>
          <w:sz w:val="20"/>
          <w:szCs w:val="20"/>
          <w:color w:val="auto"/>
        </w:rPr>
      </w:pPr>
    </w:p>
    <w:p>
      <w:pPr>
        <w:jc w:val="both"/>
        <w:ind w:left="1300" w:hanging="515"/>
        <w:spacing w:after="0" w:line="265"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Our sales and marketing expenses increased by US$10.9 million, or 33.9%, from US$32.1 million in 2018 to</w:t>
      </w:r>
      <w:r>
        <w:rPr>
          <w:rFonts w:ascii="Arial" w:cs="Arial" w:eastAsia="Arial" w:hAnsi="Arial"/>
          <w:sz w:val="17"/>
          <w:szCs w:val="17"/>
          <w:i w:val="1"/>
          <w:iCs w:val="1"/>
          <w:color w:val="auto"/>
        </w:rPr>
        <w:t xml:space="preserve"> </w:t>
      </w:r>
      <w:r>
        <w:rPr>
          <w:rFonts w:ascii="Arial" w:cs="Arial" w:eastAsia="Arial" w:hAnsi="Arial"/>
          <w:sz w:val="17"/>
          <w:szCs w:val="17"/>
          <w:color w:val="auto"/>
        </w:rPr>
        <w:t>US$43.0 million in 2019. The increase was primarily due to an increase in staff cost, and marketing and promotion expenses in relation to our new business development and our tenth anniversary. Sales and marketing expenses as a percentage of net revenues increased from 20.0% in 2018 to 21.5% in 2019.</w:t>
      </w:r>
    </w:p>
    <w:p>
      <w:pPr>
        <w:spacing w:after="0" w:line="73" w:lineRule="exact"/>
        <w:rPr>
          <w:rFonts w:ascii="Arial" w:cs="Arial" w:eastAsia="Arial" w:hAnsi="Arial"/>
          <w:sz w:val="17"/>
          <w:szCs w:val="17"/>
          <w:color w:val="auto"/>
        </w:rPr>
      </w:pPr>
    </w:p>
    <w:p>
      <w:pPr>
        <w:ind w:left="1300" w:right="40" w:hanging="515"/>
        <w:spacing w:after="0" w:line="265"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decreased by US$3.5 million, or 14.5%, from US$23.8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2018 to US$20.3 million in 2019, primarily due to a decrease in share-based compensation expenses, partially offset by the increase in convertible notes issuance cost and professional fees in relation to acquisitions. General and administrative expenses as a percentage of net revenues decreased from 14.8% in 2018 to 10.2% in 2019.</w:t>
      </w:r>
    </w:p>
    <w:p>
      <w:pPr>
        <w:spacing w:after="0" w:line="73" w:lineRule="exact"/>
        <w:rPr>
          <w:rFonts w:ascii="Arial" w:cs="Arial" w:eastAsia="Arial" w:hAnsi="Arial"/>
          <w:sz w:val="17"/>
          <w:szCs w:val="17"/>
          <w:color w:val="auto"/>
        </w:rPr>
      </w:pPr>
    </w:p>
    <w:p>
      <w:pPr>
        <w:ind w:left="1300" w:right="140" w:hanging="515"/>
        <w:spacing w:after="0" w:line="323" w:lineRule="auto"/>
        <w:tabs>
          <w:tab w:leader="none" w:pos="130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Our research and development expenses decreased by US$5.2 million, or 48.1%, from US$10.7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in 2018 to US$5.6 million in 2019, primarily due to a decrease in share-based compensation for research and development personnel. As a result, research and development expenses as a percentage of our net revenues decreased from 6.7% in 2018 to 2.8% in 2019.</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Our interest income was US$0.4 million and US$0.5 million in 2018 and 2019, respectively.</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7" w:lineRule="exact"/>
        <w:rPr>
          <w:sz w:val="20"/>
          <w:szCs w:val="20"/>
          <w:color w:val="auto"/>
        </w:rPr>
      </w:pPr>
    </w:p>
    <w:p>
      <w:pPr>
        <w:ind w:right="80" w:firstLine="782"/>
        <w:spacing w:after="0" w:line="286" w:lineRule="auto"/>
        <w:rPr>
          <w:sz w:val="20"/>
          <w:szCs w:val="20"/>
          <w:color w:val="auto"/>
        </w:rPr>
      </w:pPr>
      <w:r>
        <w:rPr>
          <w:rFonts w:ascii="Arial" w:cs="Arial" w:eastAsia="Arial" w:hAnsi="Arial"/>
          <w:sz w:val="17"/>
          <w:szCs w:val="17"/>
          <w:color w:val="auto"/>
        </w:rPr>
        <w:t>Our interest expense was US$0.8 million and US$1.9 million in 2018 and 2019, respectively. The change was primarily attributable to the increase in banking facilities provided by additional banks in 2019.</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Gains, Net</w:t>
      </w:r>
    </w:p>
    <w:p>
      <w:pPr>
        <w:spacing w:after="0" w:line="117" w:lineRule="exact"/>
        <w:rPr>
          <w:sz w:val="20"/>
          <w:szCs w:val="20"/>
          <w:color w:val="auto"/>
        </w:rPr>
      </w:pPr>
    </w:p>
    <w:p>
      <w:pPr>
        <w:ind w:right="480" w:firstLine="781"/>
        <w:spacing w:after="0" w:line="286" w:lineRule="auto"/>
        <w:rPr>
          <w:sz w:val="20"/>
          <w:szCs w:val="20"/>
          <w:color w:val="auto"/>
        </w:rPr>
      </w:pPr>
      <w:r>
        <w:rPr>
          <w:rFonts w:ascii="Arial" w:cs="Arial" w:eastAsia="Arial" w:hAnsi="Arial"/>
          <w:sz w:val="17"/>
          <w:szCs w:val="17"/>
          <w:color w:val="auto"/>
        </w:rPr>
        <w:t>Our other gains, net was US$0.7 million in 2018, compared to other gains, net of US$3.0 million in 2019. The change was primarily because of subsidy granted by relevant government authorities in China during 2019.</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(Losses)/Gains on Convertible Notes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 recorded fair value gains on convertible notes of US$0.1 million for 2019, compared with fair value losses on convertible notes of US$4.8 million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for 2018.</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17" w:lineRule="exact"/>
        <w:rPr>
          <w:sz w:val="20"/>
          <w:szCs w:val="20"/>
          <w:color w:val="auto"/>
        </w:rPr>
      </w:pPr>
    </w:p>
    <w:p>
      <w:pPr>
        <w:ind w:right="100" w:firstLine="781"/>
        <w:spacing w:after="0" w:line="286" w:lineRule="auto"/>
        <w:rPr>
          <w:sz w:val="20"/>
          <w:szCs w:val="20"/>
          <w:color w:val="auto"/>
        </w:rPr>
      </w:pPr>
      <w:r>
        <w:rPr>
          <w:rFonts w:ascii="Arial" w:cs="Arial" w:eastAsia="Arial" w:hAnsi="Arial"/>
          <w:sz w:val="17"/>
          <w:szCs w:val="17"/>
          <w:color w:val="auto"/>
        </w:rPr>
        <w:t>We recorded an income tax expenses of US$0.7 million and US$47 thousands in 2018 and 2019, respectively. The decrease was primarily because of changes in profit or loss of our subsidiaries with different tax rates and reduction of non-deductible expenses.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As a result of the foregoing, our net loss decreased by 67% from US$32.6 million in 2018 to US$10.8 million in 2019.</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5" w:name="page96"/>
    <w:bookmarkEnd w:id="95"/>
    <w:p>
      <w:pPr>
        <w:ind w:right="5540"/>
        <w:spacing w:after="0" w:line="387" w:lineRule="auto"/>
        <w:rPr>
          <w:sz w:val="20"/>
          <w:szCs w:val="20"/>
          <w:color w:val="auto"/>
        </w:rPr>
      </w:pPr>
      <w:r>
        <w:rPr>
          <w:rFonts w:ascii="Arial" w:cs="Arial" w:eastAsia="Arial" w:hAnsi="Arial"/>
          <w:sz w:val="17"/>
          <w:szCs w:val="17"/>
          <w:b w:val="1"/>
          <w:bCs w:val="1"/>
          <w:color w:val="auto"/>
        </w:rPr>
        <w:t xml:space="preserve">Year Ended December 31, 2018 Compared to Year Ended December 31, 2017 </w:t>
      </w:r>
      <w:r>
        <w:rPr>
          <w:rFonts w:ascii="Arial" w:cs="Arial" w:eastAsia="Arial" w:hAnsi="Arial"/>
          <w:sz w:val="17"/>
          <w:szCs w:val="17"/>
          <w:b w:val="1"/>
          <w:bCs w:val="1"/>
          <w:i w:val="1"/>
          <w:iCs w:val="1"/>
          <w:color w:val="auto"/>
        </w:rPr>
        <w:t>Net Revenues</w:t>
      </w:r>
    </w:p>
    <w:p>
      <w:pPr>
        <w:ind w:right="120" w:firstLine="782"/>
        <w:spacing w:after="0" w:line="263" w:lineRule="auto"/>
        <w:rPr>
          <w:sz w:val="20"/>
          <w:szCs w:val="20"/>
          <w:color w:val="auto"/>
        </w:rPr>
      </w:pPr>
      <w:r>
        <w:rPr>
          <w:rFonts w:ascii="Arial" w:cs="Arial" w:eastAsia="Arial" w:hAnsi="Arial"/>
          <w:sz w:val="17"/>
          <w:szCs w:val="17"/>
          <w:color w:val="auto"/>
        </w:rPr>
        <w:t>Our net revenues increased by US$34.7 million, or 27.7%, from US$125.3 million in 2017 to US$160.0 million in 2018, primarily as a result of an increase in our net revenues from our mobile marketing solutions, and partially offset by the effect of adoption of ASC 606 “Revenue from Contracts with Customers” using the modified retrospective method on January 1, 2018. As a result of the adoption of ASC 606, rebates we grant under our sales agency arrangements are presented net of revenues, as opposed to being included as in cost of revenues in prior periods, and resulted in a two percentage point decrease in net revenues when compared with 2017.</w:t>
      </w:r>
    </w:p>
    <w:p>
      <w:pPr>
        <w:spacing w:after="0" w:line="178" w:lineRule="exact"/>
        <w:rPr>
          <w:sz w:val="20"/>
          <w:szCs w:val="20"/>
          <w:color w:val="auto"/>
        </w:rPr>
      </w:pPr>
    </w:p>
    <w:p>
      <w:pPr>
        <w:ind w:right="60" w:firstLine="782"/>
        <w:spacing w:after="0" w:line="259" w:lineRule="auto"/>
        <w:rPr>
          <w:sz w:val="20"/>
          <w:szCs w:val="20"/>
          <w:color w:val="auto"/>
        </w:rPr>
      </w:pPr>
      <w:r>
        <w:rPr>
          <w:rFonts w:ascii="Arial" w:cs="Arial" w:eastAsia="Arial" w:hAnsi="Arial"/>
          <w:sz w:val="17"/>
          <w:szCs w:val="17"/>
          <w:color w:val="auto"/>
        </w:rPr>
        <w:t>Net revenues from our mobile marketing solutions increased by US$39.0 million, or 38.5% from US$101.4 million in 2017 to US$140.4 million in 2018 as a result of a stronger market demand for our mobile marketing solutions. US$98.5 million, or 57.2%, of gross billing from mobile marketing solutions was recognized as net revenues on a gross basis in 2017, compared to US$134.8 million, or 41.0%, in 2018. Rebates received from publishers and recognized as net revenues increased by US$20.2 million, or 155.9%, from US$13.0 million in 2017 to US$33.2 million in 2018 for our mobile marketing solutions because of the growth in gross billing from mobile marketing solutions. We did not receive any incentives from the publisher under our sales agency arrangement in 2017 and 2018 for our mobile marketing solutions. Rebates and discounts granted to our clients and recognized as reduction of revenue increased by US$21.5 million, or 95.9% from US$22.4 million in 2017 to US$43.9 million in 2018 for our mobile marketing solutions as gross billing from mobile marketing solutions increased and also as a result of our adoption of ASC 606.</w:t>
      </w:r>
    </w:p>
    <w:p>
      <w:pPr>
        <w:spacing w:after="0" w:line="186" w:lineRule="exact"/>
        <w:rPr>
          <w:sz w:val="20"/>
          <w:szCs w:val="20"/>
          <w:color w:val="auto"/>
        </w:rPr>
      </w:pPr>
    </w:p>
    <w:p>
      <w:pPr>
        <w:ind w:firstLine="782"/>
        <w:spacing w:after="0" w:line="277" w:lineRule="auto"/>
        <w:rPr>
          <w:sz w:val="20"/>
          <w:szCs w:val="20"/>
          <w:color w:val="auto"/>
        </w:rPr>
      </w:pPr>
      <w:r>
        <w:rPr>
          <w:rFonts w:ascii="Arial" w:cs="Arial" w:eastAsia="Arial" w:hAnsi="Arial"/>
          <w:sz w:val="16"/>
          <w:szCs w:val="16"/>
          <w:color w:val="auto"/>
        </w:rPr>
        <w:t>Net revenues from our other marketing solutions decreased by US$4.2 million or 17.8% from US$23.8 million in 2017 to US$19.6 million in 2018 primarily as a result of our strategic focus on our mobile marketing solutions compared with other marketing solutions. US$7.7 million, or 10.1%, of gross billing from other marketing solutions was recognized as net revenues on a gross basis in 2017, compared to US$4.3 million, or 6.1%, in 2018. Rebates received from publishers and recognized as net revenues increased by US$1.2 million or 51.9% from US$2.1 million in 2017 to US$3.3 million in 2018 for our other marketing solutions as gross billing from other marketing solutions that were conducted on a cost-plus basis decreased. Incentives received from the publisher under our sales agency arrangement, which were recognized as net revenues increased by US$3.0 million, or 36.3% from US$8.3 million in 2017 to US$11.3 million in 2018 for our other marketing solutions due to promotions received from the publisher. Rebates granted to our clients and recognized as reduction of revenue increased by US$0.7 million, or 34.8% from US$1.9 million in 2017 to US$5.2 million in 2018 for our other marketing solutions as we benefited our clients after getting higher promotion rates from the publishers and also as a result of our adoption of ASC 606.</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Gross Profit and Gross Profit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52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20" w:type="dxa"/>
            <w:vAlign w:val="bottom"/>
            <w:gridSpan w:val="2"/>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52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in thousands, except %)</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9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0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1320" w:type="dxa"/>
            <w:vAlign w:val="bottom"/>
            <w:shd w:val="clear" w:color="auto" w:fill="CFF0FC"/>
          </w:tcPr>
          <w:p>
            <w:pPr>
              <w:jc w:val="right"/>
              <w:ind w:right="578"/>
              <w:spacing w:after="0"/>
              <w:rPr>
                <w:sz w:val="20"/>
                <w:szCs w:val="20"/>
                <w:color w:val="auto"/>
              </w:rPr>
            </w:pPr>
            <w:r>
              <w:rPr>
                <w:rFonts w:ascii="Arial" w:cs="Arial" w:eastAsia="Arial" w:hAnsi="Arial"/>
                <w:sz w:val="17"/>
                <w:szCs w:val="17"/>
                <w:color w:val="auto"/>
              </w:rPr>
              <w:t>(95,733)</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(120,897)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7"/>
                <w:szCs w:val="17"/>
                <w:color w:val="auto"/>
              </w:rPr>
              <w:t>Gross profit</w:t>
            </w:r>
          </w:p>
        </w:tc>
        <w:tc>
          <w:tcPr>
            <w:tcW w:w="1320" w:type="dxa"/>
            <w:vAlign w:val="bottom"/>
          </w:tcPr>
          <w:p>
            <w:pPr>
              <w:jc w:val="right"/>
              <w:ind w:right="578"/>
              <w:spacing w:after="0"/>
              <w:rPr>
                <w:sz w:val="20"/>
                <w:szCs w:val="20"/>
                <w:color w:val="auto"/>
              </w:rPr>
            </w:pPr>
            <w:r>
              <w:rPr>
                <w:rFonts w:ascii="Arial" w:cs="Arial" w:eastAsia="Arial" w:hAnsi="Arial"/>
                <w:sz w:val="17"/>
                <w:szCs w:val="17"/>
                <w:color w:val="auto"/>
              </w:rPr>
              <w:t>29,525</w:t>
            </w:r>
          </w:p>
        </w:tc>
        <w:tc>
          <w:tcPr>
            <w:tcW w:w="700" w:type="dxa"/>
            <w:vAlign w:val="bottom"/>
          </w:tcPr>
          <w:p>
            <w:pPr>
              <w:jc w:val="right"/>
              <w:spacing w:after="0"/>
              <w:rPr>
                <w:sz w:val="20"/>
                <w:szCs w:val="20"/>
                <w:color w:val="auto"/>
              </w:rPr>
            </w:pPr>
            <w:r>
              <w:rPr>
                <w:rFonts w:ascii="Arial" w:cs="Arial" w:eastAsia="Arial" w:hAnsi="Arial"/>
                <w:sz w:val="17"/>
                <w:szCs w:val="17"/>
                <w:color w:val="auto"/>
              </w:rPr>
              <w:t>39,120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00" w:type="dxa"/>
            <w:vAlign w:val="bottom"/>
            <w:shd w:val="clear" w:color="auto" w:fill="CFF0FC"/>
          </w:tcPr>
          <w:p>
            <w:pPr>
              <w:spacing w:after="0"/>
              <w:rPr>
                <w:sz w:val="20"/>
                <w:szCs w:val="20"/>
                <w:color w:val="auto"/>
              </w:rPr>
            </w:pPr>
            <w:r>
              <w:rPr>
                <w:rFonts w:ascii="Arial" w:cs="Arial" w:eastAsia="Arial" w:hAnsi="Arial"/>
                <w:sz w:val="17"/>
                <w:szCs w:val="17"/>
                <w:color w:val="auto"/>
              </w:rPr>
              <w:t>Gross profit margin</w:t>
            </w:r>
          </w:p>
        </w:tc>
        <w:tc>
          <w:tcPr>
            <w:tcW w:w="1320" w:type="dxa"/>
            <w:vAlign w:val="bottom"/>
            <w:shd w:val="clear" w:color="auto" w:fill="CFF0FC"/>
          </w:tcPr>
          <w:p>
            <w:pPr>
              <w:jc w:val="right"/>
              <w:ind w:right="578"/>
              <w:spacing w:after="0"/>
              <w:rPr>
                <w:sz w:val="20"/>
                <w:szCs w:val="20"/>
                <w:color w:val="auto"/>
              </w:rPr>
            </w:pPr>
            <w:r>
              <w:rPr>
                <w:rFonts w:ascii="Arial" w:cs="Arial" w:eastAsia="Arial" w:hAnsi="Arial"/>
                <w:sz w:val="17"/>
                <w:szCs w:val="17"/>
                <w:color w:val="auto"/>
              </w:rPr>
              <w:t>23.6%</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0" w:firstLine="782"/>
        <w:spacing w:after="0" w:line="263" w:lineRule="auto"/>
        <w:rPr>
          <w:sz w:val="20"/>
          <w:szCs w:val="20"/>
          <w:color w:val="auto"/>
        </w:rPr>
      </w:pPr>
      <w:r>
        <w:rPr>
          <w:rFonts w:ascii="Arial" w:cs="Arial" w:eastAsia="Arial" w:hAnsi="Arial"/>
          <w:sz w:val="17"/>
          <w:szCs w:val="17"/>
          <w:color w:val="auto"/>
        </w:rPr>
        <w:t>Our cost of revenues increased by US$25.2 million, or 26.3%, from US$95.7 million in 2017 to US$120.9 million in 2018, primarily as a result of an increase in media cost, which increased by US$27.2 million, or 30.6%, from US$89.0 million in 2017 to US$116.2 million in 2018 as a result of our sales growth during the year. 34.8% of our gross billing in 2018 was recognized as net revenues on a gross basis, compared to 42.8% in 2017. Cost of revenues for our mobile marketing solutions increased by US$29.1 million, or 32.0%, from US$90.9 million to US$120.0 million, while cost of revenues for our other marketing solutions decreased by US$3.9 million, or 80.5%, from US$4.8 million to US$0.9 million.</w:t>
      </w:r>
    </w:p>
    <w:p>
      <w:pPr>
        <w:spacing w:after="0" w:line="178" w:lineRule="exact"/>
        <w:rPr>
          <w:sz w:val="20"/>
          <w:szCs w:val="20"/>
          <w:color w:val="auto"/>
        </w:rPr>
      </w:pPr>
    </w:p>
    <w:p>
      <w:pPr>
        <w:ind w:right="20" w:firstLine="782"/>
        <w:spacing w:after="0" w:line="306" w:lineRule="auto"/>
        <w:rPr>
          <w:sz w:val="20"/>
          <w:szCs w:val="20"/>
          <w:color w:val="auto"/>
        </w:rPr>
      </w:pPr>
      <w:r>
        <w:rPr>
          <w:rFonts w:ascii="Arial" w:cs="Arial" w:eastAsia="Arial" w:hAnsi="Arial"/>
          <w:sz w:val="15"/>
          <w:szCs w:val="15"/>
          <w:color w:val="auto"/>
        </w:rPr>
        <w:t>The increase in cost of revenues for our mobile marketing solutions was in line with the growth of gross billing from mobile marketing solutions. US$134.8 million, or 41.0%, of gross billing from mobile marketing solutions was recognized as net revenues on a gross basis in 2018, compared to US$98.5 million, or 57.2%, in 2017. No rebate or discount we granted was recognized as cost of revenues for our mobile marketing solutions in 2017 or 2018 as they were recorded as a reduction of revenue. Rebates received from website publishers recognized as deduction of cost of revenues increased by US$2.8 million, or 17.2% from US$16.3 million in 2017 to US$19.1 million in 2018 for our mobile marketing solutions as gross billing from mobile marketing solutions increased.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6" w:name="page97"/>
    <w:bookmarkEnd w:id="96"/>
    <w:p>
      <w:pPr>
        <w:ind w:right="20" w:firstLine="782"/>
        <w:spacing w:after="0" w:line="283" w:lineRule="auto"/>
        <w:rPr>
          <w:sz w:val="20"/>
          <w:szCs w:val="20"/>
          <w:color w:val="auto"/>
        </w:rPr>
      </w:pPr>
      <w:r>
        <w:rPr>
          <w:rFonts w:ascii="Arial" w:cs="Arial" w:eastAsia="Arial" w:hAnsi="Arial"/>
          <w:sz w:val="16"/>
          <w:szCs w:val="16"/>
          <w:color w:val="auto"/>
        </w:rPr>
        <w:t>The decrease in cost of revenues from our other marketing solutions was in line with the decrease of gross billing from other marketing solutions as a result of our continued client base optimization. In addition, on January 1, 2018, we adopted ASC 606 “Revenue from Contracts with Customers” using the modified retrospective method. As a result of the adoption, rebates we granted to marketers and marketing agencies under our sales agency arrangement was recorded as reduction of revenue, as opposed to being included in cost of revenues as in 2017, which also contributed to the decrease in cost of revenues for other marketing solutions, as sales agency arrangement only applies to other marketing solutions in 2018.</w:t>
      </w:r>
    </w:p>
    <w:p>
      <w:pPr>
        <w:spacing w:after="0" w:line="164" w:lineRule="exact"/>
        <w:rPr>
          <w:sz w:val="20"/>
          <w:szCs w:val="20"/>
          <w:color w:val="auto"/>
        </w:rPr>
      </w:pPr>
    </w:p>
    <w:p>
      <w:pPr>
        <w:ind w:right="40" w:firstLine="782"/>
        <w:spacing w:after="0" w:line="279" w:lineRule="auto"/>
        <w:rPr>
          <w:sz w:val="20"/>
          <w:szCs w:val="20"/>
          <w:color w:val="auto"/>
        </w:rPr>
      </w:pPr>
      <w:r>
        <w:rPr>
          <w:rFonts w:ascii="Arial" w:cs="Arial" w:eastAsia="Arial" w:hAnsi="Arial"/>
          <w:sz w:val="16"/>
          <w:szCs w:val="16"/>
          <w:color w:val="auto"/>
        </w:rPr>
        <w:t>As a result of the above, our gross profit increased from US$29.5 million in 2017 to US$39.1 million in 2018. Specifically, gross profit for our mobile marketing solutions increased by US$10.0 million, or 94.5%, from US$10.5 million in 2017 to US$20.5 million in 2018, partially offset by a decrease in our gross profit for our other marketing solutions of US$0.4 million, or 1.9% from US$19.0 million in 2017 to US$18.6 million in 2018. Our gross profit margin increased from 23.6% in 2017 to 24.4% in 2018 primarily due to our continued client base optimization to focus on profitability and liquidity and the effect of adoption of ASC 606 after January 1, 2018, pursuant to which rebates we granted to marketers and marketing agencies under our sales agency arrangement was recorded as reduction of revenue, as opposed to being included in cost of revenues as in 2017. Gross profit margin for our mobile marketing solutions increased from 10.4% in 2017 to 14.6% in 2018. Gross profit margin for our other marketing solutions increased from 79.7% in 2017 to 95.2% in 2018.</w:t>
      </w:r>
    </w:p>
    <w:p>
      <w:pPr>
        <w:spacing w:after="0" w:line="168" w:lineRule="exact"/>
        <w:rPr>
          <w:sz w:val="20"/>
          <w:szCs w:val="20"/>
          <w:color w:val="auto"/>
        </w:rPr>
      </w:pPr>
    </w:p>
    <w:p>
      <w:pPr>
        <w:ind w:firstLine="782"/>
        <w:spacing w:after="0" w:line="311" w:lineRule="auto"/>
        <w:rPr>
          <w:sz w:val="20"/>
          <w:szCs w:val="20"/>
          <w:color w:val="auto"/>
        </w:rPr>
      </w:pPr>
      <w:r>
        <w:rPr>
          <w:rFonts w:ascii="Arial" w:cs="Arial" w:eastAsia="Arial" w:hAnsi="Arial"/>
          <w:sz w:val="15"/>
          <w:szCs w:val="15"/>
          <w:color w:val="auto"/>
        </w:rPr>
        <w:t>Marketing agency clients represented 27.7% and 28.1% of our clients in 2017 and 2018, respectively. In addition, consistent with the general industry trends for online marketing on mobile channels and on non-mobile channels, the percentage of gross billing recognized as net revenues on a gross basis in 2017 and 2018 was 57.2% and 41.0%, greater than that for our other marketing solutions of 10.1% and 6.1% respectively, for the same periods. As a result, gross profit margin for our mobile marketing solutions in 2017 and 2018 was significantly lower than that for our other marketing solutions for the same periods.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right="140" w:firstLine="782"/>
        <w:spacing w:after="0" w:line="265" w:lineRule="auto"/>
        <w:rPr>
          <w:sz w:val="20"/>
          <w:szCs w:val="20"/>
          <w:color w:val="auto"/>
        </w:rPr>
      </w:pPr>
      <w:r>
        <w:rPr>
          <w:rFonts w:ascii="Arial" w:cs="Arial" w:eastAsia="Arial" w:hAnsi="Arial"/>
          <w:sz w:val="17"/>
          <w:szCs w:val="17"/>
          <w:color w:val="auto"/>
        </w:rPr>
        <w:t>Our operating expenses increased by US$21.9 million, or 48.9%, during 2018 compared to 2017, primarily due to share based compensation expenses, which increased by US$14.3 million to US$19.3 million in the full year 2018 from US$5.0 million in the full year 2017. In addition, we incurred convertible notes issuance cost and professional fees in relation to acquisitions of US$2.2 million and US$1.7 million, respectively. The operating expenses as a percentage of net revenues increased from 35.7% in 2017 to 41.6% in 2018.</w:t>
      </w:r>
    </w:p>
    <w:p>
      <w:pPr>
        <w:spacing w:after="0" w:line="138" w:lineRule="exact"/>
        <w:rPr>
          <w:sz w:val="20"/>
          <w:szCs w:val="20"/>
          <w:color w:val="auto"/>
        </w:rPr>
      </w:pPr>
    </w:p>
    <w:p>
      <w:pPr>
        <w:jc w:val="both"/>
        <w:ind w:left="1300" w:hanging="515"/>
        <w:spacing w:after="0" w:line="270"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Our sales and marketing expenses increased by US$6.2 million, or 23.7%, from US$25.9 million in 2017 to</w:t>
      </w:r>
      <w:r>
        <w:rPr>
          <w:rFonts w:ascii="Arial" w:cs="Arial" w:eastAsia="Arial" w:hAnsi="Arial"/>
          <w:sz w:val="17"/>
          <w:szCs w:val="17"/>
          <w:i w:val="1"/>
          <w:iCs w:val="1"/>
          <w:color w:val="auto"/>
        </w:rPr>
        <w:t xml:space="preserve"> </w:t>
      </w:r>
      <w:r>
        <w:rPr>
          <w:rFonts w:ascii="Arial" w:cs="Arial" w:eastAsia="Arial" w:hAnsi="Arial"/>
          <w:sz w:val="17"/>
          <w:szCs w:val="17"/>
          <w:color w:val="auto"/>
        </w:rPr>
        <w:t>US$32.1 million in 2018. The increase was primarily due to an increase in share-based compensation expenses and staff cost. Sales and marketing expenses as a percentage of net revenues decreased from 20.7% in 2017 to 20.0% in 2018.</w:t>
      </w:r>
    </w:p>
    <w:p>
      <w:pPr>
        <w:spacing w:after="0" w:line="68" w:lineRule="exact"/>
        <w:rPr>
          <w:rFonts w:ascii="Arial" w:cs="Arial" w:eastAsia="Arial" w:hAnsi="Arial"/>
          <w:sz w:val="17"/>
          <w:szCs w:val="17"/>
          <w:color w:val="auto"/>
        </w:rPr>
      </w:pPr>
    </w:p>
    <w:p>
      <w:pPr>
        <w:ind w:left="1300" w:right="120" w:hanging="515"/>
        <w:spacing w:after="0" w:line="265"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increased by US$10.8 million, or 83.0%, from US$13.0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2017 to US$23.8 million in 2018, primarily due to increase in share-based compensation expenses, convertible notes issuance cost and professional fees in relation to acquisitions. General and administrative expenses as a percentage of net revenues increased from 10.4% in 2017 to 14.8% in 2018.</w:t>
      </w:r>
    </w:p>
    <w:p>
      <w:pPr>
        <w:spacing w:after="0" w:line="73" w:lineRule="exact"/>
        <w:rPr>
          <w:rFonts w:ascii="Arial" w:cs="Arial" w:eastAsia="Arial" w:hAnsi="Arial"/>
          <w:sz w:val="17"/>
          <w:szCs w:val="17"/>
          <w:color w:val="auto"/>
        </w:rPr>
      </w:pPr>
    </w:p>
    <w:p>
      <w:pPr>
        <w:jc w:val="both"/>
        <w:ind w:left="1300" w:right="40" w:hanging="515"/>
        <w:spacing w:after="0" w:line="323" w:lineRule="auto"/>
        <w:tabs>
          <w:tab w:leader="none" w:pos="1300"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Our research and development expenses increased by US$4.9 million, or 85.8%, from US$5.8 million in</w:t>
      </w:r>
      <w:r>
        <w:rPr>
          <w:rFonts w:ascii="Arial" w:cs="Arial" w:eastAsia="Arial" w:hAnsi="Arial"/>
          <w:sz w:val="15"/>
          <w:szCs w:val="15"/>
          <w:i w:val="1"/>
          <w:iCs w:val="1"/>
          <w:color w:val="auto"/>
        </w:rPr>
        <w:t xml:space="preserve"> </w:t>
      </w:r>
      <w:r>
        <w:rPr>
          <w:rFonts w:ascii="Arial" w:cs="Arial" w:eastAsia="Arial" w:hAnsi="Arial"/>
          <w:sz w:val="15"/>
          <w:szCs w:val="15"/>
          <w:color w:val="auto"/>
        </w:rPr>
        <w:t>2017 to US$10.7 million in 2018, primarily due to an increase in share-based compensation expenses for research and development personnel. As a result, research and development expenses as a percentage of our net revenues increased from 4.6% in 2017 to 6.7% in 2018.</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Our interest income was nil and US$0.4 million in 2017 and 2018, respectively.</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Our interest expense was US$0.6 million and US$0.8 million in 2017 and 2018, respectively.</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Gains, Net</w:t>
      </w:r>
    </w:p>
    <w:p>
      <w:pPr>
        <w:spacing w:after="0" w:line="117" w:lineRule="exact"/>
        <w:rPr>
          <w:sz w:val="20"/>
          <w:szCs w:val="20"/>
          <w:color w:val="auto"/>
        </w:rPr>
      </w:pPr>
    </w:p>
    <w:p>
      <w:pPr>
        <w:ind w:right="120" w:firstLine="781"/>
        <w:spacing w:after="0" w:line="319" w:lineRule="auto"/>
        <w:rPr>
          <w:sz w:val="20"/>
          <w:szCs w:val="20"/>
          <w:color w:val="auto"/>
        </w:rPr>
      </w:pPr>
      <w:r>
        <w:rPr>
          <w:rFonts w:ascii="Arial" w:cs="Arial" w:eastAsia="Arial" w:hAnsi="Arial"/>
          <w:sz w:val="16"/>
          <w:szCs w:val="16"/>
          <w:color w:val="auto"/>
        </w:rPr>
        <w:t>Our other gains, net was US$1.8 million in 2017, compared to other gains, net of US$0.7 million in 2018. The change was primarily because of a net exchange loss by US$0.9 million in 2018, compared to US$1.8 million gain in 2017, mainly due to the depreciation of Renminbi against the US dollars.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i w:val="1"/>
          <w:iCs w:val="1"/>
          <w:color w:val="auto"/>
        </w:rPr>
        <w:t>Fair Value Loss on Convertible Notes</w:t>
      </w:r>
    </w:p>
    <w:p>
      <w:pPr>
        <w:spacing w:after="0" w:line="117" w:lineRule="exact"/>
        <w:rPr>
          <w:sz w:val="20"/>
          <w:szCs w:val="20"/>
          <w:color w:val="auto"/>
        </w:rPr>
      </w:pPr>
    </w:p>
    <w:p>
      <w:pPr>
        <w:ind w:right="20" w:firstLine="782"/>
        <w:spacing w:after="0" w:line="286" w:lineRule="auto"/>
        <w:rPr>
          <w:sz w:val="20"/>
          <w:szCs w:val="20"/>
          <w:color w:val="auto"/>
        </w:rPr>
      </w:pPr>
      <w:r>
        <w:rPr>
          <w:rFonts w:ascii="Arial" w:cs="Arial" w:eastAsia="Arial" w:hAnsi="Arial"/>
          <w:sz w:val="17"/>
          <w:szCs w:val="17"/>
          <w:color w:val="auto"/>
        </w:rPr>
        <w:t>Our fair value loss on convertible notes was US$4.8 million in 2018 for the US$30.0 million convertible notes issued in September 2018, impacted by volatility of stock price and discount on conversion price.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Loss on Derivative Liabilities</w:t>
      </w:r>
    </w:p>
    <w:p>
      <w:pPr>
        <w:spacing w:after="0" w:line="117" w:lineRule="exact"/>
        <w:rPr>
          <w:sz w:val="20"/>
          <w:szCs w:val="20"/>
          <w:color w:val="auto"/>
        </w:rPr>
      </w:pPr>
    </w:p>
    <w:p>
      <w:pPr>
        <w:ind w:right="180" w:firstLine="782"/>
        <w:spacing w:after="0" w:line="286" w:lineRule="auto"/>
        <w:rPr>
          <w:sz w:val="20"/>
          <w:szCs w:val="20"/>
          <w:color w:val="auto"/>
        </w:rPr>
      </w:pPr>
      <w:r>
        <w:rPr>
          <w:rFonts w:ascii="Arial" w:cs="Arial" w:eastAsia="Arial" w:hAnsi="Arial"/>
          <w:sz w:val="17"/>
          <w:szCs w:val="17"/>
          <w:color w:val="auto"/>
        </w:rPr>
        <w:t>Our fair value loss on derivative liabilities was US$10.2 million in 2017, compared to nil amount in 2018, since the preferred shares were converted into ordinary shares after the closing of initial public offering in December 2017.</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We recorded an income tax expenses of US$0.5 million and US$0.7 million in 2017 and 2018, respectively.</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As a result of the foregoing, our net loss increased by 32.5% from US$24.6 million in 2017 to US$32.6 million in 2018.</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Recently Issued Accounting Standards</w:t>
      </w:r>
    </w:p>
    <w:p>
      <w:pPr>
        <w:spacing w:after="0" w:line="123" w:lineRule="exact"/>
        <w:rPr>
          <w:sz w:val="20"/>
          <w:szCs w:val="20"/>
          <w:color w:val="auto"/>
        </w:rPr>
      </w:pPr>
    </w:p>
    <w:p>
      <w:pPr>
        <w:ind w:firstLine="782"/>
        <w:spacing w:after="0" w:line="274" w:lineRule="auto"/>
        <w:rPr>
          <w:sz w:val="20"/>
          <w:szCs w:val="20"/>
          <w:color w:val="auto"/>
        </w:rPr>
      </w:pPr>
      <w:r>
        <w:rPr>
          <w:rFonts w:ascii="Arial" w:cs="Arial" w:eastAsia="Arial" w:hAnsi="Arial"/>
          <w:sz w:val="16"/>
          <w:szCs w:val="16"/>
          <w:color w:val="auto"/>
        </w:rPr>
        <w:t>In June 2016, the FASB issued ASU 2016-13, Financial Instruments-Credit Losses, which changes the impairment model for most financial assets and certain other instruments. For trade and other receivables, held-to-maturity debt securities, loans and other instruments, entities will be required to use a new forward-looking “expected loss” model that will replace today’s “incurred loss” model and generally will result in the earlier recognition of allowances for losses. For available-for-sale debt securities with unrealized losses, entities will measure credit losses in a manner similar to current practice, except that the losses will be recognized as an allowance. Subsequent to issuing ASU 2016-13, the FASB issued ASU 2018-19, Codification Improvements to Topic 326, Financial Instruments—Credit Losses, for the purpose of clarifying certain aspects of ASU 2016-13. In April 2019, the FASB issued ASU 2019-04, Codification Improvements to Topic 326, Financial Instruments—Credit Losses, Topic 815, Derivatives and Hedging, and Topic 825, Financial Instruments. In May 2019, the FASB issued ASU 2019-05, Financial Instruments—Credit Losses (Topic 326): Targeted Transition Relief, or ASU 2019-05, to provide entities with more flexibility in applying the fair value option on adoption of the credit impairment standard. In November 2019, the FASB issued ASU 2019-11, Codification Improvements to Topic 326, Financial Instruments—Credit Losses, which expands the scope of the practical expedient that allows entities to exclude the accrued interest component of amortized cost from various disclosure. Entities that elect to apply the practical expedient must disclose the total amount of accrued interest that they exclude from their disclosures of amortized cost. ASU 2018-19, ASU 2019-04, ASU 2019-05 and ASU 2019-11 have the same effective date and transition requirements as ASU 2016-13. Early adoption is permitted starting in the first quarter of fiscal 2020. We estimated that the adoption of ASC 326 would result in a net adjustment of approximately US$4.0 million to the opening balance of accumulated losses with a corresponding credit loss provision over accounts receivable being recognized in the consolidated balance sheet as of January 1, 2020. Other than disclosed, we do not expect the new standard to have a material impact on the consolidated financial statements.</w:t>
      </w:r>
    </w:p>
    <w:p>
      <w:pPr>
        <w:spacing w:after="0" w:line="178" w:lineRule="exact"/>
        <w:rPr>
          <w:sz w:val="20"/>
          <w:szCs w:val="20"/>
          <w:color w:val="auto"/>
        </w:rPr>
      </w:pPr>
    </w:p>
    <w:p>
      <w:pPr>
        <w:ind w:right="40" w:firstLine="782"/>
        <w:spacing w:after="0" w:line="279"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do not expect adoption of this ASU to be material to its consolidated financial statements on known trends, demands, uncertainties and events in its business. We plan to adopt ASU 2017-04 on January 1, 2020 and do not expect that the adoption of this ASU to have a material impact on the consolidated financial statements.</w:t>
      </w:r>
    </w:p>
    <w:p>
      <w:pPr>
        <w:spacing w:after="0" w:line="168" w:lineRule="exact"/>
        <w:rPr>
          <w:sz w:val="20"/>
          <w:szCs w:val="20"/>
          <w:color w:val="auto"/>
        </w:rPr>
      </w:pPr>
    </w:p>
    <w:p>
      <w:pPr>
        <w:ind w:right="140" w:firstLine="782"/>
        <w:spacing w:after="0" w:line="306" w:lineRule="auto"/>
        <w:rPr>
          <w:sz w:val="20"/>
          <w:szCs w:val="20"/>
          <w:color w:val="auto"/>
        </w:rPr>
      </w:pPr>
      <w:r>
        <w:rPr>
          <w:rFonts w:ascii="Arial" w:cs="Arial" w:eastAsia="Arial" w:hAnsi="Arial"/>
          <w:sz w:val="15"/>
          <w:szCs w:val="15"/>
          <w:color w:val="auto"/>
        </w:rPr>
        <w:t>In November 2019, the FASB issued ASU 2019-08, Compensation—Stock Compensation (Topic 718) and Revenue from Contracts with Customers (Topic 606), which requires entities to measure and classify share based payments to a customer, in accordance with the guidance in ASC 718, Compensation— Stock Compensation. The amendments in that ASU expanded the scope of Topic 718 to include share-based payment transactions for acquiring goods and services from nonemployees and, in doing so, superseded guidance in Subtopic 505-50, Equity—Equity-Based Payments to Non-Employees. The amount that would be recorded as a reduction in revenue would be measured based on the grant date fair value of the share based payment, in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8" w:name="page99"/>
    <w:bookmarkEnd w:id="98"/>
    <w:p>
      <w:pPr>
        <w:ind w:right="160"/>
        <w:spacing w:after="0" w:line="263" w:lineRule="auto"/>
        <w:rPr>
          <w:sz w:val="20"/>
          <w:szCs w:val="20"/>
          <w:color w:val="auto"/>
        </w:rPr>
      </w:pPr>
      <w:r>
        <w:rPr>
          <w:rFonts w:ascii="Arial" w:cs="Arial" w:eastAsia="Arial" w:hAnsi="Arial"/>
          <w:sz w:val="17"/>
          <w:szCs w:val="17"/>
          <w:color w:val="auto"/>
        </w:rPr>
        <w:t>accordance with Topic 718. The grant date is the date at which a supplier and customer reach a mutual understanding of the award’s key terms and conditions. The award’s classification and subsequent measurement would be subject to ASC 718 unless the award is modified or the grantee is no longer a customer. The amendments in this ASU are effective for public business entities in fiscal years beginning after December 15, 2019, and interim periods within those fiscal years. Early adoption is permitted, but not before it adopts the amendments in ASU 2018-07. We do not expect that the adoption of this ASU to have a material impact on the consolidated financial statements.</w:t>
      </w:r>
    </w:p>
    <w:p>
      <w:pPr>
        <w:spacing w:after="0" w:line="178" w:lineRule="exact"/>
        <w:rPr>
          <w:sz w:val="20"/>
          <w:szCs w:val="20"/>
          <w:color w:val="auto"/>
        </w:rPr>
      </w:pPr>
    </w:p>
    <w:p>
      <w:pPr>
        <w:ind w:right="160" w:firstLine="782"/>
        <w:spacing w:after="0" w:line="281" w:lineRule="auto"/>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Under the 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We do not expect that the adoption of this ASU to have a material impact on the consolidated financial statements.</w:t>
      </w:r>
    </w:p>
    <w:p>
      <w:pPr>
        <w:spacing w:after="0" w:line="165" w:lineRule="exact"/>
        <w:rPr>
          <w:sz w:val="20"/>
          <w:szCs w:val="20"/>
          <w:color w:val="auto"/>
        </w:rPr>
      </w:pPr>
    </w:p>
    <w:p>
      <w:pPr>
        <w:ind w:firstLine="782"/>
        <w:spacing w:after="0" w:line="261"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update. The update is effective for public business entities for interim and annual periods beginning after December 15, 2019. We do not expect that the adoption of this ASU to have a material impact on the consolidated financial statements.</w:t>
      </w:r>
    </w:p>
    <w:p>
      <w:pPr>
        <w:spacing w:after="0" w:line="182" w:lineRule="exact"/>
        <w:rPr>
          <w:sz w:val="20"/>
          <w:szCs w:val="20"/>
          <w:color w:val="auto"/>
        </w:rPr>
      </w:pPr>
    </w:p>
    <w:p>
      <w:pPr>
        <w:ind w:right="20" w:firstLine="782"/>
        <w:spacing w:after="0" w:line="259" w:lineRule="auto"/>
        <w:rPr>
          <w:sz w:val="20"/>
          <w:szCs w:val="20"/>
          <w:color w:val="auto"/>
        </w:rPr>
      </w:pPr>
      <w:r>
        <w:rPr>
          <w:rFonts w:ascii="Arial" w:cs="Arial" w:eastAsia="Arial" w:hAnsi="Arial"/>
          <w:sz w:val="17"/>
          <w:szCs w:val="17"/>
          <w:color w:val="auto"/>
        </w:rPr>
        <w:t>In October 2018, the FASB issued ASU 2018-17, “Consolidation (Topic 810): Targeted Improvements to Related Party Guidance for Variable Interest Entities, ” which provides guidance that indirect interests held through related parties under common control will be considered on a proportional basis when determining whether fees paid to decision makers and service providers are variable interests. These indirect interests were previously treated the same as direct interests. The consideration of indirect interests on a proportional basis is consistent with how indirect interests held through related parties under common control are treated when determining if a reporting entity within a related party group is the primary beneficiary of a VIE. The new guidance is effective retrospectively for the year ending December 31, 2020 and interim reporting periods during the year ending December 31, 2020 with a cumulative-effect adjustment to retained earnings at the beginning of the earliest period presented. Early adoption is permitted. We did not early adopt and is currently evaluating the impact of adopting this ASU on our consolidated financial statements.</w:t>
      </w:r>
    </w:p>
    <w:p>
      <w:pPr>
        <w:spacing w:after="0" w:line="186" w:lineRule="exact"/>
        <w:rPr>
          <w:sz w:val="20"/>
          <w:szCs w:val="20"/>
          <w:color w:val="auto"/>
        </w:rPr>
      </w:pPr>
    </w:p>
    <w:p>
      <w:pPr>
        <w:ind w:firstLine="782"/>
        <w:spacing w:after="0" w:line="283"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The amendments in this ASU simplify the accounting for income taxes by removing certain exceptions to the general principles in Topic 740. The amendments also improve consistent application of and simplify GAAP for other areas of Topic 740 by clarifying and amending existing guidance. The amendments are effective for public entities in fiscal years beginning after December 15, 2020, including interim periods within those fiscal years. Early adoption is permitted. We did not early adopt and is currently evaluating the impact of adopting this ASU on our consolidated financial statements.</w:t>
      </w:r>
    </w:p>
    <w:p>
      <w:pPr>
        <w:spacing w:after="0" w:line="164" w:lineRule="exact"/>
        <w:rPr>
          <w:sz w:val="20"/>
          <w:szCs w:val="20"/>
          <w:color w:val="auto"/>
        </w:rPr>
      </w:pPr>
    </w:p>
    <w:p>
      <w:pPr>
        <w:ind w:right="80" w:firstLine="782"/>
        <w:spacing w:after="0" w:line="302" w:lineRule="auto"/>
        <w:rPr>
          <w:sz w:val="20"/>
          <w:szCs w:val="20"/>
          <w:color w:val="auto"/>
        </w:rPr>
      </w:pPr>
      <w:r>
        <w:rPr>
          <w:rFonts w:ascii="Arial" w:cs="Arial" w:eastAsia="Arial" w:hAnsi="Arial"/>
          <w:sz w:val="15"/>
          <w:szCs w:val="15"/>
          <w:color w:val="auto"/>
        </w:rPr>
        <w:t>In January 2020, the FASB issued ASU No. 2020-01, “Investments—Equity Securities (Topic 321), Investments—Equity Method and Joint Ventures (Topic 323), and Derivatives and Hedging (Topic 815)”, that clarifies the interactions between Topic 321, Topic 323, and Topic 815. The amendments in this ASU affect the application of the measurement alternative for certain equity securities and the equity method of accounting, and guidance for certain forward contracts and purchased options to purchase securities, that, upon settlement or exercise, would be accounted for under the equity method of accounting. The ASU is effective for public entities in fiscal years beginning after December 15, 2021, including interim periods within those fiscal years. Early adoption is permitted. We did not early adopt and is currently evaluating the impact of adopting this ASU on our consolidated financial statements.</w:t>
      </w:r>
    </w:p>
    <w:p>
      <w:pPr>
        <w:spacing w:after="0" w:line="259" w:lineRule="exact"/>
        <w:rPr>
          <w:sz w:val="20"/>
          <w:szCs w:val="20"/>
          <w:color w:val="auto"/>
        </w:rPr>
      </w:pPr>
    </w:p>
    <w:p>
      <w:pPr>
        <w:ind w:left="300" w:hanging="296"/>
        <w:spacing w:after="0"/>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and Working Capital</w:t>
      </w:r>
    </w:p>
    <w:p>
      <w:pPr>
        <w:spacing w:after="0" w:line="117" w:lineRule="exact"/>
        <w:rPr>
          <w:sz w:val="20"/>
          <w:szCs w:val="20"/>
          <w:color w:val="auto"/>
        </w:rPr>
      </w:pPr>
    </w:p>
    <w:p>
      <w:pPr>
        <w:ind w:right="60" w:firstLine="782"/>
        <w:spacing w:after="0" w:line="263" w:lineRule="auto"/>
        <w:rPr>
          <w:sz w:val="20"/>
          <w:szCs w:val="20"/>
          <w:color w:val="auto"/>
        </w:rPr>
      </w:pPr>
      <w:r>
        <w:rPr>
          <w:rFonts w:ascii="Arial" w:cs="Arial" w:eastAsia="Arial" w:hAnsi="Arial"/>
          <w:sz w:val="17"/>
          <w:szCs w:val="17"/>
          <w:color w:val="auto"/>
        </w:rPr>
        <w:t>Our principal sources of liquidity have been cash generated from our operating activities, proceeds from our initial public offering, proceeds from our issuance of convertible notes, and proceeds from bank borrowings. As of December 31, 2019, we had US$36.9 million in cash and cash equivalents, time deposits of US$0.4 million, restricted cash of US$23.9 million, and borrowing capacity of US$36.9 million under our revolving credit facilities of a total principal amount of US$75.7 million. As of December 31, 2019, our cash and cash equivalents primarily consisted of cash on hand, cash held at bank, and time deposits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99" w:name="page100"/>
    <w:bookmarkEnd w:id="99"/>
    <w:p>
      <w:pPr>
        <w:ind w:right="260"/>
        <w:spacing w:after="0" w:line="263" w:lineRule="auto"/>
        <w:rPr>
          <w:sz w:val="20"/>
          <w:szCs w:val="20"/>
          <w:color w:val="auto"/>
        </w:rPr>
      </w:pPr>
      <w:r>
        <w:rPr>
          <w:rFonts w:ascii="Arial" w:cs="Arial" w:eastAsia="Arial" w:hAnsi="Arial"/>
          <w:sz w:val="17"/>
          <w:szCs w:val="17"/>
          <w:color w:val="auto"/>
        </w:rPr>
        <w:t>placed with banks or other financial institutions, which have original maturities of three months or less. We believe that our current cash and cash equivalents, short-term investments, together with the borrowing capacity under our revolving credit facilities and the term loan facility will be sufficient to meet our anticipated working capital requirements and capital expenditures for the next 12 months. We may, however, need additional capital in the future to fund our continued operations. If we determine that our cash requirements exceed our available financial resources, we may seek to issue equity or debt securities or obtain credit facilities.</w:t>
      </w:r>
    </w:p>
    <w:p>
      <w:pPr>
        <w:spacing w:after="0" w:line="178" w:lineRule="exact"/>
        <w:rPr>
          <w:sz w:val="20"/>
          <w:szCs w:val="20"/>
          <w:color w:val="auto"/>
        </w:rPr>
      </w:pPr>
    </w:p>
    <w:p>
      <w:pPr>
        <w:ind w:right="220" w:firstLine="782"/>
        <w:spacing w:after="0" w:line="270" w:lineRule="auto"/>
        <w:rPr>
          <w:sz w:val="20"/>
          <w:szCs w:val="20"/>
          <w:color w:val="auto"/>
        </w:rPr>
      </w:pPr>
      <w:r>
        <w:rPr>
          <w:rFonts w:ascii="Arial" w:cs="Arial" w:eastAsia="Arial" w:hAnsi="Arial"/>
          <w:sz w:val="17"/>
          <w:szCs w:val="17"/>
          <w:color w:val="auto"/>
        </w:rPr>
        <w:t>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73" w:lineRule="exact"/>
        <w:rPr>
          <w:sz w:val="20"/>
          <w:szCs w:val="20"/>
          <w:color w:val="auto"/>
        </w:rPr>
      </w:pPr>
    </w:p>
    <w:p>
      <w:pPr>
        <w:ind w:firstLine="782"/>
        <w:spacing w:after="0" w:line="274" w:lineRule="auto"/>
        <w:rPr>
          <w:sz w:val="20"/>
          <w:szCs w:val="20"/>
          <w:color w:val="auto"/>
        </w:rPr>
      </w:pPr>
      <w:r>
        <w:rPr>
          <w:rFonts w:ascii="Arial" w:cs="Arial" w:eastAsia="Arial" w:hAnsi="Arial"/>
          <w:sz w:val="16"/>
          <w:szCs w:val="16"/>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“Item 4. Information on the Company—C. Organizational Structure—Contractual Arrangements with OptAim Network.” For restrictions and limitations on liquidity and capital resources as a result of our corporate structure, see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“Item 3. Key Information—D. Risk Factors—Risks Relating to Doing Business in China—Governmental control of currency conversion may limit our ability to utilize our revenues effectively and affect the value of your investment.”</w:t>
      </w:r>
    </w:p>
    <w:p>
      <w:pPr>
        <w:spacing w:after="0" w:line="18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following table sets forth a summary of our cash flows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080" w:type="dxa"/>
            <w:vAlign w:val="bottom"/>
            <w:tcBorders>
              <w:bottom w:val="single" w:sz="8" w:color="auto"/>
            </w:tcBorders>
            <w:gridSpan w:val="2"/>
          </w:tcPr>
          <w:p>
            <w:pPr>
              <w:jc w:val="right"/>
              <w:ind w:right="557"/>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2017</w:t>
            </w:r>
          </w:p>
        </w:tc>
        <w:tc>
          <w:tcPr>
            <w:tcW w:w="1980" w:type="dxa"/>
            <w:vAlign w:val="bottom"/>
            <w:tcBorders>
              <w:bottom w:val="single" w:sz="8" w:color="auto"/>
            </w:tcBorders>
          </w:tcPr>
          <w:p>
            <w:pPr>
              <w:jc w:val="right"/>
              <w:ind w:right="937"/>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980" w:type="dxa"/>
            <w:vAlign w:val="bottom"/>
          </w:tcPr>
          <w:p>
            <w:pPr>
              <w:jc w:val="right"/>
              <w:ind w:right="777"/>
              <w:spacing w:after="0"/>
              <w:rPr>
                <w:sz w:val="20"/>
                <w:szCs w:val="20"/>
                <w:color w:val="auto"/>
              </w:rPr>
            </w:pPr>
            <w:r>
              <w:rPr>
                <w:rFonts w:ascii="Arial" w:cs="Arial" w:eastAsia="Arial" w:hAnsi="Arial"/>
                <w:sz w:val="14"/>
                <w:szCs w:val="14"/>
                <w:b w:val="1"/>
                <w:bCs w:val="1"/>
                <w:color w:val="auto"/>
                <w:w w:val="86"/>
              </w:rPr>
              <w:t>(US$ in thousands)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58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Selected Consolidated Cash Flow Data:</w:t>
            </w:r>
          </w:p>
        </w:tc>
        <w:tc>
          <w:tcPr>
            <w:tcW w:w="2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Net cash used in operating activities</w:t>
            </w:r>
          </w:p>
        </w:tc>
        <w:tc>
          <w:tcPr>
            <w:tcW w:w="2100" w:type="dxa"/>
            <w:vAlign w:val="bottom"/>
          </w:tcPr>
          <w:p>
            <w:pPr>
              <w:jc w:val="right"/>
              <w:spacing w:after="0"/>
              <w:rPr>
                <w:sz w:val="20"/>
                <w:szCs w:val="20"/>
                <w:color w:val="auto"/>
              </w:rPr>
            </w:pPr>
            <w:r>
              <w:rPr>
                <w:rFonts w:ascii="Arial" w:cs="Arial" w:eastAsia="Arial" w:hAnsi="Arial"/>
                <w:sz w:val="17"/>
                <w:szCs w:val="17"/>
                <w:color w:val="auto"/>
              </w:rPr>
              <w:t>(13,881)</w:t>
            </w:r>
          </w:p>
        </w:tc>
        <w:tc>
          <w:tcPr>
            <w:tcW w:w="1980" w:type="dxa"/>
            <w:vAlign w:val="bottom"/>
          </w:tcPr>
          <w:p>
            <w:pPr>
              <w:jc w:val="right"/>
              <w:ind w:right="257"/>
              <w:spacing w:after="0"/>
              <w:rPr>
                <w:sz w:val="20"/>
                <w:szCs w:val="20"/>
                <w:color w:val="auto"/>
              </w:rPr>
            </w:pPr>
            <w:r>
              <w:rPr>
                <w:rFonts w:ascii="Arial" w:cs="Arial" w:eastAsia="Arial" w:hAnsi="Arial"/>
                <w:sz w:val="17"/>
                <w:szCs w:val="17"/>
                <w:color w:val="auto"/>
              </w:rPr>
              <w:t>(15,416)</w:t>
            </w:r>
          </w:p>
        </w:tc>
        <w:tc>
          <w:tcPr>
            <w:tcW w:w="1280" w:type="dxa"/>
            <w:vAlign w:val="bottom"/>
          </w:tcPr>
          <w:p>
            <w:pPr>
              <w:jc w:val="right"/>
              <w:spacing w:after="0"/>
              <w:rPr>
                <w:sz w:val="20"/>
                <w:szCs w:val="20"/>
                <w:color w:val="auto"/>
              </w:rPr>
            </w:pPr>
            <w:r>
              <w:rPr>
                <w:rFonts w:ascii="Arial" w:cs="Arial" w:eastAsia="Arial" w:hAnsi="Arial"/>
                <w:sz w:val="17"/>
                <w:szCs w:val="17"/>
                <w:color w:val="auto"/>
              </w:rPr>
              <w:t>(30,294)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in)/provided by investing activities</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(25,165)</w:t>
            </w:r>
          </w:p>
        </w:tc>
        <w:tc>
          <w:tcPr>
            <w:tcW w:w="198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8,395</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Net cash provided by financing activities</w:t>
            </w:r>
          </w:p>
        </w:tc>
        <w:tc>
          <w:tcPr>
            <w:tcW w:w="2100" w:type="dxa"/>
            <w:vAlign w:val="bottom"/>
          </w:tcPr>
          <w:p>
            <w:pPr>
              <w:jc w:val="right"/>
              <w:spacing w:after="0"/>
              <w:rPr>
                <w:sz w:val="20"/>
                <w:szCs w:val="20"/>
                <w:color w:val="auto"/>
              </w:rPr>
            </w:pPr>
            <w:r>
              <w:rPr>
                <w:rFonts w:ascii="Arial" w:cs="Arial" w:eastAsia="Arial" w:hAnsi="Arial"/>
                <w:sz w:val="17"/>
                <w:szCs w:val="17"/>
                <w:color w:val="auto"/>
              </w:rPr>
              <w:t>25,546</w:t>
            </w:r>
          </w:p>
        </w:tc>
        <w:tc>
          <w:tcPr>
            <w:tcW w:w="1980" w:type="dxa"/>
            <w:vAlign w:val="bottom"/>
          </w:tcPr>
          <w:p>
            <w:pPr>
              <w:jc w:val="right"/>
              <w:ind w:right="257"/>
              <w:spacing w:after="0"/>
              <w:rPr>
                <w:sz w:val="20"/>
                <w:szCs w:val="20"/>
                <w:color w:val="auto"/>
              </w:rPr>
            </w:pPr>
            <w:r>
              <w:rPr>
                <w:rFonts w:ascii="Arial" w:cs="Arial" w:eastAsia="Arial" w:hAnsi="Arial"/>
                <w:sz w:val="17"/>
                <w:szCs w:val="17"/>
                <w:color w:val="auto"/>
              </w:rPr>
              <w:t>27,775</w:t>
            </w:r>
          </w:p>
        </w:tc>
        <w:tc>
          <w:tcPr>
            <w:tcW w:w="1280" w:type="dxa"/>
            <w:vAlign w:val="bottom"/>
          </w:tcPr>
          <w:p>
            <w:pPr>
              <w:jc w:val="right"/>
              <w:spacing w:after="0"/>
              <w:rPr>
                <w:sz w:val="20"/>
                <w:szCs w:val="20"/>
                <w:color w:val="auto"/>
              </w:rPr>
            </w:pPr>
            <w:r>
              <w:rPr>
                <w:rFonts w:ascii="Arial" w:cs="Arial" w:eastAsia="Arial" w:hAnsi="Arial"/>
                <w:sz w:val="17"/>
                <w:szCs w:val="17"/>
                <w:color w:val="auto"/>
              </w:rPr>
              <w:t>44,804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w w:val="93"/>
              </w:rPr>
              <w:t>Effect on exchange rate changes on cash and cash equivalents and restricted cash</w:t>
            </w:r>
          </w:p>
        </w:tc>
        <w:tc>
          <w:tcPr>
            <w:tcW w:w="2100" w:type="dxa"/>
            <w:vAlign w:val="bottom"/>
            <w:shd w:val="clear" w:color="auto" w:fill="CCEEFF"/>
          </w:tcPr>
          <w:p>
            <w:pPr>
              <w:spacing w:after="0"/>
              <w:rPr>
                <w:sz w:val="17"/>
                <w:szCs w:val="17"/>
                <w:color w:val="auto"/>
              </w:rPr>
            </w:pPr>
          </w:p>
        </w:tc>
        <w:tc>
          <w:tcPr>
            <w:tcW w:w="1980" w:type="dxa"/>
            <w:vAlign w:val="bottom"/>
            <w:vMerge w:val="restart"/>
            <w:shd w:val="clear" w:color="auto" w:fill="CCEEFF"/>
          </w:tcPr>
          <w:p>
            <w:pPr>
              <w:jc w:val="right"/>
              <w:ind w:right="257"/>
              <w:spacing w:after="0"/>
              <w:rPr>
                <w:sz w:val="20"/>
                <w:szCs w:val="20"/>
                <w:color w:val="auto"/>
              </w:rPr>
            </w:pPr>
            <w:r>
              <w:rPr>
                <w:rFonts w:ascii="Arial" w:cs="Arial" w:eastAsia="Arial" w:hAnsi="Arial"/>
                <w:sz w:val="17"/>
                <w:szCs w:val="17"/>
                <w:color w:val="auto"/>
              </w:rPr>
              <w:t>(327)</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9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Net (decrease)/increase in cash and cash equivalents and restricted cash</w:t>
            </w:r>
          </w:p>
        </w:tc>
        <w:tc>
          <w:tcPr>
            <w:tcW w:w="2100" w:type="dxa"/>
            <w:vAlign w:val="bottom"/>
            <w:vMerge w:val="restart"/>
          </w:tcPr>
          <w:p>
            <w:pPr>
              <w:jc w:val="right"/>
              <w:spacing w:after="0"/>
              <w:rPr>
                <w:sz w:val="20"/>
                <w:szCs w:val="20"/>
                <w:color w:val="auto"/>
              </w:rPr>
            </w:pPr>
            <w:r>
              <w:rPr>
                <w:rFonts w:ascii="Arial" w:cs="Arial" w:eastAsia="Arial" w:hAnsi="Arial"/>
                <w:sz w:val="17"/>
                <w:szCs w:val="17"/>
                <w:color w:val="auto"/>
              </w:rPr>
              <w:t>(13,500)</w:t>
            </w:r>
          </w:p>
        </w:tc>
        <w:tc>
          <w:tcPr>
            <w:tcW w:w="1980" w:type="dxa"/>
            <w:vAlign w:val="bottom"/>
            <w:vMerge w:val="restart"/>
          </w:tcPr>
          <w:p>
            <w:pPr>
              <w:jc w:val="right"/>
              <w:ind w:right="257"/>
              <w:spacing w:after="0"/>
              <w:rPr>
                <w:sz w:val="20"/>
                <w:szCs w:val="20"/>
                <w:color w:val="auto"/>
              </w:rPr>
            </w:pPr>
            <w:r>
              <w:rPr>
                <w:rFonts w:ascii="Arial" w:cs="Arial" w:eastAsia="Arial" w:hAnsi="Arial"/>
                <w:sz w:val="17"/>
                <w:szCs w:val="17"/>
                <w:color w:val="auto"/>
              </w:rPr>
              <w:t>20,754</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21,272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and restricted cash at the beginning of year</w:t>
            </w:r>
          </w:p>
        </w:tc>
        <w:tc>
          <w:tcPr>
            <w:tcW w:w="2100" w:type="dxa"/>
            <w:vAlign w:val="bottom"/>
            <w:shd w:val="clear" w:color="auto" w:fill="CCEEFF"/>
          </w:tcPr>
          <w:p>
            <w:pPr>
              <w:spacing w:after="0"/>
              <w:rPr>
                <w:sz w:val="17"/>
                <w:szCs w:val="17"/>
                <w:color w:val="auto"/>
              </w:rPr>
            </w:pPr>
          </w:p>
        </w:tc>
        <w:tc>
          <w:tcPr>
            <w:tcW w:w="1980" w:type="dxa"/>
            <w:vAlign w:val="bottom"/>
            <w:vMerge w:val="restart"/>
            <w:shd w:val="clear" w:color="auto" w:fill="CCEEFF"/>
          </w:tcPr>
          <w:p>
            <w:pPr>
              <w:jc w:val="right"/>
              <w:ind w:right="257"/>
              <w:spacing w:after="0"/>
              <w:rPr>
                <w:sz w:val="20"/>
                <w:szCs w:val="20"/>
                <w:color w:val="auto"/>
              </w:rPr>
            </w:pPr>
            <w:r>
              <w:rPr>
                <w:rFonts w:ascii="Arial" w:cs="Arial" w:eastAsia="Arial" w:hAnsi="Arial"/>
                <w:sz w:val="17"/>
                <w:szCs w:val="17"/>
                <w:color w:val="auto"/>
              </w:rPr>
              <w:t>19,401</w:t>
            </w: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32,514</w:t>
            </w:r>
          </w:p>
        </w:tc>
        <w:tc>
          <w:tcPr>
            <w:tcW w:w="1980" w:type="dxa"/>
            <w:vAlign w:val="bottom"/>
            <w:vMerge w:val="continue"/>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7"/>
                <w:szCs w:val="17"/>
                <w:color w:val="auto"/>
              </w:rPr>
              <w:t>Cash and cash equivalents and restricted cash at the end of year</w:t>
            </w:r>
          </w:p>
        </w:tc>
        <w:tc>
          <w:tcPr>
            <w:tcW w:w="2100" w:type="dxa"/>
            <w:vAlign w:val="bottom"/>
          </w:tcPr>
          <w:p>
            <w:pPr>
              <w:jc w:val="right"/>
              <w:spacing w:after="0"/>
              <w:rPr>
                <w:sz w:val="20"/>
                <w:szCs w:val="20"/>
                <w:color w:val="auto"/>
              </w:rPr>
            </w:pPr>
            <w:r>
              <w:rPr>
                <w:rFonts w:ascii="Arial" w:cs="Arial" w:eastAsia="Arial" w:hAnsi="Arial"/>
                <w:sz w:val="17"/>
                <w:szCs w:val="17"/>
                <w:color w:val="auto"/>
              </w:rPr>
              <w:t>19,401</w:t>
            </w:r>
          </w:p>
        </w:tc>
        <w:tc>
          <w:tcPr>
            <w:tcW w:w="1980" w:type="dxa"/>
            <w:vAlign w:val="bottom"/>
          </w:tcPr>
          <w:p>
            <w:pPr>
              <w:jc w:val="right"/>
              <w:ind w:right="257"/>
              <w:spacing w:after="0"/>
              <w:rPr>
                <w:sz w:val="20"/>
                <w:szCs w:val="20"/>
                <w:color w:val="auto"/>
              </w:rPr>
            </w:pPr>
            <w:r>
              <w:rPr>
                <w:rFonts w:ascii="Arial" w:cs="Arial" w:eastAsia="Arial" w:hAnsi="Arial"/>
                <w:sz w:val="17"/>
                <w:szCs w:val="17"/>
                <w:color w:val="auto"/>
              </w:rPr>
              <w:t>39,828</w:t>
            </w:r>
          </w:p>
        </w:tc>
        <w:tc>
          <w:tcPr>
            <w:tcW w:w="1280" w:type="dxa"/>
            <w:vAlign w:val="bottom"/>
          </w:tcPr>
          <w:p>
            <w:pPr>
              <w:jc w:val="right"/>
              <w:spacing w:after="0"/>
              <w:rPr>
                <w:sz w:val="20"/>
                <w:szCs w:val="20"/>
                <w:color w:val="auto"/>
              </w:rPr>
            </w:pPr>
            <w:r>
              <w:rPr>
                <w:rFonts w:ascii="Arial" w:cs="Arial" w:eastAsia="Arial" w:hAnsi="Arial"/>
                <w:sz w:val="17"/>
                <w:szCs w:val="17"/>
                <w:color w:val="auto"/>
              </w:rPr>
              <w:t>60,706</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7" w:lineRule="exact"/>
        <w:rPr>
          <w:sz w:val="20"/>
          <w:szCs w:val="20"/>
          <w:color w:val="auto"/>
        </w:rPr>
      </w:pPr>
    </w:p>
    <w:p>
      <w:pPr>
        <w:ind w:right="140" w:firstLine="782"/>
        <w:spacing w:after="0" w:line="261" w:lineRule="auto"/>
        <w:rPr>
          <w:sz w:val="20"/>
          <w:szCs w:val="20"/>
          <w:color w:val="auto"/>
        </w:rPr>
      </w:pPr>
      <w:r>
        <w:rPr>
          <w:rFonts w:ascii="Arial" w:cs="Arial" w:eastAsia="Arial" w:hAnsi="Arial"/>
          <w:sz w:val="17"/>
          <w:szCs w:val="17"/>
          <w:color w:val="auto"/>
        </w:rPr>
        <w:t>Net cash used in operating activities amounted to US$30.3 million in 2019, which was mainly attributable to a net loss of US$10.8 million and a net decrease in working capital of US$33.9 million, partially offset by non-cash items of US$14.4 million. The net decrease in working capital of US$33.9 million was primarily attributable to increase in accounts receivable and prepaid media cost of US$85.4 million and US$6.7 million, respectively, partially offset by increase in accounts payable of US$61.3 million. The non-cash items of US$14.4 million were primarily attributable to amortization of intangible assets and right-of-use assets of US$6.3 million, convertible notes transaction expenses in form of non-employee warrant award, and share-based compensation of US$2.1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0" w:name="page101"/>
    <w:bookmarkEnd w:id="100"/>
    <w:p>
      <w:pPr>
        <w:ind w:firstLine="782"/>
        <w:spacing w:after="0" w:line="260" w:lineRule="auto"/>
        <w:rPr>
          <w:sz w:val="20"/>
          <w:szCs w:val="20"/>
          <w:color w:val="auto"/>
        </w:rPr>
      </w:pPr>
      <w:r>
        <w:rPr>
          <w:rFonts w:ascii="Arial" w:cs="Arial" w:eastAsia="Arial" w:hAnsi="Arial"/>
          <w:sz w:val="17"/>
          <w:szCs w:val="17"/>
          <w:color w:val="auto"/>
        </w:rPr>
        <w:t>Net cash used in operating activities amounted to US$15.4 million in 2018, which was mainly attributable to a net loss of US$32.6 million and a net decrease in working capital of US$13.7 million, partially offset by non-cash items of US$30.9 million. The net decrease in working capital of US$13.7 million was primarily attributable to decrease in deferred revenue and accrued liabilities and other current liabilities of US$5.9 million and US$5.3 million, respectively, and increase in accounts receivable and rebate receivables of US$25.5 million and US$2.7 million, respectively, partially offset by decrease in prepaid media cost of US$18.5 million as a result of the change of payment terms with our media vendors and decrease in prepayment and other assets of US$4.4 million. The non-cash items of US$30.9 million were primarily attributable to share-based compensation of US$19.7 million, fair value losses on convertible notes of US$4.8 million, and amortization of intangible assets of US$4.2 million.</w:t>
      </w:r>
    </w:p>
    <w:p>
      <w:pPr>
        <w:spacing w:after="0" w:line="183" w:lineRule="exact"/>
        <w:rPr>
          <w:sz w:val="20"/>
          <w:szCs w:val="20"/>
          <w:color w:val="auto"/>
        </w:rPr>
      </w:pPr>
    </w:p>
    <w:p>
      <w:pPr>
        <w:ind w:right="60" w:firstLine="782"/>
        <w:spacing w:after="0" w:line="260" w:lineRule="auto"/>
        <w:rPr>
          <w:sz w:val="20"/>
          <w:szCs w:val="20"/>
          <w:color w:val="auto"/>
        </w:rPr>
      </w:pPr>
      <w:r>
        <w:rPr>
          <w:rFonts w:ascii="Arial" w:cs="Arial" w:eastAsia="Arial" w:hAnsi="Arial"/>
          <w:sz w:val="17"/>
          <w:szCs w:val="17"/>
          <w:color w:val="auto"/>
        </w:rPr>
        <w:t>Net cash used in operating activities amounted to US$13.9 million in 2017, which was mainly attributable to a net loss of US$24.6 million and a net decrease in working capital of US$10.3 million, partially offset by non-cash items of US$21.0 million. The net decrease in working capital of US$10.3 million was primarily attributable to a decrease in accounts payable of US$5.5 million and an increase in accounts receivable and prepaid media costs of US$9.8 million and US$2.5 million, respectively, partially offset by a decrease in rebate receivables of US$0.9 million, and an increase in deferred revenue of US$5.8 million. The non-cash items of US$21.0 million were primarily attributable to fair value losses on derivative liabilities of US$10.2 million due to an increase in our enterprise value as a result of a decrease in lack of marketability discount due to our initial public offering, amortization of intangible assets of US$4.2 million relating to intangible asset and share-based compensation of US$5.1 million.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7" w:lineRule="exact"/>
        <w:rPr>
          <w:sz w:val="20"/>
          <w:szCs w:val="20"/>
          <w:color w:val="auto"/>
        </w:rPr>
      </w:pPr>
    </w:p>
    <w:p>
      <w:pPr>
        <w:ind w:right="80" w:firstLine="782"/>
        <w:spacing w:after="0" w:line="270" w:lineRule="auto"/>
        <w:rPr>
          <w:sz w:val="20"/>
          <w:szCs w:val="20"/>
          <w:color w:val="auto"/>
        </w:rPr>
      </w:pPr>
      <w:r>
        <w:rPr>
          <w:rFonts w:ascii="Arial" w:cs="Arial" w:eastAsia="Arial" w:hAnsi="Arial"/>
          <w:sz w:val="17"/>
          <w:szCs w:val="17"/>
          <w:color w:val="auto"/>
        </w:rPr>
        <w:t>Net cash provided by investing activities in 2019 was US$6.8 million, due to a decrease in short-term investments of US$17.6 million, related to investment deposit product, partially offset by net of cash paid for acquisition of business of US$7.2 million, prepaid long-term investment costs and other long-term investments of US$1.0 million each.</w:t>
      </w:r>
    </w:p>
    <w:p>
      <w:pPr>
        <w:spacing w:after="0" w:line="173" w:lineRule="exact"/>
        <w:rPr>
          <w:sz w:val="20"/>
          <w:szCs w:val="20"/>
          <w:color w:val="auto"/>
        </w:rPr>
      </w:pPr>
    </w:p>
    <w:p>
      <w:pPr>
        <w:ind w:right="360" w:firstLine="782"/>
        <w:spacing w:after="0" w:line="286" w:lineRule="auto"/>
        <w:rPr>
          <w:sz w:val="20"/>
          <w:szCs w:val="20"/>
          <w:color w:val="auto"/>
        </w:rPr>
      </w:pPr>
      <w:r>
        <w:rPr>
          <w:rFonts w:ascii="Arial" w:cs="Arial" w:eastAsia="Arial" w:hAnsi="Arial"/>
          <w:sz w:val="17"/>
          <w:szCs w:val="17"/>
          <w:color w:val="auto"/>
        </w:rPr>
        <w:t>Net cash provided by investing activities in 2018 was US$8.4 million, due to the maturity of time deposits of US$25.0 million, partially offset by increase in short-term investments of US$17.4 million, related to investment deposit product.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in 2017 was US$25.2 million, due to an increase in time deposits of US$25.0 million.</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7" w:lineRule="exact"/>
        <w:rPr>
          <w:sz w:val="20"/>
          <w:szCs w:val="20"/>
          <w:color w:val="auto"/>
        </w:rPr>
      </w:pPr>
    </w:p>
    <w:p>
      <w:pPr>
        <w:ind w:right="260" w:firstLine="782"/>
        <w:spacing w:after="0" w:line="286" w:lineRule="auto"/>
        <w:rPr>
          <w:sz w:val="20"/>
          <w:szCs w:val="20"/>
          <w:color w:val="auto"/>
        </w:rPr>
      </w:pPr>
      <w:r>
        <w:rPr>
          <w:rFonts w:ascii="Arial" w:cs="Arial" w:eastAsia="Arial" w:hAnsi="Arial"/>
          <w:sz w:val="17"/>
          <w:szCs w:val="17"/>
          <w:color w:val="auto"/>
        </w:rPr>
        <w:t>Net cash provided by financing activities in 2019 was US$44.8 million, which was primarily attributable to net proceeds from convertible notes of US$28.7 million and proceeds from bank borrowings, net of US$28.5 million.</w:t>
      </w:r>
    </w:p>
    <w:p>
      <w:pPr>
        <w:spacing w:after="0" w:line="159" w:lineRule="exact"/>
        <w:rPr>
          <w:sz w:val="20"/>
          <w:szCs w:val="20"/>
          <w:color w:val="auto"/>
        </w:rPr>
      </w:pPr>
    </w:p>
    <w:p>
      <w:pPr>
        <w:ind w:right="40" w:firstLine="782"/>
        <w:spacing w:after="0" w:line="286" w:lineRule="auto"/>
        <w:rPr>
          <w:sz w:val="20"/>
          <w:szCs w:val="20"/>
          <w:color w:val="auto"/>
        </w:rPr>
      </w:pPr>
      <w:r>
        <w:rPr>
          <w:rFonts w:ascii="Arial" w:cs="Arial" w:eastAsia="Arial" w:hAnsi="Arial"/>
          <w:sz w:val="17"/>
          <w:szCs w:val="17"/>
          <w:color w:val="auto"/>
        </w:rPr>
        <w:t>Net cash provided by financing activities in 2018 was US$27.8 million, which was primarily attributable to net proceeds from issuance of convertible notes of US$27.8 million.</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Net cash provided by financing activities in 2017 was US$25.5 million, which was primarily attributable to our net IPO proceed of US$28.4 million.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117" w:lineRule="exact"/>
        <w:rPr>
          <w:sz w:val="20"/>
          <w:szCs w:val="20"/>
          <w:color w:val="auto"/>
        </w:rPr>
      </w:pPr>
    </w:p>
    <w:p>
      <w:pPr>
        <w:ind w:right="200" w:firstLine="782"/>
        <w:spacing w:after="0" w:line="265" w:lineRule="auto"/>
        <w:rPr>
          <w:sz w:val="20"/>
          <w:szCs w:val="20"/>
          <w:color w:val="auto"/>
        </w:rPr>
      </w:pPr>
      <w:r>
        <w:rPr>
          <w:rFonts w:ascii="Arial" w:cs="Arial" w:eastAsia="Arial" w:hAnsi="Arial"/>
          <w:sz w:val="17"/>
          <w:szCs w:val="17"/>
          <w:color w:val="auto"/>
        </w:rPr>
        <w:t>In January and February 2019, we entered into two facility agreements for working capital loans with a commercial bank, which provide for a 6-month revolving loan of an aggregate amount of US$15.0 million. We provide corporate guarantee and deposits as pledge to secure our obligations under this revolving loan. The interest rate of this loan facility is fixed at 5.25% per annum. As of December 31, 2019, the total outstanding amount of the revolving loan was US$2.8 million.</w:t>
      </w:r>
    </w:p>
    <w:p>
      <w:pPr>
        <w:spacing w:after="0" w:line="177" w:lineRule="exact"/>
        <w:rPr>
          <w:sz w:val="20"/>
          <w:szCs w:val="20"/>
          <w:color w:val="auto"/>
        </w:rPr>
      </w:pPr>
    </w:p>
    <w:p>
      <w:pPr>
        <w:ind w:right="60" w:firstLine="782"/>
        <w:spacing w:after="0" w:line="265" w:lineRule="auto"/>
        <w:rPr>
          <w:sz w:val="20"/>
          <w:szCs w:val="20"/>
          <w:color w:val="auto"/>
        </w:rPr>
      </w:pPr>
      <w:r>
        <w:rPr>
          <w:rFonts w:ascii="Arial" w:cs="Arial" w:eastAsia="Arial" w:hAnsi="Arial"/>
          <w:sz w:val="17"/>
          <w:szCs w:val="17"/>
          <w:color w:val="auto"/>
        </w:rPr>
        <w:t>In March 2019, we entered into a facility agreement with a commercial bank, which provides for a one-year revolving loan of HK$24.0 million (US$3.1 million) We provide corporate guarantee and accounts receivable as pledge to secure our obligations under this revolving loan. The interest rate of this loan facility is at 4.25% per annum over 1-month Hong Kong Interbank Offered Rate (“HIBOR”). As of December 31, 2019, the total outstanding amount of the revolving loan was HK$4.2 million (US$0.5 million).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101" w:name="page102"/>
    <w:bookmarkEnd w:id="101"/>
    <w:p>
      <w:pPr>
        <w:ind w:firstLine="782"/>
        <w:spacing w:after="0" w:line="260" w:lineRule="auto"/>
        <w:rPr>
          <w:sz w:val="20"/>
          <w:szCs w:val="20"/>
          <w:color w:val="auto"/>
        </w:rPr>
      </w:pPr>
      <w:r>
        <w:rPr>
          <w:rFonts w:ascii="Arial" w:cs="Arial" w:eastAsia="Arial" w:hAnsi="Arial"/>
          <w:sz w:val="17"/>
          <w:szCs w:val="17"/>
          <w:color w:val="auto"/>
        </w:rPr>
        <w:t>In April 2019, we entered into a facility agreement for working capital loans with a commercial bank. The loan facility provides for a one-year revolving loan of US$13.6 million, which is supported by standby documentary credit facilities of US$15.0 million. In September 2019, this loan was subsequently amended. The amended agreement provides for a one-year revolving loan of US$20.0 million. We provide corporate guarantee, deposits and accounts receivable as pledge to secure our obligations under this revolving loan. The interest rate of this loan facility is either (i) 120% of the benchmark interest rate determined by the PBOC for a one-year loan granted by financial institutions if the loan is drawn down in RMB, or (ii) 1-month LIBOR plus 3.00% per annum if the loan is drawn down in US$. As of December 31, 2019, the total outstanding amount of the revolving loan was US$2.8 million, which was wholly drawn down in US$.</w:t>
      </w:r>
    </w:p>
    <w:p>
      <w:pPr>
        <w:spacing w:after="0" w:line="183" w:lineRule="exact"/>
        <w:rPr>
          <w:sz w:val="20"/>
          <w:szCs w:val="20"/>
          <w:color w:val="auto"/>
        </w:rPr>
      </w:pPr>
    </w:p>
    <w:p>
      <w:pPr>
        <w:jc w:val="both"/>
        <w:ind w:right="60" w:firstLine="782"/>
        <w:spacing w:after="0" w:line="295" w:lineRule="auto"/>
        <w:rPr>
          <w:sz w:val="20"/>
          <w:szCs w:val="20"/>
          <w:color w:val="auto"/>
        </w:rPr>
      </w:pPr>
      <w:r>
        <w:rPr>
          <w:rFonts w:ascii="Arial" w:cs="Arial" w:eastAsia="Arial" w:hAnsi="Arial"/>
          <w:sz w:val="16"/>
          <w:szCs w:val="16"/>
          <w:color w:val="auto"/>
        </w:rPr>
        <w:t>In May 2019, we entered into a facility agreement for working capital loans with a commercial bank, which provides for a one-year revolving loan of US$10.0 million. We provide corporate guarantee and deposits to secure our obligations under this revolving loan. The interest rate of this loan facility is 1.00% per annum over deposit rate on the pledged deposit. As of December 31, 2019, the total outstanding amount of the revolving loan was US$7.0 million.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102" w:name="page103"/>
    <w:bookmarkEnd w:id="102"/>
    <w:p>
      <w:pPr>
        <w:ind w:left="160" w:right="260" w:firstLine="757"/>
        <w:spacing w:after="0" w:line="300" w:lineRule="auto"/>
        <w:rPr>
          <w:sz w:val="20"/>
          <w:szCs w:val="20"/>
          <w:color w:val="auto"/>
        </w:rPr>
      </w:pPr>
      <w:r>
        <w:rPr>
          <w:rFonts w:ascii="Arial" w:cs="Arial" w:eastAsia="Arial" w:hAnsi="Arial"/>
          <w:sz w:val="15"/>
          <w:szCs w:val="15"/>
          <w:color w:val="auto"/>
        </w:rPr>
        <w:t>In August 2019, we entered into two facility agreements for working capital loans with SPD Silicon Valley Bank, which provide for (i) a one-year revolving loan of RMB18.5 million (US$2.6 million) and (ii) a one-year revolving loan of US1.6 million, respectively. The first revolving loan was subsequently renewed and amended in September 2019. These agreements provide for customary representations, warranties, affirmative and negative covenants and events of default. These agreements also include a financial covenant that requires us to meet certain minimum monthly adjusted quick ratio and minimum quarterly EBITDA. We provide corporate guarantee and deposits as pledge to secure our obligations under these revolving loans. The interest rate of these facilities is (i) 5.22% per annum, and (ii) 1-month London Inter-bank Offered Rate (“LIBOR”) plus 1.00% per annum, respectively. As of December 31, 2019, the total outstanding amount of these revolving loans was (i) RMB18.5 million (US$2.6 million), and (ii) US$1.6 million, respectively.</w:t>
      </w:r>
    </w:p>
    <w:p>
      <w:pPr>
        <w:spacing w:after="0" w:line="117" w:lineRule="exact"/>
        <w:rPr>
          <w:sz w:val="20"/>
          <w:szCs w:val="20"/>
          <w:color w:val="auto"/>
        </w:rPr>
      </w:pPr>
    </w:p>
    <w:p>
      <w:pPr>
        <w:ind w:left="160" w:right="220" w:firstLine="757"/>
        <w:spacing w:after="0" w:line="279" w:lineRule="auto"/>
        <w:rPr>
          <w:sz w:val="20"/>
          <w:szCs w:val="20"/>
          <w:color w:val="auto"/>
        </w:rPr>
      </w:pPr>
      <w:r>
        <w:rPr>
          <w:rFonts w:ascii="Arial" w:cs="Arial" w:eastAsia="Arial" w:hAnsi="Arial"/>
          <w:sz w:val="16"/>
          <w:szCs w:val="16"/>
          <w:color w:val="auto"/>
        </w:rPr>
        <w:t>In October 2019, we entered into a one-year facility agreement for working capital loans with a commercial bank, which provides for (i) US$15.0 million standby documentary credit facilities, (ii) US$10.0 million combined limit for pre-shipment buyer loan and revolving loan, and (iii) US$1.0 million overdraft facilities. We provide corporate guarantee and bank deposits as pledge to secure our obligations under these loan facilities. For the pre-shipment buyer loan, the interest rate is at either (i) HIBOR plus 3.85% per annum if the loan is drawn down in HK$, or (ii) LIBOR plus 3.85% per annum if the loan is drawn down in US$. For the revolving loan, the interest rate is at either (i) HIBOR plus 4.25% per annum if the loan is drawn down in HK$, or (ii) LIBOR plus 4.25% per annum if the loan is drawn down in US$. For the overdraft facility, the interest rate is at the bank’s US$ best lending rate. As of December 31, 2019, the total outstanding amount of these loan facilities was US$8.2 million.</w:t>
      </w:r>
    </w:p>
    <w:p>
      <w:pPr>
        <w:spacing w:after="0" w:line="142" w:lineRule="exact"/>
        <w:rPr>
          <w:sz w:val="20"/>
          <w:szCs w:val="20"/>
          <w:color w:val="auto"/>
        </w:rPr>
      </w:pPr>
    </w:p>
    <w:p>
      <w:pPr>
        <w:ind w:left="160" w:right="260" w:firstLine="757"/>
        <w:spacing w:after="0" w:line="293" w:lineRule="auto"/>
        <w:rPr>
          <w:sz w:val="20"/>
          <w:szCs w:val="20"/>
          <w:color w:val="auto"/>
        </w:rPr>
      </w:pPr>
      <w:r>
        <w:rPr>
          <w:rFonts w:ascii="Arial" w:cs="Arial" w:eastAsia="Arial" w:hAnsi="Arial"/>
          <w:sz w:val="15"/>
          <w:szCs w:val="15"/>
          <w:color w:val="auto"/>
        </w:rPr>
        <w:t>In December 2019, we entered into two facility agreements for working capital loans with SPD Silicon Valley Bank, which provide for (i) a half-year revolving loan of RMB50.0 million (US$7.0 million), and (ii) a one-year revolving loan of RMB50.0 million (US$7.0 million), respectively. These agreements provide for customary representations, warranties, affirmative and negative covenants and events of default. These agreements also include a financial covenant that requires us meet certain minimum monthly adjusted quick ratio and minimum quarterly EBITDA. We provide corporate guarantee, accounts receivable/deposit as pledge to secure our obligations under these revolving loans. The interest rate of these facilities is (i) 7.00% per annum and</w:t>
      </w:r>
    </w:p>
    <w:p>
      <w:pPr>
        <w:ind w:left="160" w:right="740" w:hanging="6"/>
        <w:spacing w:after="0" w:line="271" w:lineRule="auto"/>
        <w:tabs>
          <w:tab w:leader="none" w:pos="415" w:val="left"/>
        </w:tabs>
        <w:numPr>
          <w:ilvl w:val="0"/>
          <w:numId w:val="68"/>
        </w:numPr>
        <w:rPr>
          <w:rFonts w:ascii="Arial" w:cs="Arial" w:eastAsia="Arial" w:hAnsi="Arial"/>
          <w:sz w:val="17"/>
          <w:szCs w:val="17"/>
          <w:color w:val="auto"/>
        </w:rPr>
      </w:pPr>
      <w:r>
        <w:rPr>
          <w:rFonts w:ascii="Arial" w:cs="Arial" w:eastAsia="Arial" w:hAnsi="Arial"/>
          <w:sz w:val="17"/>
          <w:szCs w:val="17"/>
          <w:color w:val="auto"/>
        </w:rPr>
        <w:t>4.95% per annum, respectively. As of December 31, 2019, the total outstanding amount of these revolving loans was RMB80.0 million (US$11.2 million).</w:t>
      </w:r>
    </w:p>
    <w:p>
      <w:pPr>
        <w:spacing w:after="0" w:line="132" w:lineRule="exact"/>
        <w:rPr>
          <w:sz w:val="20"/>
          <w:szCs w:val="20"/>
          <w:color w:val="auto"/>
        </w:rPr>
      </w:pPr>
    </w:p>
    <w:p>
      <w:pPr>
        <w:ind w:left="160" w:right="340" w:firstLine="757"/>
        <w:spacing w:after="0" w:line="265" w:lineRule="auto"/>
        <w:rPr>
          <w:sz w:val="20"/>
          <w:szCs w:val="20"/>
          <w:color w:val="auto"/>
        </w:rPr>
      </w:pPr>
      <w:r>
        <w:rPr>
          <w:rFonts w:ascii="Arial" w:cs="Arial" w:eastAsia="Arial" w:hAnsi="Arial"/>
          <w:sz w:val="17"/>
          <w:szCs w:val="17"/>
          <w:color w:val="auto"/>
        </w:rPr>
        <w:t>As of December 31, 2017 and 2018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would not demand immediate repayment. As of December 31, 2019, no financial covenants as set out in these loan agreements have been breached.</w:t>
      </w:r>
    </w:p>
    <w:p>
      <w:pPr>
        <w:spacing w:after="0" w:line="177" w:lineRule="exact"/>
        <w:rPr>
          <w:sz w:val="20"/>
          <w:szCs w:val="20"/>
          <w:color w:val="auto"/>
        </w:rPr>
      </w:pPr>
    </w:p>
    <w:p>
      <w:pPr>
        <w:ind w:right="100" w:firstLine="782"/>
        <w:spacing w:after="0" w:line="286" w:lineRule="auto"/>
        <w:rPr>
          <w:sz w:val="20"/>
          <w:szCs w:val="20"/>
          <w:color w:val="auto"/>
        </w:rPr>
      </w:pPr>
      <w:r>
        <w:rPr>
          <w:rFonts w:ascii="Arial" w:cs="Arial" w:eastAsia="Arial" w:hAnsi="Arial"/>
          <w:sz w:val="17"/>
          <w:szCs w:val="17"/>
          <w:color w:val="auto"/>
        </w:rPr>
        <w:t>Other than those shown in “—Credit Facilities,” we did not have any significant capital and other commitments, long-term obligations, or guarantees as of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23" w:lineRule="exact"/>
        <w:rPr>
          <w:sz w:val="20"/>
          <w:szCs w:val="20"/>
          <w:color w:val="auto"/>
        </w:rPr>
      </w:pPr>
    </w:p>
    <w:p>
      <w:pPr>
        <w:jc w:val="both"/>
        <w:ind w:firstLine="782"/>
        <w:spacing w:after="0" w:line="270" w:lineRule="auto"/>
        <w:rPr>
          <w:sz w:val="20"/>
          <w:szCs w:val="20"/>
          <w:color w:val="auto"/>
        </w:rPr>
      </w:pPr>
      <w:r>
        <w:rPr>
          <w:rFonts w:ascii="Arial" w:cs="Arial" w:eastAsia="Arial" w:hAnsi="Arial"/>
          <w:sz w:val="17"/>
          <w:szCs w:val="17"/>
          <w:color w:val="auto"/>
        </w:rPr>
        <w:t>We made capital expenditures of US$0.1 million, US$0.4 million and US$0.1 million in 2017, 2018 and 2019, respectively. In these periods, our capital expenditures were mainly used for the purchase of property and equipment and purchase of software. We will continue to make capital expenditures to support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Holding Company Structure</w:t>
      </w:r>
    </w:p>
    <w:p>
      <w:pPr>
        <w:spacing w:after="0" w:line="123" w:lineRule="exact"/>
        <w:rPr>
          <w:sz w:val="20"/>
          <w:szCs w:val="20"/>
          <w:color w:val="auto"/>
        </w:rPr>
      </w:pPr>
    </w:p>
    <w:p>
      <w:pPr>
        <w:ind w:right="40" w:firstLine="781"/>
        <w:spacing w:after="0" w:line="277" w:lineRule="auto"/>
        <w:rPr>
          <w:sz w:val="20"/>
          <w:szCs w:val="20"/>
          <w:color w:val="auto"/>
        </w:rPr>
      </w:pPr>
      <w:r>
        <w:rPr>
          <w:rFonts w:ascii="Arial" w:cs="Arial" w:eastAsia="Arial" w:hAnsi="Arial"/>
          <w:sz w:val="16"/>
          <w:szCs w:val="16"/>
          <w:color w:val="auto"/>
        </w:rPr>
        <w:t>iClick Interactive Asia Group Limited is a Cayman Islands exempted limited liability company, used as a holding company with no material operations of its own. We conduct our operations primarily through our wholly-owned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PRC accounting standards and regulations. Under PRC law, each of our wholly-owned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3" w:name="page104"/>
    <w:bookmarkEnd w:id="103"/>
    <w:p>
      <w:pPr>
        <w:ind w:right="20"/>
        <w:spacing w:after="0" w:line="286" w:lineRule="auto"/>
        <w:rPr>
          <w:sz w:val="20"/>
          <w:szCs w:val="20"/>
          <w:color w:val="auto"/>
        </w:rPr>
      </w:pPr>
      <w:r>
        <w:rPr>
          <w:rFonts w:ascii="Arial" w:cs="Arial" w:eastAsia="Arial" w:hAnsi="Arial"/>
          <w:sz w:val="17"/>
          <w:szCs w:val="17"/>
          <w:color w:val="auto"/>
        </w:rPr>
        <w:t>subject to examination by the banks designated by the SAFE. We currently plan to reinvest all earnings from our PRC subsidiaries to their business developments and do not plan to request dividend distributions from them.</w:t>
      </w:r>
    </w:p>
    <w:p>
      <w:pPr>
        <w:spacing w:after="0" w:line="263" w:lineRule="exact"/>
        <w:rPr>
          <w:sz w:val="20"/>
          <w:szCs w:val="20"/>
          <w:color w:val="auto"/>
        </w:rPr>
      </w:pPr>
    </w:p>
    <w:p>
      <w:pPr>
        <w:ind w:left="780" w:hanging="776"/>
        <w:spacing w:after="0"/>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Research and Development, Patents and Licenses, Etc.</w:t>
      </w:r>
    </w:p>
    <w:p>
      <w:pPr>
        <w:spacing w:after="0" w:line="116"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See “Item 4. Information On the Company—B. Business Overview—Research and Development” and “—Intellectual Property.”</w:t>
      </w:r>
    </w:p>
    <w:p>
      <w:pPr>
        <w:spacing w:after="0" w:line="324" w:lineRule="exact"/>
        <w:rPr>
          <w:rFonts w:ascii="Arial" w:cs="Arial" w:eastAsia="Arial" w:hAnsi="Arial"/>
          <w:sz w:val="17"/>
          <w:szCs w:val="17"/>
          <w:color w:val="auto"/>
        </w:rPr>
      </w:pPr>
    </w:p>
    <w:p>
      <w:pPr>
        <w:ind w:left="780" w:hanging="776"/>
        <w:spacing w:after="0"/>
        <w:tabs>
          <w:tab w:leader="none" w:pos="78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Trend Information</w:t>
      </w:r>
    </w:p>
    <w:p>
      <w:pPr>
        <w:spacing w:after="0" w:line="221" w:lineRule="exact"/>
        <w:rPr>
          <w:sz w:val="20"/>
          <w:szCs w:val="20"/>
          <w:color w:val="auto"/>
        </w:rPr>
      </w:pPr>
    </w:p>
    <w:p>
      <w:pPr>
        <w:jc w:val="both"/>
        <w:ind w:right="100" w:firstLine="782"/>
        <w:spacing w:after="0" w:line="270" w:lineRule="auto"/>
        <w:rPr>
          <w:sz w:val="20"/>
          <w:szCs w:val="20"/>
          <w:color w:val="auto"/>
        </w:rPr>
      </w:pPr>
      <w:r>
        <w:rPr>
          <w:rFonts w:ascii="Arial" w:cs="Arial" w:eastAsia="Arial" w:hAnsi="Arial"/>
          <w:sz w:val="17"/>
          <w:szCs w:val="17"/>
          <w:color w:val="auto"/>
        </w:rPr>
        <w:t>Other than as disclosed elsewhere in this annual report, we are not aware of any trends, uncertainties, demands, commitments or events since January 1, 2019 that are reasonably likely to have a material effect on our net revenues, income, profitability, liquidity or capital resources, or that would cause reported consolidated financial information not necessarily to be indicative of future operating results or financial condition.</w:t>
      </w:r>
    </w:p>
    <w:p>
      <w:pPr>
        <w:spacing w:after="0" w:line="277" w:lineRule="exact"/>
        <w:rPr>
          <w:sz w:val="20"/>
          <w:szCs w:val="20"/>
          <w:color w:val="auto"/>
        </w:rPr>
      </w:pPr>
    </w:p>
    <w:p>
      <w:pPr>
        <w:ind w:left="780" w:hanging="776"/>
        <w:spacing w:after="0"/>
        <w:tabs>
          <w:tab w:leader="none" w:pos="78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Off-balance Sheet Arrangements</w:t>
      </w:r>
    </w:p>
    <w:p>
      <w:pPr>
        <w:spacing w:after="0" w:line="117" w:lineRule="exact"/>
        <w:rPr>
          <w:sz w:val="20"/>
          <w:szCs w:val="20"/>
          <w:color w:val="auto"/>
        </w:rPr>
      </w:pPr>
    </w:p>
    <w:p>
      <w:pPr>
        <w:ind w:right="20" w:firstLine="782"/>
        <w:spacing w:after="0" w:line="263"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82" w:lineRule="exact"/>
        <w:rPr>
          <w:sz w:val="20"/>
          <w:szCs w:val="20"/>
          <w:color w:val="auto"/>
        </w:rPr>
      </w:pPr>
    </w:p>
    <w:p>
      <w:pPr>
        <w:ind w:left="780" w:hanging="776"/>
        <w:spacing w:after="0"/>
        <w:tabs>
          <w:tab w:leader="none" w:pos="78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Tabular Disclosure of Contractual Obligations</w:t>
      </w:r>
    </w:p>
    <w:p>
      <w:pPr>
        <w:spacing w:after="0" w:line="116"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The following table sets forth our contractual obligations and commercial commitments as of December 31,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Payment Due by Period</w:t>
            </w:r>
          </w:p>
        </w:tc>
        <w:tc>
          <w:tcPr>
            <w:tcW w:w="1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Less than 1 year</w:t>
            </w:r>
          </w:p>
        </w:tc>
        <w:tc>
          <w:tcPr>
            <w:tcW w:w="162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8"/>
              </w:rPr>
              <w:t>1-3 years</w:t>
            </w: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3-5 years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More than 5 years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jc w:val="center"/>
              <w:ind w:right="151"/>
              <w:spacing w:after="0"/>
              <w:rPr>
                <w:sz w:val="20"/>
                <w:szCs w:val="20"/>
                <w:color w:val="auto"/>
              </w:rPr>
            </w:pPr>
            <w:r>
              <w:rPr>
                <w:rFonts w:ascii="Arial" w:cs="Arial" w:eastAsia="Arial" w:hAnsi="Arial"/>
                <w:sz w:val="14"/>
                <w:szCs w:val="14"/>
                <w:b w:val="1"/>
                <w:bCs w:val="1"/>
                <w:color w:val="auto"/>
                <w:w w:val="87"/>
              </w:rPr>
              <w:t>(US$ in thousands)</w:t>
            </w: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7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w:t>
            </w:r>
          </w:p>
        </w:tc>
        <w:tc>
          <w:tcPr>
            <w:tcW w:w="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7"/>
                <w:szCs w:val="17"/>
                <w:color w:val="auto"/>
              </w:rPr>
              <w:t>2,045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1,463</w:t>
            </w:r>
          </w:p>
        </w:tc>
        <w:tc>
          <w:tcPr>
            <w:tcW w:w="16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7"/>
                <w:szCs w:val="17"/>
                <w:color w:val="auto"/>
              </w:rPr>
              <w:t>582</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7"/>
                <w:szCs w:val="17"/>
                <w:color w:val="auto"/>
              </w:rPr>
              <w:t>Debt obligation, including interest</w:t>
            </w:r>
          </w:p>
        </w:tc>
        <w:tc>
          <w:tcPr>
            <w:tcW w:w="660" w:type="dxa"/>
            <w:vAlign w:val="bottom"/>
          </w:tcPr>
          <w:p>
            <w:pPr>
              <w:jc w:val="right"/>
              <w:ind w:right="91"/>
              <w:spacing w:after="0"/>
              <w:rPr>
                <w:sz w:val="20"/>
                <w:szCs w:val="20"/>
                <w:color w:val="auto"/>
              </w:rPr>
            </w:pPr>
            <w:r>
              <w:rPr>
                <w:rFonts w:ascii="Arial" w:cs="Arial" w:eastAsia="Arial" w:hAnsi="Arial"/>
                <w:sz w:val="17"/>
                <w:szCs w:val="17"/>
                <w:color w:val="auto"/>
                <w:w w:val="92"/>
              </w:rPr>
              <w:t>38,032</w:t>
            </w:r>
          </w:p>
        </w:tc>
        <w:tc>
          <w:tcPr>
            <w:tcW w:w="1440" w:type="dxa"/>
            <w:vAlign w:val="bottom"/>
          </w:tcPr>
          <w:p>
            <w:pPr>
              <w:jc w:val="right"/>
              <w:spacing w:after="0"/>
              <w:rPr>
                <w:sz w:val="20"/>
                <w:szCs w:val="20"/>
                <w:color w:val="auto"/>
              </w:rPr>
            </w:pPr>
            <w:r>
              <w:rPr>
                <w:rFonts w:ascii="Arial" w:cs="Arial" w:eastAsia="Arial" w:hAnsi="Arial"/>
                <w:sz w:val="17"/>
                <w:szCs w:val="17"/>
                <w:color w:val="auto"/>
              </w:rPr>
              <w:t>38,032</w:t>
            </w:r>
          </w:p>
        </w:tc>
        <w:tc>
          <w:tcPr>
            <w:tcW w:w="1620" w:type="dxa"/>
            <w:vAlign w:val="bottom"/>
          </w:tcPr>
          <w:p>
            <w:pPr>
              <w:jc w:val="right"/>
              <w:ind w:right="171"/>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51"/>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760" w:type="dxa"/>
            <w:vAlign w:val="bottom"/>
            <w:gridSpan w:val="3"/>
          </w:tcPr>
          <w:p>
            <w:pPr>
              <w:spacing w:after="0" w:line="27" w:lineRule="exact"/>
              <w:rPr>
                <w:sz w:val="20"/>
                <w:szCs w:val="20"/>
                <w:color w:val="auto"/>
              </w:rPr>
            </w:pPr>
            <w:r>
              <w:rPr>
                <w:rFonts w:ascii="Arial" w:cs="Arial" w:eastAsia="Arial" w:hAnsi="Arial"/>
                <w:sz w:val="3"/>
                <w:szCs w:val="3"/>
                <w:color w:val="auto"/>
              </w:rPr>
              <w:t>Convertible notes, including interest</w:t>
            </w:r>
          </w:p>
        </w:tc>
        <w:tc>
          <w:tcPr>
            <w:tcW w:w="660" w:type="dxa"/>
            <w:vAlign w:val="bottom"/>
          </w:tcPr>
          <w:p>
            <w:pPr>
              <w:jc w:val="right"/>
              <w:ind w:right="91"/>
              <w:spacing w:after="0" w:line="27" w:lineRule="exact"/>
              <w:rPr>
                <w:sz w:val="20"/>
                <w:szCs w:val="20"/>
                <w:color w:val="auto"/>
              </w:rPr>
            </w:pPr>
            <w:r>
              <w:rPr>
                <w:rFonts w:ascii="Arial" w:cs="Arial" w:eastAsia="Arial" w:hAnsi="Arial"/>
                <w:sz w:val="3"/>
                <w:szCs w:val="3"/>
                <w:color w:val="auto"/>
              </w:rPr>
              <w:t>34,500</w:t>
            </w:r>
          </w:p>
        </w:tc>
        <w:tc>
          <w:tcPr>
            <w:tcW w:w="1440" w:type="dxa"/>
            <w:vAlign w:val="bottom"/>
          </w:tcPr>
          <w:p>
            <w:pPr>
              <w:jc w:val="right"/>
              <w:spacing w:after="0" w:line="27" w:lineRule="exact"/>
              <w:rPr>
                <w:sz w:val="20"/>
                <w:szCs w:val="20"/>
                <w:color w:val="auto"/>
              </w:rPr>
            </w:pPr>
            <w:r>
              <w:rPr>
                <w:rFonts w:ascii="Arial" w:cs="Arial" w:eastAsia="Arial" w:hAnsi="Arial"/>
                <w:sz w:val="3"/>
                <w:szCs w:val="3"/>
                <w:color w:val="auto"/>
              </w:rPr>
              <w:t>1,500</w:t>
            </w:r>
          </w:p>
        </w:tc>
        <w:tc>
          <w:tcPr>
            <w:tcW w:w="1620" w:type="dxa"/>
            <w:vAlign w:val="bottom"/>
          </w:tcPr>
          <w:p>
            <w:pPr>
              <w:jc w:val="right"/>
              <w:ind w:right="171"/>
              <w:spacing w:after="0" w:line="27" w:lineRule="exact"/>
              <w:rPr>
                <w:sz w:val="20"/>
                <w:szCs w:val="20"/>
                <w:color w:val="auto"/>
              </w:rPr>
            </w:pPr>
            <w:r>
              <w:rPr>
                <w:rFonts w:ascii="Arial" w:cs="Arial" w:eastAsia="Arial" w:hAnsi="Arial"/>
                <w:sz w:val="3"/>
                <w:szCs w:val="3"/>
                <w:color w:val="auto"/>
              </w:rPr>
              <w:t>33,000</w:t>
            </w:r>
          </w:p>
        </w:tc>
        <w:tc>
          <w:tcPr>
            <w:tcW w:w="1300" w:type="dxa"/>
            <w:vAlign w:val="bottom"/>
          </w:tcPr>
          <w:p>
            <w:pPr>
              <w:jc w:val="right"/>
              <w:ind w:right="51"/>
              <w:spacing w:after="0" w:line="27" w:lineRule="exact"/>
              <w:rPr>
                <w:sz w:val="20"/>
                <w:szCs w:val="20"/>
                <w:color w:val="auto"/>
              </w:rPr>
            </w:pPr>
            <w:r>
              <w:rPr>
                <w:rFonts w:ascii="Arial" w:cs="Arial" w:eastAsia="Arial" w:hAnsi="Arial"/>
                <w:sz w:val="3"/>
                <w:szCs w:val="3"/>
                <w:color w:val="auto"/>
              </w:rPr>
              <w:t>-</w:t>
            </w:r>
          </w:p>
        </w:tc>
        <w:tc>
          <w:tcPr>
            <w:tcW w:w="1460" w:type="dxa"/>
            <w:vAlign w:val="bottom"/>
          </w:tcPr>
          <w:p>
            <w:pPr>
              <w:jc w:val="right"/>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840" w:type="dxa"/>
            <w:vAlign w:val="bottom"/>
            <w:shd w:val="clear" w:color="auto" w:fill="CCEEFF"/>
          </w:tcPr>
          <w:p>
            <w:pPr>
              <w:jc w:val="right"/>
              <w:ind w:right="1077"/>
              <w:spacing w:after="0"/>
              <w:rPr>
                <w:sz w:val="20"/>
                <w:szCs w:val="20"/>
                <w:color w:val="auto"/>
              </w:rPr>
            </w:pPr>
            <w:r>
              <w:rPr>
                <w:rFonts w:ascii="Arial" w:cs="Arial" w:eastAsia="Arial" w:hAnsi="Arial"/>
                <w:sz w:val="15"/>
                <w:szCs w:val="15"/>
                <w:color w:val="auto"/>
              </w:rPr>
              <w:t>(2)</w:t>
            </w:r>
          </w:p>
        </w:tc>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7"/>
                <w:szCs w:val="17"/>
                <w:color w:val="auto"/>
                <w:w w:val="92"/>
              </w:rPr>
              <w:t>74,577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40,995</w:t>
            </w:r>
          </w:p>
        </w:tc>
        <w:tc>
          <w:tcPr>
            <w:tcW w:w="1620" w:type="dxa"/>
            <w:vAlign w:val="bottom"/>
            <w:shd w:val="clear" w:color="auto" w:fill="CCEEFF"/>
          </w:tcPr>
          <w:p>
            <w:pPr>
              <w:jc w:val="right"/>
              <w:ind w:right="171"/>
              <w:spacing w:after="0"/>
              <w:rPr>
                <w:sz w:val="20"/>
                <w:szCs w:val="20"/>
                <w:color w:val="auto"/>
              </w:rPr>
            </w:pPr>
            <w:r>
              <w:rPr>
                <w:rFonts w:ascii="Arial" w:cs="Arial" w:eastAsia="Arial" w:hAnsi="Arial"/>
                <w:sz w:val="17"/>
                <w:szCs w:val="17"/>
                <w:color w:val="auto"/>
              </w:rPr>
              <w:t>33,582</w:t>
            </w: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300" w:right="40" w:hanging="515"/>
        <w:spacing w:after="0" w:line="263" w:lineRule="auto"/>
        <w:tabs>
          <w:tab w:leader="none" w:pos="13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Operating lease obligations represent our obligations for leasing office premises, which include all future cash outflows under ASC Topic 842, Leases. Please see “Leases” under Note 14 to our audited consolidated financial statements.</w:t>
      </w:r>
    </w:p>
    <w:p>
      <w:pPr>
        <w:jc w:val="both"/>
        <w:ind w:left="1300" w:right="80" w:hanging="515"/>
        <w:spacing w:after="0" w:line="263" w:lineRule="auto"/>
        <w:tabs>
          <w:tab w:leader="none" w:pos="13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Subsequent to December 31, 2019, the holders of these covertible notes have elected to convert the entire outstanding principal amount of the convertible notes into Class A ordinary shares, par value US$0.001 per share, of the Company at a price of US$7.8 per share, which was at an approximately 7% premium to the 14-day VWAP of the Company’s ADSs as of the conversion date.</w:t>
      </w:r>
    </w:p>
    <w:p>
      <w:pPr>
        <w:spacing w:after="0" w:line="281" w:lineRule="exact"/>
        <w:rPr>
          <w:rFonts w:ascii="Arial" w:cs="Arial" w:eastAsia="Arial" w:hAnsi="Arial"/>
          <w:sz w:val="17"/>
          <w:szCs w:val="17"/>
          <w:color w:val="auto"/>
        </w:rPr>
      </w:pPr>
    </w:p>
    <w:p>
      <w:pPr>
        <w:ind w:left="780" w:hanging="776"/>
        <w:spacing w:after="0"/>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Safe Harbor</w:t>
      </w:r>
    </w:p>
    <w:p>
      <w:pPr>
        <w:spacing w:after="0" w:line="116"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See “Forward-Looking Statements” in this annual report.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ITEM 6.DIRECTORS, SENIOR MANAGEMENT AND EMPLOYEES</w:t>
      </w:r>
    </w:p>
    <w:p>
      <w:pPr>
        <w:spacing w:after="0" w:line="123" w:lineRule="exact"/>
        <w:rPr>
          <w:sz w:val="20"/>
          <w:szCs w:val="20"/>
          <w:color w:val="auto"/>
        </w:rPr>
      </w:pPr>
    </w:p>
    <w:p>
      <w:pPr>
        <w:ind w:left="520" w:hanging="516"/>
        <w:spacing w:after="0"/>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Directors and Senior Management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sets forth information regarding our directors and executive officers as of the date of this annual report.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1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Age</w:t>
            </w:r>
          </w:p>
        </w:tc>
        <w:tc>
          <w:tcPr>
            <w:tcW w:w="260" w:type="dxa"/>
            <w:vAlign w:val="bottom"/>
            <w:tcBorders>
              <w:bottom w:val="single" w:sz="8" w:color="CFF0FC"/>
            </w:tcBorders>
          </w:tcPr>
          <w:p>
            <w:pPr>
              <w:spacing w:after="0"/>
              <w:rPr>
                <w:sz w:val="14"/>
                <w:szCs w:val="14"/>
                <w:color w:val="auto"/>
              </w:rPr>
            </w:pPr>
          </w:p>
        </w:tc>
        <w:tc>
          <w:tcPr>
            <w:tcW w:w="594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Position/Title</w:t>
            </w:r>
          </w:p>
        </w:tc>
      </w:tr>
      <w:tr>
        <w:trPr>
          <w:trHeight w:val="214"/>
        </w:trPr>
        <w:tc>
          <w:tcPr>
            <w:tcW w:w="41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Wing Hong Sammy Hsieh</w:t>
            </w:r>
          </w:p>
        </w:tc>
        <w:tc>
          <w:tcPr>
            <w:tcW w:w="920" w:type="dxa"/>
            <w:vAlign w:val="bottom"/>
            <w:shd w:val="clear" w:color="auto" w:fill="CFF0FC"/>
          </w:tcPr>
          <w:p>
            <w:pPr>
              <w:jc w:val="right"/>
              <w:ind w:right="235"/>
              <w:spacing w:after="0"/>
              <w:rPr>
                <w:sz w:val="20"/>
                <w:szCs w:val="20"/>
                <w:color w:val="auto"/>
              </w:rPr>
            </w:pPr>
            <w:r>
              <w:rPr>
                <w:rFonts w:ascii="Arial" w:cs="Arial" w:eastAsia="Arial" w:hAnsi="Arial"/>
                <w:sz w:val="17"/>
                <w:szCs w:val="17"/>
                <w:color w:val="auto"/>
              </w:rPr>
              <w:t>47</w:t>
            </w:r>
          </w:p>
        </w:tc>
        <w:tc>
          <w:tcPr>
            <w:tcW w:w="260" w:type="dxa"/>
            <w:vAlign w:val="bottom"/>
            <w:shd w:val="clear" w:color="auto" w:fill="CFF0FC"/>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Chairman of the Board and Co-Founder</w:t>
            </w:r>
          </w:p>
        </w:tc>
      </w:tr>
      <w:tr>
        <w:trPr>
          <w:trHeight w:val="221"/>
        </w:trPr>
        <w:tc>
          <w:tcPr>
            <w:tcW w:w="4120" w:type="dxa"/>
            <w:vAlign w:val="bottom"/>
            <w:gridSpan w:val="2"/>
          </w:tcPr>
          <w:p>
            <w:pPr>
              <w:spacing w:after="0"/>
              <w:rPr>
                <w:sz w:val="20"/>
                <w:szCs w:val="20"/>
                <w:color w:val="auto"/>
              </w:rPr>
            </w:pPr>
            <w:r>
              <w:rPr>
                <w:rFonts w:ascii="Arial" w:cs="Arial" w:eastAsia="Arial" w:hAnsi="Arial"/>
                <w:sz w:val="17"/>
                <w:szCs w:val="17"/>
                <w:color w:val="auto"/>
              </w:rPr>
              <w:t>Jian Tang</w:t>
            </w:r>
          </w:p>
        </w:tc>
        <w:tc>
          <w:tcPr>
            <w:tcW w:w="920" w:type="dxa"/>
            <w:vAlign w:val="bottom"/>
          </w:tcPr>
          <w:p>
            <w:pPr>
              <w:jc w:val="right"/>
              <w:ind w:right="235"/>
              <w:spacing w:after="0"/>
              <w:rPr>
                <w:sz w:val="20"/>
                <w:szCs w:val="20"/>
                <w:color w:val="auto"/>
              </w:rPr>
            </w:pPr>
            <w:r>
              <w:rPr>
                <w:rFonts w:ascii="Arial" w:cs="Arial" w:eastAsia="Arial" w:hAnsi="Arial"/>
                <w:sz w:val="17"/>
                <w:szCs w:val="17"/>
                <w:color w:val="auto"/>
              </w:rPr>
              <w:t>43</w:t>
            </w:r>
          </w:p>
        </w:tc>
        <w:tc>
          <w:tcPr>
            <w:tcW w:w="2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Director and Chief Executive Officer and Co-Founder</w:t>
            </w:r>
          </w:p>
        </w:tc>
      </w:tr>
      <w:tr>
        <w:trPr>
          <w:trHeight w:val="221"/>
        </w:trPr>
        <w:tc>
          <w:tcPr>
            <w:tcW w:w="41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Lub Bun Chong</w:t>
            </w:r>
          </w:p>
        </w:tc>
        <w:tc>
          <w:tcPr>
            <w:tcW w:w="920" w:type="dxa"/>
            <w:vAlign w:val="bottom"/>
            <w:shd w:val="clear" w:color="auto" w:fill="CFF0FC"/>
          </w:tcPr>
          <w:p>
            <w:pPr>
              <w:jc w:val="right"/>
              <w:ind w:right="235"/>
              <w:spacing w:after="0"/>
              <w:rPr>
                <w:sz w:val="20"/>
                <w:szCs w:val="20"/>
                <w:color w:val="auto"/>
              </w:rPr>
            </w:pPr>
            <w:r>
              <w:rPr>
                <w:rFonts w:ascii="Arial" w:cs="Arial" w:eastAsia="Arial" w:hAnsi="Arial"/>
                <w:sz w:val="17"/>
                <w:szCs w:val="17"/>
                <w:color w:val="auto"/>
              </w:rPr>
              <w:t>53</w:t>
            </w:r>
          </w:p>
        </w:tc>
        <w:tc>
          <w:tcPr>
            <w:tcW w:w="260" w:type="dxa"/>
            <w:vAlign w:val="bottom"/>
            <w:shd w:val="clear" w:color="auto" w:fill="CFF0FC"/>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Director</w:t>
            </w:r>
          </w:p>
        </w:tc>
      </w:tr>
      <w:tr>
        <w:trPr>
          <w:trHeight w:val="221"/>
        </w:trPr>
        <w:tc>
          <w:tcPr>
            <w:tcW w:w="4120" w:type="dxa"/>
            <w:vAlign w:val="bottom"/>
            <w:gridSpan w:val="2"/>
          </w:tcPr>
          <w:p>
            <w:pPr>
              <w:spacing w:after="0"/>
              <w:rPr>
                <w:sz w:val="20"/>
                <w:szCs w:val="20"/>
                <w:color w:val="auto"/>
              </w:rPr>
            </w:pPr>
            <w:r>
              <w:rPr>
                <w:rFonts w:ascii="Arial" w:cs="Arial" w:eastAsia="Arial" w:hAnsi="Arial"/>
                <w:sz w:val="17"/>
                <w:szCs w:val="17"/>
                <w:color w:val="auto"/>
              </w:rPr>
              <w:t>Matthew Chu Pong Fong</w:t>
            </w:r>
          </w:p>
        </w:tc>
        <w:tc>
          <w:tcPr>
            <w:tcW w:w="920" w:type="dxa"/>
            <w:vAlign w:val="bottom"/>
          </w:tcPr>
          <w:p>
            <w:pPr>
              <w:jc w:val="right"/>
              <w:ind w:right="235"/>
              <w:spacing w:after="0"/>
              <w:rPr>
                <w:sz w:val="20"/>
                <w:szCs w:val="20"/>
                <w:color w:val="auto"/>
              </w:rPr>
            </w:pPr>
            <w:r>
              <w:rPr>
                <w:rFonts w:ascii="Arial" w:cs="Arial" w:eastAsia="Arial" w:hAnsi="Arial"/>
                <w:sz w:val="17"/>
                <w:szCs w:val="17"/>
                <w:color w:val="auto"/>
              </w:rPr>
              <w:t>39</w:t>
            </w:r>
          </w:p>
        </w:tc>
        <w:tc>
          <w:tcPr>
            <w:tcW w:w="2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Director</w:t>
            </w:r>
          </w:p>
        </w:tc>
      </w:tr>
      <w:tr>
        <w:trPr>
          <w:trHeight w:val="221"/>
        </w:trPr>
        <w:tc>
          <w:tcPr>
            <w:tcW w:w="41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Dylan Huang</w:t>
            </w:r>
          </w:p>
        </w:tc>
        <w:tc>
          <w:tcPr>
            <w:tcW w:w="920" w:type="dxa"/>
            <w:vAlign w:val="bottom"/>
            <w:shd w:val="clear" w:color="auto" w:fill="CFF0FC"/>
          </w:tcPr>
          <w:p>
            <w:pPr>
              <w:jc w:val="right"/>
              <w:ind w:right="235"/>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FF0FC"/>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Director</w:t>
            </w:r>
          </w:p>
        </w:tc>
      </w:tr>
      <w:tr>
        <w:trPr>
          <w:trHeight w:val="221"/>
        </w:trPr>
        <w:tc>
          <w:tcPr>
            <w:tcW w:w="4120" w:type="dxa"/>
            <w:vAlign w:val="bottom"/>
            <w:gridSpan w:val="2"/>
          </w:tcPr>
          <w:p>
            <w:pPr>
              <w:spacing w:after="0"/>
              <w:rPr>
                <w:sz w:val="20"/>
                <w:szCs w:val="20"/>
                <w:color w:val="auto"/>
              </w:rPr>
            </w:pPr>
            <w:r>
              <w:rPr>
                <w:rFonts w:ascii="Arial" w:cs="Arial" w:eastAsia="Arial" w:hAnsi="Arial"/>
                <w:sz w:val="17"/>
                <w:szCs w:val="17"/>
                <w:color w:val="auto"/>
              </w:rPr>
              <w:t>Honnus Cheung</w:t>
            </w:r>
          </w:p>
        </w:tc>
        <w:tc>
          <w:tcPr>
            <w:tcW w:w="920" w:type="dxa"/>
            <w:vAlign w:val="bottom"/>
          </w:tcPr>
          <w:p>
            <w:pPr>
              <w:jc w:val="right"/>
              <w:ind w:right="235"/>
              <w:spacing w:after="0"/>
              <w:rPr>
                <w:sz w:val="20"/>
                <w:szCs w:val="20"/>
                <w:color w:val="auto"/>
              </w:rPr>
            </w:pPr>
            <w:r>
              <w:rPr>
                <w:rFonts w:ascii="Arial" w:cs="Arial" w:eastAsia="Arial" w:hAnsi="Arial"/>
                <w:sz w:val="17"/>
                <w:szCs w:val="17"/>
                <w:color w:val="auto"/>
              </w:rPr>
              <w:t>49</w:t>
            </w:r>
          </w:p>
        </w:tc>
        <w:tc>
          <w:tcPr>
            <w:tcW w:w="2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Director</w:t>
            </w:r>
          </w:p>
        </w:tc>
      </w:tr>
      <w:tr>
        <w:trPr>
          <w:trHeight w:val="221"/>
        </w:trPr>
        <w:tc>
          <w:tcPr>
            <w:tcW w:w="41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James Kim</w:t>
            </w:r>
          </w:p>
        </w:tc>
        <w:tc>
          <w:tcPr>
            <w:tcW w:w="920" w:type="dxa"/>
            <w:vAlign w:val="bottom"/>
            <w:shd w:val="clear" w:color="auto" w:fill="CFF0FC"/>
          </w:tcPr>
          <w:p>
            <w:pPr>
              <w:jc w:val="right"/>
              <w:ind w:right="235"/>
              <w:spacing w:after="0"/>
              <w:rPr>
                <w:sz w:val="20"/>
                <w:szCs w:val="20"/>
                <w:color w:val="auto"/>
              </w:rPr>
            </w:pPr>
            <w:r>
              <w:rPr>
                <w:rFonts w:ascii="Arial" w:cs="Arial" w:eastAsia="Arial" w:hAnsi="Arial"/>
                <w:sz w:val="17"/>
                <w:szCs w:val="17"/>
                <w:color w:val="auto"/>
              </w:rPr>
              <w:t>57</w:t>
            </w:r>
          </w:p>
        </w:tc>
        <w:tc>
          <w:tcPr>
            <w:tcW w:w="260" w:type="dxa"/>
            <w:vAlign w:val="bottom"/>
            <w:shd w:val="clear" w:color="auto" w:fill="CFF0FC"/>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7"/>
                <w:szCs w:val="17"/>
                <w:color w:val="auto"/>
              </w:rPr>
              <w:t>Director</w:t>
            </w:r>
          </w:p>
        </w:tc>
      </w:tr>
      <w:tr>
        <w:trPr>
          <w:trHeight w:val="221"/>
        </w:trPr>
        <w:tc>
          <w:tcPr>
            <w:tcW w:w="4120" w:type="dxa"/>
            <w:vAlign w:val="bottom"/>
            <w:gridSpan w:val="2"/>
          </w:tcPr>
          <w:p>
            <w:pPr>
              <w:spacing w:after="0"/>
              <w:rPr>
                <w:sz w:val="20"/>
                <w:szCs w:val="20"/>
                <w:color w:val="auto"/>
              </w:rPr>
            </w:pPr>
            <w:r>
              <w:rPr>
                <w:rFonts w:ascii="Arial" w:cs="Arial" w:eastAsia="Arial" w:hAnsi="Arial"/>
                <w:sz w:val="17"/>
                <w:szCs w:val="17"/>
                <w:color w:val="auto"/>
              </w:rPr>
              <w:t>Terence Li</w:t>
            </w:r>
          </w:p>
        </w:tc>
        <w:tc>
          <w:tcPr>
            <w:tcW w:w="920" w:type="dxa"/>
            <w:vAlign w:val="bottom"/>
          </w:tcPr>
          <w:p>
            <w:pPr>
              <w:jc w:val="right"/>
              <w:ind w:right="235"/>
              <w:spacing w:after="0"/>
              <w:rPr>
                <w:sz w:val="20"/>
                <w:szCs w:val="20"/>
                <w:color w:val="auto"/>
              </w:rPr>
            </w:pPr>
            <w:r>
              <w:rPr>
                <w:rFonts w:ascii="Arial" w:cs="Arial" w:eastAsia="Arial" w:hAnsi="Arial"/>
                <w:sz w:val="17"/>
                <w:szCs w:val="17"/>
                <w:color w:val="auto"/>
              </w:rPr>
              <w:t>43</w:t>
            </w:r>
          </w:p>
        </w:tc>
        <w:tc>
          <w:tcPr>
            <w:tcW w:w="2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Director and Chief Financial Officer</w:t>
            </w:r>
          </w:p>
        </w:tc>
      </w:tr>
    </w:tbl>
    <w:p>
      <w:pPr>
        <w:spacing w:after="0" w:line="209" w:lineRule="exact"/>
        <w:rPr>
          <w:sz w:val="20"/>
          <w:szCs w:val="20"/>
          <w:color w:val="auto"/>
        </w:rPr>
      </w:pPr>
    </w:p>
    <w:p>
      <w:pPr>
        <w:ind w:right="80" w:firstLine="532"/>
        <w:spacing w:after="0" w:line="261"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 founding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82" w:lineRule="exact"/>
        <w:rPr>
          <w:sz w:val="20"/>
          <w:szCs w:val="20"/>
          <w:color w:val="auto"/>
        </w:rPr>
      </w:pPr>
    </w:p>
    <w:p>
      <w:pPr>
        <w:ind w:right="40" w:firstLine="532"/>
        <w:spacing w:after="0" w:line="279"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chief executive officer and co-founder and has served as our chief operating officer since January 2016 and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officer since 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8" w:lineRule="exact"/>
        <w:rPr>
          <w:sz w:val="20"/>
          <w:szCs w:val="20"/>
          <w:color w:val="auto"/>
        </w:rPr>
      </w:pPr>
    </w:p>
    <w:p>
      <w:pPr>
        <w:ind w:right="20" w:firstLine="532"/>
        <w:spacing w:after="0" w:line="260" w:lineRule="auto"/>
        <w:rPr>
          <w:sz w:val="20"/>
          <w:szCs w:val="20"/>
          <w:color w:val="auto"/>
        </w:rPr>
      </w:pPr>
      <w:r>
        <w:rPr>
          <w:rFonts w:ascii="Arial" w:cs="Arial" w:eastAsia="Arial" w:hAnsi="Arial"/>
          <w:sz w:val="17"/>
          <w:szCs w:val="17"/>
          <w:i w:val="1"/>
          <w:iCs w:val="1"/>
          <w:color w:val="auto"/>
        </w:rPr>
        <w:t xml:space="preserve">Mr. Lub Bun Chong </w:t>
      </w:r>
      <w:r>
        <w:rPr>
          <w:rFonts w:ascii="Arial" w:cs="Arial" w:eastAsia="Arial" w:hAnsi="Arial"/>
          <w:sz w:val="17"/>
          <w:szCs w:val="17"/>
          <w:color w:val="auto"/>
        </w:rPr>
        <w:t>has served as our director since July 2019. Mr. Chong is currently a partner of C Consultancy Limited, a Hong Kong-based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 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spacing w:after="0" w:line="183" w:lineRule="exact"/>
        <w:rPr>
          <w:sz w:val="20"/>
          <w:szCs w:val="20"/>
          <w:color w:val="auto"/>
        </w:rPr>
      </w:pPr>
    </w:p>
    <w:p>
      <w:pPr>
        <w:ind w:right="80" w:firstLine="532"/>
        <w:spacing w:after="0" w:line="261" w:lineRule="auto"/>
        <w:rPr>
          <w:sz w:val="20"/>
          <w:szCs w:val="20"/>
          <w:color w:val="auto"/>
        </w:rPr>
      </w:pPr>
      <w:r>
        <w:rPr>
          <w:rFonts w:ascii="Arial" w:cs="Arial" w:eastAsia="Arial" w:hAnsi="Arial"/>
          <w:sz w:val="17"/>
          <w:szCs w:val="17"/>
          <w:i w:val="1"/>
          <w:iCs w:val="1"/>
          <w:color w:val="auto"/>
        </w:rPr>
        <w:t xml:space="preserve">Mr. Matthew Chu Pong Fong </w:t>
      </w:r>
      <w:r>
        <w:rPr>
          <w:rFonts w:ascii="Arial" w:cs="Arial" w:eastAsia="Arial" w:hAnsi="Arial"/>
          <w:sz w:val="17"/>
          <w:szCs w:val="17"/>
          <w:color w:val="auto"/>
        </w:rPr>
        <w:t>has served as our director since January 2020. Mr. Fong has more than 10 years of professional experience in auditing,</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finance and financial management for both private and listed corporations. He held multiple financial leadership positions, including as a manager at a Hong Kong-based multi-strategy private investment fund, from 2015 to 2017, and the chief financial officer of Fornton Group Limited, a knitwear manufacturer, from 2011 to 2014. Mr. Fong also led teams in performing financial audit-related engagements including initial public offering and acquisition at Ernst &amp; Young from 2007 to 2009. Mr. Fong obtained his bachelor degree in accountancy from The Hong Kong Polytechnic University in 2003 and is currently a fellow member of the Association of Chartered Certified Accountants.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5" w:name="page106"/>
    <w:bookmarkEnd w:id="105"/>
    <w:p>
      <w:pPr>
        <w:ind w:right="40" w:firstLine="532"/>
        <w:spacing w:after="0" w:line="263" w:lineRule="auto"/>
        <w:rPr>
          <w:sz w:val="20"/>
          <w:szCs w:val="20"/>
          <w:color w:val="auto"/>
        </w:rPr>
      </w:pPr>
      <w:r>
        <w:rPr>
          <w:rFonts w:ascii="Arial" w:cs="Arial" w:eastAsia="Arial" w:hAnsi="Arial"/>
          <w:sz w:val="17"/>
          <w:szCs w:val="17"/>
          <w:i w:val="1"/>
          <w:iCs w:val="1"/>
          <w:color w:val="auto"/>
        </w:rPr>
        <w:t xml:space="preserve">Mr. Dylan Huang </w:t>
      </w:r>
      <w:r>
        <w:rPr>
          <w:rFonts w:ascii="Arial" w:cs="Arial" w:eastAsia="Arial" w:hAnsi="Arial"/>
          <w:sz w:val="17"/>
          <w:szCs w:val="17"/>
          <w:color w:val="auto"/>
        </w:rPr>
        <w:t>has served as our director since December 2017. Mr. Huang has served as senior vice president of Meituan-Dianping since 2017. Mr.</w:t>
      </w:r>
      <w:r>
        <w:rPr>
          <w:rFonts w:ascii="Arial" w:cs="Arial" w:eastAsia="Arial" w:hAnsi="Arial"/>
          <w:sz w:val="17"/>
          <w:szCs w:val="17"/>
          <w:i w:val="1"/>
          <w:iCs w:val="1"/>
          <w:color w:val="auto"/>
        </w:rPr>
        <w:t xml:space="preserve"> </w:t>
      </w:r>
      <w:r>
        <w:rPr>
          <w:rFonts w:ascii="Arial" w:cs="Arial" w:eastAsia="Arial" w:hAnsi="Arial"/>
          <w:sz w:val="17"/>
          <w:szCs w:val="17"/>
          <w:color w:val="auto"/>
        </w:rPr>
        <w:t>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in electrical engineering from Zhejiang University and his MBA degree from Washington Business School.</w:t>
      </w:r>
    </w:p>
    <w:p>
      <w:pPr>
        <w:spacing w:after="0" w:line="178" w:lineRule="exact"/>
        <w:rPr>
          <w:sz w:val="20"/>
          <w:szCs w:val="20"/>
          <w:color w:val="auto"/>
        </w:rPr>
      </w:pPr>
    </w:p>
    <w:p>
      <w:pPr>
        <w:ind w:right="40" w:firstLine="532"/>
        <w:spacing w:after="0" w:line="299" w:lineRule="auto"/>
        <w:rPr>
          <w:sz w:val="20"/>
          <w:szCs w:val="20"/>
          <w:color w:val="auto"/>
        </w:rPr>
      </w:pPr>
      <w:r>
        <w:rPr>
          <w:rFonts w:ascii="Arial" w:cs="Arial" w:eastAsia="Arial" w:hAnsi="Arial"/>
          <w:sz w:val="15"/>
          <w:szCs w:val="15"/>
          <w:i w:val="1"/>
          <w:iCs w:val="1"/>
          <w:color w:val="auto"/>
        </w:rPr>
        <w:t xml:space="preserve">Ms. Honnus Cheung </w:t>
      </w:r>
      <w:r>
        <w:rPr>
          <w:rFonts w:ascii="Arial" w:cs="Arial" w:eastAsia="Arial" w:hAnsi="Arial"/>
          <w:sz w:val="15"/>
          <w:szCs w:val="15"/>
          <w:color w:val="auto"/>
        </w:rPr>
        <w:t>has served as our director since December 2017. She is currently the chief strategy officer and co-founder of Mojodomo Group</w:t>
      </w:r>
      <w:r>
        <w:rPr>
          <w:rFonts w:ascii="Arial" w:cs="Arial" w:eastAsia="Arial" w:hAnsi="Arial"/>
          <w:sz w:val="15"/>
          <w:szCs w:val="15"/>
          <w:i w:val="1"/>
          <w:iCs w:val="1"/>
          <w:color w:val="auto"/>
        </w:rPr>
        <w:t xml:space="preserve"> </w:t>
      </w:r>
      <w:r>
        <w:rPr>
          <w:rFonts w:ascii="Arial" w:cs="Arial" w:eastAsia="Arial" w:hAnsi="Arial"/>
          <w:sz w:val="15"/>
          <w:szCs w:val="15"/>
          <w:color w:val="auto"/>
        </w:rPr>
        <w:t>(Hong Kong, Taiwan and Singapore) and the founder of Twenty 20 Limited. She worked as Travelzoo’s chief financial officer in Asia and founding executive from 2007 to 2017. From October 2017 to July 2019, Ms. Cheung also served as general manager of Travelzoo China in addition to her role of CFO at Travelzoo Asia. Ms. Cheung is the founding executive of Travelzoo Asia and she established the company’s finance, e-commerce and operational infrastructure. Ms. Cheung is a founding member of Yahoo Asia, and she served as regional finance director from 1999 to 2007. Prior to Travelzoo and Yahoo, Ms. Cheung held various senior management roles at American Standard and PricewaterhouseCoopers. Ms. Cheung received her bachelor’s degree in commerce from the University of Queensland and her MBA from Northwestern University. Ms. Cheung is a fellow member of the Hong Kong Institution of Certified Public Accountants of Hong Kong (FCPA), the Certified Practising Accountants of Australia (FCPA), and the Hong Kong Institute of Directors (FHKIoD).</w:t>
      </w:r>
    </w:p>
    <w:p>
      <w:pPr>
        <w:spacing w:after="0" w:line="154" w:lineRule="exact"/>
        <w:rPr>
          <w:sz w:val="20"/>
          <w:szCs w:val="20"/>
          <w:color w:val="auto"/>
        </w:rPr>
      </w:pPr>
    </w:p>
    <w:p>
      <w:pPr>
        <w:ind w:right="40" w:firstLine="532"/>
        <w:spacing w:after="0" w:line="263" w:lineRule="auto"/>
        <w:rPr>
          <w:sz w:val="20"/>
          <w:szCs w:val="20"/>
          <w:color w:val="auto"/>
        </w:rPr>
      </w:pPr>
      <w:r>
        <w:rPr>
          <w:rFonts w:ascii="Arial" w:cs="Arial" w:eastAsia="Arial" w:hAnsi="Arial"/>
          <w:sz w:val="17"/>
          <w:szCs w:val="17"/>
          <w:i w:val="1"/>
          <w:iCs w:val="1"/>
          <w:color w:val="auto"/>
        </w:rPr>
        <w:t xml:space="preserve">Mr. James Kim </w:t>
      </w:r>
      <w:r>
        <w:rPr>
          <w:rFonts w:ascii="Arial" w:cs="Arial" w:eastAsia="Arial" w:hAnsi="Arial"/>
          <w:sz w:val="17"/>
          <w:szCs w:val="17"/>
          <w:color w:val="auto"/>
        </w:rPr>
        <w:t>has served as our director since June 2018. Mr. Kim is currently the chairman and CEO of American Chamber of Commerce in Korea</w:t>
      </w:r>
      <w:r>
        <w:rPr>
          <w:rFonts w:ascii="Arial" w:cs="Arial" w:eastAsia="Arial" w:hAnsi="Arial"/>
          <w:sz w:val="17"/>
          <w:szCs w:val="17"/>
          <w:i w:val="1"/>
          <w:iCs w:val="1"/>
          <w:color w:val="auto"/>
        </w:rPr>
        <w:t xml:space="preserve"> </w:t>
      </w:r>
      <w:r>
        <w:rPr>
          <w:rFonts w:ascii="Arial" w:cs="Arial" w:eastAsia="Arial" w:hAnsi="Arial"/>
          <w:sz w:val="17"/>
          <w:szCs w:val="17"/>
          <w:color w:val="auto"/>
        </w:rPr>
        <w:t>since July 2017, the largest foreign chamber with more than 800 member companies and affiliates with diverse interests and substantial participation in the Korean economy. Previously, Mr. Kim served as the chairman and CEO of GM Korea. Prior to that, Mr. Kim served as the country manager and CEO of Microsoft Korea from 2009 to 2015. Prior to joining Microsoft, Mr. Kim served as regional vice president and CEO of Korean Operations at Yahoo from 2005 to 2009. Mr. Kim received an MBA from Harvard Business School and a BA in Economics from UCLA.</w:t>
      </w:r>
    </w:p>
    <w:p>
      <w:pPr>
        <w:spacing w:after="0" w:line="178" w:lineRule="exact"/>
        <w:rPr>
          <w:sz w:val="20"/>
          <w:szCs w:val="20"/>
          <w:color w:val="auto"/>
        </w:rPr>
      </w:pPr>
    </w:p>
    <w:p>
      <w:pPr>
        <w:ind w:firstLine="532"/>
        <w:spacing w:after="0" w:line="260" w:lineRule="auto"/>
        <w:rPr>
          <w:sz w:val="20"/>
          <w:szCs w:val="20"/>
          <w:color w:val="auto"/>
        </w:rPr>
      </w:pPr>
      <w:r>
        <w:rPr>
          <w:rFonts w:ascii="Arial" w:cs="Arial" w:eastAsia="Arial" w:hAnsi="Arial"/>
          <w:sz w:val="17"/>
          <w:szCs w:val="17"/>
          <w:i w:val="1"/>
          <w:iCs w:val="1"/>
          <w:color w:val="auto"/>
        </w:rPr>
        <w:t xml:space="preserve">Mr. Terence Li </w:t>
      </w:r>
      <w:r>
        <w:rPr>
          <w:rFonts w:ascii="Arial" w:cs="Arial" w:eastAsia="Arial" w:hAnsi="Arial"/>
          <w:sz w:val="17"/>
          <w:szCs w:val="17"/>
          <w:color w:val="auto"/>
        </w:rPr>
        <w:t>has served as our director since July 2019 and our chief financial officer since January 1, 2019 and has served as our head of finance since</w:t>
      </w:r>
      <w:r>
        <w:rPr>
          <w:rFonts w:ascii="Arial" w:cs="Arial" w:eastAsia="Arial" w:hAnsi="Arial"/>
          <w:sz w:val="17"/>
          <w:szCs w:val="17"/>
          <w:i w:val="1"/>
          <w:iCs w:val="1"/>
          <w:color w:val="auto"/>
        </w:rPr>
        <w:t xml:space="preserve"> </w:t>
      </w:r>
      <w:r>
        <w:rPr>
          <w:rFonts w:ascii="Arial" w:cs="Arial" w:eastAsia="Arial" w:hAnsi="Arial"/>
          <w:sz w:val="17"/>
          <w:szCs w:val="17"/>
          <w:color w:val="auto"/>
        </w:rPr>
        <w:t>2018. Mr. Li has approximately 18 years of experience in financial management, investment, and business operations. Prior to joining us, Mr. Li served in management roles and advisory capacities at several start-ups, in addition to financial management and fundraising roles. Mr. Li was a Vice President with our Series A investor, Sumitomo Corporation Equity Asia, and served on our board of directors between 2009 and 2013. Mr. Li also worked at PricewaterhouseCoopers, specializing in M&amp;A due diligence and cross border tax and deal structuring projects. Mr. Li received his bachelor’s degree in accounting from the HK Polytechnic University and an MBA with Distinction and Dean’s List honors from Oxford University’s Saïd Business School. Mr. Li is a Fellow Member of ACCA, a Member of HKICPA, and a Chartered Financial Analyst.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and Indemnification Agreements with Executive Officers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have entered into employment agreements with each of our executive officers.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and Termination</w:t>
      </w:r>
    </w:p>
    <w:p>
      <w:pPr>
        <w:spacing w:after="0" w:line="117" w:lineRule="exact"/>
        <w:rPr>
          <w:sz w:val="20"/>
          <w:szCs w:val="20"/>
          <w:color w:val="auto"/>
        </w:rPr>
      </w:pPr>
    </w:p>
    <w:p>
      <w:pPr>
        <w:ind w:right="80" w:firstLine="532"/>
        <w:spacing w:after="0" w:line="263"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Confidentiality; IP</w:t>
      </w:r>
    </w:p>
    <w:p>
      <w:pPr>
        <w:spacing w:after="0" w:line="117" w:lineRule="exact"/>
        <w:rPr>
          <w:sz w:val="20"/>
          <w:szCs w:val="20"/>
          <w:color w:val="auto"/>
        </w:rPr>
      </w:pPr>
    </w:p>
    <w:p>
      <w:pPr>
        <w:ind w:right="60" w:firstLine="532"/>
        <w:spacing w:after="0" w:line="281"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i w:val="1"/>
          <w:iCs w:val="1"/>
          <w:color w:val="auto"/>
        </w:rPr>
        <w:t>Non-Competition and Non-Solicitation</w:t>
      </w:r>
    </w:p>
    <w:p>
      <w:pPr>
        <w:spacing w:after="0" w:line="117" w:lineRule="exact"/>
        <w:rPr>
          <w:sz w:val="20"/>
          <w:szCs w:val="20"/>
          <w:color w:val="auto"/>
        </w:rPr>
      </w:pPr>
    </w:p>
    <w:p>
      <w:pPr>
        <w:ind w:right="40" w:firstLine="532"/>
        <w:spacing w:after="0" w:line="287"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six months following the last date of employment, unless otherwise agreed. Specifically, during such term each executive officer has agreed not to (i) 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17" w:lineRule="exact"/>
        <w:rPr>
          <w:sz w:val="20"/>
          <w:szCs w:val="20"/>
          <w:color w:val="auto"/>
        </w:rPr>
      </w:pPr>
    </w:p>
    <w:p>
      <w:pPr>
        <w:ind w:right="160" w:firstLine="532"/>
        <w:spacing w:after="0" w:line="270" w:lineRule="auto"/>
        <w:rPr>
          <w:sz w:val="20"/>
          <w:szCs w:val="20"/>
          <w:color w:val="auto"/>
        </w:rPr>
      </w:pPr>
      <w:r>
        <w:rPr>
          <w:rFonts w:ascii="Arial" w:cs="Arial" w:eastAsia="Arial" w:hAnsi="Arial"/>
          <w:sz w:val="17"/>
          <w:szCs w:val="17"/>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277" w:lineRule="exact"/>
        <w:rPr>
          <w:sz w:val="20"/>
          <w:szCs w:val="20"/>
          <w:color w:val="auto"/>
        </w:rPr>
      </w:pPr>
    </w:p>
    <w:p>
      <w:pPr>
        <w:ind w:left="520" w:hanging="516"/>
        <w:spacing w:after="0"/>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Compensation of Directors and Executive Officers</w:t>
      </w:r>
    </w:p>
    <w:p>
      <w:pPr>
        <w:spacing w:after="0" w:line="117" w:lineRule="exact"/>
        <w:rPr>
          <w:sz w:val="20"/>
          <w:szCs w:val="20"/>
          <w:color w:val="auto"/>
        </w:rPr>
      </w:pPr>
    </w:p>
    <w:p>
      <w:pPr>
        <w:ind w:firstLine="532"/>
        <w:spacing w:after="0" w:line="260" w:lineRule="auto"/>
        <w:rPr>
          <w:sz w:val="20"/>
          <w:szCs w:val="20"/>
          <w:color w:val="auto"/>
        </w:rPr>
      </w:pPr>
      <w:r>
        <w:rPr>
          <w:rFonts w:ascii="Arial" w:cs="Arial" w:eastAsia="Arial" w:hAnsi="Arial"/>
          <w:sz w:val="17"/>
          <w:szCs w:val="17"/>
          <w:color w:val="auto"/>
        </w:rPr>
        <w:t>For the year ended December 31, 2019 we paid an aggregate of approximately US$0.8 million in cash to our executive officers, and we paid an aggregate of approximately US$0.2 million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2018 Plan</w:t>
      </w:r>
    </w:p>
    <w:p>
      <w:pPr>
        <w:spacing w:after="0" w:line="117" w:lineRule="exact"/>
        <w:rPr>
          <w:sz w:val="20"/>
          <w:szCs w:val="20"/>
          <w:color w:val="auto"/>
        </w:rPr>
      </w:pPr>
    </w:p>
    <w:p>
      <w:pPr>
        <w:jc w:val="both"/>
        <w:ind w:right="180" w:firstLine="532"/>
        <w:spacing w:after="0" w:line="295" w:lineRule="auto"/>
        <w:rPr>
          <w:sz w:val="20"/>
          <w:szCs w:val="20"/>
          <w:color w:val="auto"/>
        </w:rPr>
      </w:pPr>
      <w:r>
        <w:rPr>
          <w:rFonts w:ascii="Arial" w:cs="Arial" w:eastAsia="Arial" w:hAnsi="Arial"/>
          <w:sz w:val="16"/>
          <w:szCs w:val="16"/>
          <w:color w:val="auto"/>
        </w:rPr>
        <w:t>Under the 2018 Plan, the maximum number of ordinary shares that may be issued to the beneficiaries is 2,398,137, which have been issued to Arda as trustee to the beneficiaries of the 2018 Plan. As of March 31, 2020, options to purchase 632,055 ordinary shares are outstanding, including unvested options to purchase 6,728 ordinary shares, and vested and unexercised options to purchase 625,327 ordinary shares.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paragraphs describe the principal terms of the 2018 Plan.</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 xml:space="preserve">Type of Awards. </w:t>
      </w:r>
      <w:r>
        <w:rPr>
          <w:rFonts w:ascii="Arial" w:cs="Arial" w:eastAsia="Arial" w:hAnsi="Arial"/>
          <w:sz w:val="17"/>
          <w:szCs w:val="17"/>
          <w:color w:val="auto"/>
        </w:rPr>
        <w:t>The 2018 Plan permits the award of options to purchase our ordinary shares.</w:t>
      </w:r>
    </w:p>
    <w:p>
      <w:pPr>
        <w:spacing w:after="0" w:line="221" w:lineRule="exact"/>
        <w:rPr>
          <w:sz w:val="20"/>
          <w:szCs w:val="20"/>
          <w:color w:val="auto"/>
        </w:rPr>
      </w:pPr>
    </w:p>
    <w:p>
      <w:pPr>
        <w:ind w:right="20" w:firstLine="532"/>
        <w:spacing w:after="0" w:line="263" w:lineRule="auto"/>
        <w:rPr>
          <w:sz w:val="20"/>
          <w:szCs w:val="20"/>
          <w:color w:val="auto"/>
        </w:rPr>
      </w:pPr>
      <w:r>
        <w:rPr>
          <w:rFonts w:ascii="Arial" w:cs="Arial" w:eastAsia="Arial" w:hAnsi="Arial"/>
          <w:sz w:val="17"/>
          <w:szCs w:val="17"/>
          <w:b w:val="1"/>
          <w:bCs w:val="1"/>
          <w:i w:val="1"/>
          <w:iCs w:val="1"/>
          <w:color w:val="auto"/>
        </w:rPr>
        <w:t xml:space="preserve">Trustee. </w:t>
      </w:r>
      <w:r>
        <w:rPr>
          <w:rFonts w:ascii="Arial" w:cs="Arial" w:eastAsia="Arial" w:hAnsi="Arial"/>
          <w:sz w:val="17"/>
          <w:szCs w:val="17"/>
          <w:color w:val="auto"/>
        </w:rPr>
        <w:t>Mr. Wing Hong Sammy Hsieh through Arda upon trust serves as the trustee to the beneficiaries of the 2018 Plan. Upon a grantee’s exercise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78" w:lineRule="exact"/>
        <w:rPr>
          <w:sz w:val="20"/>
          <w:szCs w:val="20"/>
          <w:color w:val="auto"/>
        </w:rPr>
      </w:pPr>
    </w:p>
    <w:p>
      <w:pPr>
        <w:ind w:right="80" w:firstLine="532"/>
        <w:spacing w:after="0" w:line="265" w:lineRule="auto"/>
        <w:rPr>
          <w:sz w:val="20"/>
          <w:szCs w:val="20"/>
          <w:color w:val="auto"/>
        </w:rPr>
      </w:pPr>
      <w:r>
        <w:rPr>
          <w:rFonts w:ascii="Arial" w:cs="Arial" w:eastAsia="Arial" w:hAnsi="Arial"/>
          <w:sz w:val="17"/>
          <w:szCs w:val="17"/>
          <w:b w:val="1"/>
          <w:bCs w:val="1"/>
          <w:i w:val="1"/>
          <w:iCs w:val="1"/>
          <w:color w:val="auto"/>
        </w:rPr>
        <w:t xml:space="preserve">Award Agreement. </w:t>
      </w:r>
      <w:r>
        <w:rPr>
          <w:rFonts w:ascii="Arial" w:cs="Arial" w:eastAsia="Arial" w:hAnsi="Arial"/>
          <w:sz w:val="17"/>
          <w:szCs w:val="17"/>
          <w:color w:val="auto"/>
        </w:rPr>
        <w:t>Any award granted under the 2018 Plan is evidenced by an award agreement that sets forth terms, conditions and limitations on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 xml:space="preserve">Eligibility. </w:t>
      </w:r>
      <w:r>
        <w:rPr>
          <w:rFonts w:ascii="Arial" w:cs="Arial" w:eastAsia="Arial" w:hAnsi="Arial"/>
          <w:sz w:val="17"/>
          <w:szCs w:val="17"/>
          <w:color w:val="auto"/>
        </w:rPr>
        <w:t>We may grant awards to employees of our company or any of our subsidiaries.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07" w:name="page108"/>
    <w:bookmarkEnd w:id="107"/>
    <w:p>
      <w:pPr>
        <w:ind w:right="240" w:firstLine="532"/>
        <w:spacing w:after="0" w:line="265" w:lineRule="auto"/>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Unless otherwise stated in respective grants, subject to forfeiture and arrangement on termination of employment or service, 25%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w:t>
      </w:r>
    </w:p>
    <w:p>
      <w:pPr>
        <w:spacing w:after="0" w:line="177" w:lineRule="exact"/>
        <w:rPr>
          <w:sz w:val="20"/>
          <w:szCs w:val="20"/>
          <w:color w:val="auto"/>
        </w:rPr>
      </w:pPr>
    </w:p>
    <w:p>
      <w:pPr>
        <w:ind w:right="160" w:firstLine="532"/>
        <w:spacing w:after="0" w:line="323" w:lineRule="auto"/>
        <w:rPr>
          <w:sz w:val="20"/>
          <w:szCs w:val="20"/>
          <w:color w:val="auto"/>
        </w:rPr>
      </w:pPr>
      <w:r>
        <w:rPr>
          <w:rFonts w:ascii="Arial" w:cs="Arial" w:eastAsia="Arial" w:hAnsi="Arial"/>
          <w:sz w:val="15"/>
          <w:szCs w:val="15"/>
          <w:b w:val="1"/>
          <w:bCs w:val="1"/>
          <w:i w:val="1"/>
          <w:iCs w:val="1"/>
          <w:color w:val="auto"/>
        </w:rPr>
        <w:t xml:space="preserve">Exercise of Options. </w:t>
      </w:r>
      <w:r>
        <w:rPr>
          <w:rFonts w:ascii="Arial" w:cs="Arial" w:eastAsia="Arial" w:hAnsi="Arial"/>
          <w:sz w:val="15"/>
          <w:szCs w:val="15"/>
          <w:color w:val="auto"/>
        </w:rPr>
        <w:t>Vested options will become exercisable during the first five business days of January, April, July and October until the termination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date of the 2018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36" w:lineRule="exact"/>
        <w:rPr>
          <w:sz w:val="20"/>
          <w:szCs w:val="20"/>
          <w:color w:val="auto"/>
        </w:rPr>
      </w:pPr>
    </w:p>
    <w:p>
      <w:pPr>
        <w:ind w:right="140" w:firstLine="532"/>
        <w:spacing w:after="0" w:line="270" w:lineRule="auto"/>
        <w:rPr>
          <w:sz w:val="20"/>
          <w:szCs w:val="20"/>
          <w:color w:val="auto"/>
        </w:rPr>
      </w:pPr>
      <w:r>
        <w:rPr>
          <w:rFonts w:ascii="Arial" w:cs="Arial" w:eastAsia="Arial" w:hAnsi="Arial"/>
          <w:sz w:val="17"/>
          <w:szCs w:val="17"/>
          <w:b w:val="1"/>
          <w:bCs w:val="1"/>
          <w:i w:val="1"/>
          <w:iCs w:val="1"/>
          <w:color w:val="auto"/>
        </w:rPr>
        <w:t xml:space="preserve">Transfer Restrictions. </w:t>
      </w:r>
      <w:r>
        <w:rPr>
          <w:rFonts w:ascii="Arial" w:cs="Arial" w:eastAsia="Arial" w:hAnsi="Arial"/>
          <w:sz w:val="17"/>
          <w:szCs w:val="17"/>
          <w:color w:val="auto"/>
        </w:rPr>
        <w:t>The participant will not be permitted to transfer, assign, dispose of, or create or purport to create any encumbrances over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In principle, all options shall be exercisable only by the participants. Any such transfer, assignment, disposal or encumbrance or purported encumbrance shall result in the automatic cancellation of the option.</w:t>
      </w:r>
    </w:p>
    <w:p>
      <w:pPr>
        <w:spacing w:after="0" w:line="173" w:lineRule="exact"/>
        <w:rPr>
          <w:sz w:val="20"/>
          <w:szCs w:val="20"/>
          <w:color w:val="auto"/>
        </w:rPr>
      </w:pPr>
    </w:p>
    <w:p>
      <w:pPr>
        <w:ind w:right="500" w:firstLine="532"/>
        <w:spacing w:after="0" w:line="286" w:lineRule="auto"/>
        <w:rPr>
          <w:sz w:val="20"/>
          <w:szCs w:val="20"/>
          <w:color w:val="auto"/>
        </w:rPr>
      </w:pPr>
      <w:r>
        <w:rPr>
          <w:rFonts w:ascii="Arial" w:cs="Arial" w:eastAsia="Arial" w:hAnsi="Arial"/>
          <w:sz w:val="17"/>
          <w:szCs w:val="17"/>
          <w:b w:val="1"/>
          <w:bCs w:val="1"/>
          <w:i w:val="1"/>
          <w:iCs w:val="1"/>
          <w:color w:val="auto"/>
        </w:rPr>
        <w:t xml:space="preserve">Termination and amendment of the 2018 Plan. </w:t>
      </w:r>
      <w:r>
        <w:rPr>
          <w:rFonts w:ascii="Arial" w:cs="Arial" w:eastAsia="Arial" w:hAnsi="Arial"/>
          <w:sz w:val="17"/>
          <w:szCs w:val="17"/>
          <w:color w:val="auto"/>
        </w:rPr>
        <w:t>Our board of directors may amend or discontinue the 2018 Plan, provided that such amendment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termination shall not impair the rights of a participant under any award without such participant’s consent.</w:t>
      </w:r>
    </w:p>
    <w:p>
      <w:pPr>
        <w:spacing w:after="0" w:line="159" w:lineRule="exact"/>
        <w:rPr>
          <w:sz w:val="20"/>
          <w:szCs w:val="20"/>
          <w:color w:val="auto"/>
        </w:rPr>
      </w:pPr>
    </w:p>
    <w:p>
      <w:pPr>
        <w:ind w:right="80" w:firstLine="532"/>
        <w:spacing w:after="0" w:line="286" w:lineRule="auto"/>
        <w:rPr>
          <w:sz w:val="20"/>
          <w:szCs w:val="20"/>
          <w:color w:val="auto"/>
        </w:rPr>
      </w:pPr>
      <w:r>
        <w:rPr>
          <w:rFonts w:ascii="Arial" w:cs="Arial" w:eastAsia="Arial" w:hAnsi="Arial"/>
          <w:sz w:val="17"/>
          <w:szCs w:val="17"/>
          <w:color w:val="auto"/>
        </w:rPr>
        <w:t>The following table summarizes, as of March 31, 2020, the outstanding options granted under the 2018 Plan to our directors, executive officers and other grantees.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Ordinary Shares</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900" w:type="dxa"/>
            <w:vAlign w:val="bottom"/>
          </w:tcPr>
          <w:p>
            <w:pPr>
              <w:spacing w:after="0"/>
              <w:rPr>
                <w:sz w:val="12"/>
                <w:szCs w:val="12"/>
                <w:color w:val="auto"/>
              </w:rPr>
            </w:pPr>
          </w:p>
        </w:tc>
        <w:tc>
          <w:tcPr>
            <w:tcW w:w="18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Underlying</w:t>
            </w:r>
          </w:p>
        </w:tc>
        <w:tc>
          <w:tcPr>
            <w:tcW w:w="18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Exercise Price</w:t>
            </w: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9"/>
              </w:rPr>
              <w:t>Outstanding</w:t>
            </w:r>
          </w:p>
        </w:tc>
        <w:tc>
          <w:tcPr>
            <w:tcW w:w="1860" w:type="dxa"/>
            <w:vAlign w:val="bottom"/>
            <w:gridSpan w:val="2"/>
            <w:vMerge w:val="continue"/>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Grant Date</w:t>
            </w:r>
          </w:p>
        </w:tc>
        <w:tc>
          <w:tcPr>
            <w:tcW w:w="160" w:type="dxa"/>
            <w:vAlign w:val="bottom"/>
            <w:vMerge w:val="restart"/>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166"/>
        </w:trPr>
        <w:tc>
          <w:tcPr>
            <w:tcW w:w="3900" w:type="dxa"/>
            <w:vAlign w:val="bottom"/>
            <w:tcBorders>
              <w:bottom w:val="single" w:sz="8" w:color="CFF0FC"/>
            </w:tcBorders>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(US$/Share)</w:t>
            </w:r>
          </w:p>
        </w:tc>
        <w:tc>
          <w:tcPr>
            <w:tcW w:w="14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Jian Tang</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0.2687—4.0304</w:t>
            </w:r>
          </w:p>
        </w:tc>
        <w:tc>
          <w:tcPr>
            <w:tcW w:w="1900" w:type="dxa"/>
            <w:vAlign w:val="bottom"/>
            <w:gridSpan w:val="2"/>
            <w:shd w:val="clear" w:color="auto" w:fill="CFF0FC"/>
          </w:tcPr>
          <w:p>
            <w:pPr>
              <w:jc w:val="center"/>
              <w:ind w:right="160"/>
              <w:spacing w:after="0"/>
              <w:rPr>
                <w:sz w:val="20"/>
                <w:szCs w:val="20"/>
                <w:color w:val="auto"/>
              </w:rPr>
            </w:pPr>
            <w:r>
              <w:rPr>
                <w:rFonts w:ascii="Arial" w:cs="Arial" w:eastAsia="Arial" w:hAnsi="Arial"/>
                <w:sz w:val="17"/>
                <w:szCs w:val="17"/>
                <w:color w:val="auto"/>
                <w:w w:val="92"/>
              </w:rPr>
              <w:t>August 1, 2015</w:t>
            </w:r>
          </w:p>
        </w:tc>
        <w:tc>
          <w:tcPr>
            <w:tcW w:w="17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August 1, 2025</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7"/>
                <w:szCs w:val="17"/>
                <w:color w:val="auto"/>
              </w:rPr>
              <w:t>Other grantees</w:t>
            </w:r>
          </w:p>
        </w:tc>
        <w:tc>
          <w:tcPr>
            <w:tcW w:w="1600" w:type="dxa"/>
            <w:vAlign w:val="bottom"/>
          </w:tcPr>
          <w:p>
            <w:pPr>
              <w:jc w:val="right"/>
              <w:spacing w:after="0"/>
              <w:rPr>
                <w:sz w:val="20"/>
                <w:szCs w:val="20"/>
                <w:color w:val="auto"/>
              </w:rPr>
            </w:pPr>
            <w:r>
              <w:rPr>
                <w:rFonts w:ascii="Arial" w:cs="Arial" w:eastAsia="Arial" w:hAnsi="Arial"/>
                <w:sz w:val="17"/>
                <w:szCs w:val="17"/>
                <w:color w:val="auto"/>
              </w:rPr>
              <w:t>632,005</w:t>
            </w:r>
          </w:p>
        </w:tc>
        <w:tc>
          <w:tcPr>
            <w:tcW w:w="2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7"/>
                <w:szCs w:val="17"/>
                <w:color w:val="auto"/>
              </w:rPr>
              <w:t>0.0100—20.0000</w:t>
            </w:r>
          </w:p>
        </w:tc>
        <w:tc>
          <w:tcPr>
            <w:tcW w:w="1900" w:type="dxa"/>
            <w:vAlign w:val="bottom"/>
            <w:gridSpan w:val="2"/>
          </w:tcPr>
          <w:p>
            <w:pPr>
              <w:jc w:val="center"/>
              <w:ind w:right="160"/>
              <w:spacing w:after="0"/>
              <w:rPr>
                <w:sz w:val="20"/>
                <w:szCs w:val="20"/>
                <w:color w:val="auto"/>
              </w:rPr>
            </w:pPr>
            <w:r>
              <w:rPr>
                <w:rFonts w:ascii="Arial" w:cs="Arial" w:eastAsia="Arial" w:hAnsi="Arial"/>
                <w:sz w:val="17"/>
                <w:szCs w:val="17"/>
                <w:color w:val="auto"/>
                <w:w w:val="96"/>
              </w:rPr>
              <w:t>April 1, 2011 to</w:t>
            </w:r>
          </w:p>
        </w:tc>
        <w:tc>
          <w:tcPr>
            <w:tcW w:w="1720" w:type="dxa"/>
            <w:vAlign w:val="bottom"/>
          </w:tcPr>
          <w:p>
            <w:pPr>
              <w:jc w:val="center"/>
              <w:spacing w:after="0"/>
              <w:rPr>
                <w:sz w:val="20"/>
                <w:szCs w:val="20"/>
                <w:color w:val="auto"/>
              </w:rPr>
            </w:pPr>
            <w:r>
              <w:rPr>
                <w:rFonts w:ascii="Arial" w:cs="Arial" w:eastAsia="Arial" w:hAnsi="Arial"/>
                <w:sz w:val="17"/>
                <w:szCs w:val="17"/>
                <w:color w:val="auto"/>
                <w:w w:val="96"/>
              </w:rPr>
              <w:t>April 1, 2020 to</w:t>
            </w: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July 1, 2017</w:t>
            </w: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April 1,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16770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150" w:lineRule="exact"/>
        <w:rPr>
          <w:sz w:val="20"/>
          <w:szCs w:val="20"/>
          <w:color w:val="auto"/>
        </w:rPr>
      </w:pPr>
    </w:p>
    <w:p>
      <w:pPr>
        <w:ind w:left="520" w:hanging="516"/>
        <w:spacing w:after="0"/>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Less than 1% of our total outstanding ordinary shares.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and 2018 Performance-Based Incentive Shares</w:t>
      </w:r>
    </w:p>
    <w:p>
      <w:pPr>
        <w:spacing w:after="0" w:line="117" w:lineRule="exact"/>
        <w:rPr>
          <w:sz w:val="20"/>
          <w:szCs w:val="20"/>
          <w:color w:val="auto"/>
        </w:rPr>
      </w:pPr>
    </w:p>
    <w:p>
      <w:pPr>
        <w:ind w:right="360" w:firstLine="532"/>
        <w:spacing w:after="0" w:line="270" w:lineRule="auto"/>
        <w:rPr>
          <w:sz w:val="20"/>
          <w:szCs w:val="20"/>
          <w:color w:val="auto"/>
        </w:rPr>
      </w:pPr>
      <w:r>
        <w:rPr>
          <w:rFonts w:ascii="Arial" w:cs="Arial" w:eastAsia="Arial" w:hAnsi="Arial"/>
          <w:sz w:val="17"/>
          <w:szCs w:val="17"/>
          <w:color w:val="auto"/>
        </w:rPr>
        <w:t>In December 2016, our board of directors and shareholders authorized the issuance of 1,068,114 ordinary shares to Mr. Jian Tang and certain other employees in China upon the fulfillment of certain performance conditions in 2017, and the issuance of 801,086 ordinary shares to Mr. Jian Tang and certain other employees in China upon the fulfillment of certain performance conditions in 2018.</w:t>
      </w:r>
    </w:p>
    <w:p>
      <w:pPr>
        <w:spacing w:after="0" w:line="173" w:lineRule="exact"/>
        <w:rPr>
          <w:sz w:val="20"/>
          <w:szCs w:val="20"/>
          <w:color w:val="auto"/>
        </w:rPr>
      </w:pPr>
    </w:p>
    <w:p>
      <w:pPr>
        <w:ind w:right="240" w:firstLine="532"/>
        <w:spacing w:after="0" w:line="286" w:lineRule="auto"/>
        <w:rPr>
          <w:sz w:val="20"/>
          <w:szCs w:val="20"/>
          <w:color w:val="auto"/>
        </w:rPr>
      </w:pPr>
      <w:r>
        <w:rPr>
          <w:rFonts w:ascii="Arial" w:cs="Arial" w:eastAsia="Arial" w:hAnsi="Arial"/>
          <w:sz w:val="17"/>
          <w:szCs w:val="17"/>
          <w:color w:val="auto"/>
        </w:rPr>
        <w:t>Since the performance conditions were not fulfilled in 2017 and 2018, the 1,068,114 and 801,086 ordinary shares were not issued to Mr. Jian Tang and certain other employees.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Post-IPO Plan</w:t>
      </w:r>
    </w:p>
    <w:p>
      <w:pPr>
        <w:spacing w:after="0" w:line="117" w:lineRule="exact"/>
        <w:rPr>
          <w:sz w:val="20"/>
          <w:szCs w:val="20"/>
          <w:color w:val="auto"/>
        </w:rPr>
      </w:pPr>
    </w:p>
    <w:p>
      <w:pPr>
        <w:ind w:right="40" w:firstLine="532"/>
        <w:spacing w:after="0" w:line="277" w:lineRule="auto"/>
        <w:rPr>
          <w:sz w:val="20"/>
          <w:szCs w:val="20"/>
          <w:color w:val="auto"/>
        </w:rPr>
      </w:pPr>
      <w:r>
        <w:rPr>
          <w:rFonts w:ascii="Arial" w:cs="Arial" w:eastAsia="Arial" w:hAnsi="Arial"/>
          <w:sz w:val="16"/>
          <w:szCs w:val="16"/>
          <w:color w:val="auto"/>
        </w:rPr>
        <w:t>Under our Post-IPO Plan, previously named as 2017 Share Incentive Plan, which became effective in December 2017, directors and consultants and promote the success of our business. On September 22, 2018, our board of directors approved an increase of 1,500,000 Class A ordinary shares to the award pool under the Post-IPO Plan. As a result, the maximum number of ordinary shares which may be issued pursuant to all awards under the Post-IPO Plan shall initially be 2,500,000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 As of the date hereof, the award pool under the Post-IPO Plan is 2,841,374 Class A ordinary shares. As of March 31, 2020, 902,735 Class A ordinary shares are outstanding under our Post-IPO Plan, representing the shares underlying the unvested 902,735 restricted Class A ordinary shares units.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08" w:name="page109"/>
    <w:bookmarkEnd w:id="108"/>
    <w:p>
      <w:pPr>
        <w:ind w:left="540"/>
        <w:spacing w:after="0"/>
        <w:rPr>
          <w:sz w:val="20"/>
          <w:szCs w:val="20"/>
          <w:color w:val="auto"/>
        </w:rPr>
      </w:pPr>
      <w:r>
        <w:rPr>
          <w:rFonts w:ascii="Arial" w:cs="Arial" w:eastAsia="Arial" w:hAnsi="Arial"/>
          <w:sz w:val="17"/>
          <w:szCs w:val="17"/>
          <w:color w:val="auto"/>
        </w:rPr>
        <w:t>The following paragraphs describe the principal terms of the Post-IPO Plan.</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 xml:space="preserve">Types of Awards. </w:t>
      </w:r>
      <w:r>
        <w:rPr>
          <w:rFonts w:ascii="Arial" w:cs="Arial" w:eastAsia="Arial" w:hAnsi="Arial"/>
          <w:sz w:val="17"/>
          <w:szCs w:val="17"/>
          <w:color w:val="auto"/>
        </w:rPr>
        <w:t>The Post-IPO Plan permits the awards of options, restricted shares and restricted share units.</w:t>
      </w:r>
    </w:p>
    <w:p>
      <w:pPr>
        <w:spacing w:after="0" w:line="221" w:lineRule="exact"/>
        <w:rPr>
          <w:sz w:val="20"/>
          <w:szCs w:val="20"/>
          <w:color w:val="auto"/>
        </w:rPr>
      </w:pPr>
    </w:p>
    <w:p>
      <w:pPr>
        <w:jc w:val="both"/>
        <w:ind w:right="320" w:firstLine="532"/>
        <w:spacing w:after="0" w:line="270" w:lineRule="auto"/>
        <w:rPr>
          <w:sz w:val="20"/>
          <w:szCs w:val="20"/>
          <w:color w:val="auto"/>
        </w:rPr>
      </w:pPr>
      <w:r>
        <w:rPr>
          <w:rFonts w:ascii="Arial" w:cs="Arial" w:eastAsia="Arial" w:hAnsi="Arial"/>
          <w:sz w:val="17"/>
          <w:szCs w:val="17"/>
          <w:b w:val="1"/>
          <w:bCs w:val="1"/>
          <w:i w:val="1"/>
          <w:iCs w:val="1"/>
          <w:color w:val="auto"/>
        </w:rPr>
        <w:t xml:space="preserve">Plan Administration. </w:t>
      </w:r>
      <w:r>
        <w:rPr>
          <w:rFonts w:ascii="Arial" w:cs="Arial" w:eastAsia="Arial" w:hAnsi="Arial"/>
          <w:sz w:val="17"/>
          <w:szCs w:val="17"/>
          <w:color w:val="auto"/>
        </w:rPr>
        <w:t>Our board of directors or a committee of one or more members of the board of directors will administer the Post-IPO Plan.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73" w:lineRule="exact"/>
        <w:rPr>
          <w:sz w:val="20"/>
          <w:szCs w:val="20"/>
          <w:color w:val="auto"/>
        </w:rPr>
      </w:pPr>
    </w:p>
    <w:p>
      <w:pPr>
        <w:ind w:right="40" w:firstLine="532"/>
        <w:spacing w:after="0" w:line="270" w:lineRule="auto"/>
        <w:rPr>
          <w:sz w:val="20"/>
          <w:szCs w:val="20"/>
          <w:color w:val="auto"/>
        </w:rPr>
      </w:pPr>
      <w:r>
        <w:rPr>
          <w:rFonts w:ascii="Arial" w:cs="Arial" w:eastAsia="Arial" w:hAnsi="Arial"/>
          <w:sz w:val="17"/>
          <w:szCs w:val="17"/>
          <w:b w:val="1"/>
          <w:bCs w:val="1"/>
          <w:i w:val="1"/>
          <w:iCs w:val="1"/>
          <w:color w:val="auto"/>
        </w:rPr>
        <w:t xml:space="preserve">Award Agreement. </w:t>
      </w:r>
      <w:r>
        <w:rPr>
          <w:rFonts w:ascii="Arial" w:cs="Arial" w:eastAsia="Arial" w:hAnsi="Arial"/>
          <w:sz w:val="17"/>
          <w:szCs w:val="17"/>
          <w:color w:val="auto"/>
        </w:rPr>
        <w:t>Awards granted under the Post-IPO Plan are evidenced by an award agreement that sets forth terms, conditions and limitations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award, which may include the term of the award, the provisions applicable in the event of the grantee’s employment or service terminates, and our authority to unilaterally or bilaterally amend, modify, suspend, cancel or rescind the award.</w:t>
      </w:r>
    </w:p>
    <w:p>
      <w:pPr>
        <w:spacing w:after="0" w:line="173" w:lineRule="exact"/>
        <w:rPr>
          <w:sz w:val="20"/>
          <w:szCs w:val="20"/>
          <w:color w:val="auto"/>
        </w:rPr>
      </w:pPr>
    </w:p>
    <w:p>
      <w:pPr>
        <w:ind w:firstLine="532"/>
        <w:spacing w:after="0" w:line="286" w:lineRule="auto"/>
        <w:rPr>
          <w:sz w:val="20"/>
          <w:szCs w:val="20"/>
          <w:color w:val="auto"/>
        </w:rPr>
      </w:pPr>
      <w:r>
        <w:rPr>
          <w:rFonts w:ascii="Arial" w:cs="Arial" w:eastAsia="Arial" w:hAnsi="Arial"/>
          <w:sz w:val="17"/>
          <w:szCs w:val="17"/>
          <w:b w:val="1"/>
          <w:bCs w:val="1"/>
          <w:i w:val="1"/>
          <w:iCs w:val="1"/>
          <w:color w:val="auto"/>
        </w:rPr>
        <w:t xml:space="preserve">Eligibility. </w:t>
      </w:r>
      <w:r>
        <w:rPr>
          <w:rFonts w:ascii="Arial" w:cs="Arial" w:eastAsia="Arial" w:hAnsi="Arial"/>
          <w:sz w:val="17"/>
          <w:szCs w:val="17"/>
          <w:color w:val="auto"/>
        </w:rPr>
        <w:t>We may grant awards to our employees, directors and consultants of our company. However, we may grant options that are intended to qualify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incentive share options only to our employees and employees of our parent companies and subsidiaries.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21" w:lineRule="exact"/>
        <w:rPr>
          <w:sz w:val="20"/>
          <w:szCs w:val="20"/>
          <w:color w:val="auto"/>
        </w:rPr>
      </w:pPr>
    </w:p>
    <w:p>
      <w:pPr>
        <w:ind w:right="120" w:firstLine="532"/>
        <w:spacing w:after="0" w:line="270" w:lineRule="auto"/>
        <w:rPr>
          <w:sz w:val="20"/>
          <w:szCs w:val="20"/>
          <w:color w:val="auto"/>
        </w:rPr>
      </w:pPr>
      <w:r>
        <w:rPr>
          <w:rFonts w:ascii="Arial" w:cs="Arial" w:eastAsia="Arial" w:hAnsi="Arial"/>
          <w:sz w:val="17"/>
          <w:szCs w:val="17"/>
          <w:b w:val="1"/>
          <w:bCs w:val="1"/>
          <w:i w:val="1"/>
          <w:iCs w:val="1"/>
          <w:color w:val="auto"/>
        </w:rPr>
        <w:t xml:space="preserve">Exercise of Options. </w:t>
      </w:r>
      <w:r>
        <w:rPr>
          <w:rFonts w:ascii="Arial" w:cs="Arial" w:eastAsia="Arial" w:hAnsi="Arial"/>
          <w:sz w:val="17"/>
          <w:szCs w:val="17"/>
          <w:color w:val="auto"/>
        </w:rPr>
        <w:t>The plan administrator determines the exercise price for each award, which is stated in the award agreement. The vested portion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will expire if not exercised prior to the time as the plan administrator determines at the time of its grant. However, the maximum exercisable term is ten years from the date of a grant.</w:t>
      </w:r>
    </w:p>
    <w:p>
      <w:pPr>
        <w:spacing w:after="0" w:line="173" w:lineRule="exact"/>
        <w:rPr>
          <w:sz w:val="20"/>
          <w:szCs w:val="20"/>
          <w:color w:val="auto"/>
        </w:rPr>
      </w:pPr>
    </w:p>
    <w:p>
      <w:pPr>
        <w:ind w:right="100" w:firstLine="532"/>
        <w:spacing w:after="0" w:line="286" w:lineRule="auto"/>
        <w:rPr>
          <w:sz w:val="20"/>
          <w:szCs w:val="20"/>
          <w:color w:val="auto"/>
        </w:rPr>
      </w:pPr>
      <w:r>
        <w:rPr>
          <w:rFonts w:ascii="Arial" w:cs="Arial" w:eastAsia="Arial" w:hAnsi="Arial"/>
          <w:sz w:val="17"/>
          <w:szCs w:val="17"/>
          <w:b w:val="1"/>
          <w:bCs w:val="1"/>
          <w:i w:val="1"/>
          <w:iCs w:val="1"/>
          <w:color w:val="auto"/>
        </w:rPr>
        <w:t xml:space="preserve">Transfer Restrictions. </w:t>
      </w:r>
      <w:r>
        <w:rPr>
          <w:rFonts w:ascii="Arial" w:cs="Arial" w:eastAsia="Arial" w:hAnsi="Arial"/>
          <w:sz w:val="17"/>
          <w:szCs w:val="17"/>
          <w:color w:val="auto"/>
        </w:rPr>
        <w:t>Awards may not be transferred in any manner by the recipient other than by will or the laws of descent and distribution, except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provided by the plan administrator.</w:t>
      </w:r>
    </w:p>
    <w:p>
      <w:pPr>
        <w:spacing w:after="0" w:line="159" w:lineRule="exact"/>
        <w:rPr>
          <w:sz w:val="20"/>
          <w:szCs w:val="20"/>
          <w:color w:val="auto"/>
        </w:rPr>
      </w:pPr>
    </w:p>
    <w:p>
      <w:pPr>
        <w:jc w:val="both"/>
        <w:ind w:right="40" w:firstLine="532"/>
        <w:spacing w:after="0" w:line="287" w:lineRule="auto"/>
        <w:rPr>
          <w:sz w:val="20"/>
          <w:szCs w:val="20"/>
          <w:color w:val="auto"/>
        </w:rPr>
      </w:pPr>
      <w:r>
        <w:rPr>
          <w:rFonts w:ascii="Arial" w:cs="Arial" w:eastAsia="Arial" w:hAnsi="Arial"/>
          <w:sz w:val="16"/>
          <w:szCs w:val="16"/>
          <w:b w:val="1"/>
          <w:bCs w:val="1"/>
          <w:i w:val="1"/>
          <w:iCs w:val="1"/>
          <w:color w:val="auto"/>
        </w:rPr>
        <w:t xml:space="preserve">Termination and amendment of the Post-IPO Plan. </w:t>
      </w:r>
      <w:r>
        <w:rPr>
          <w:rFonts w:ascii="Arial" w:cs="Arial" w:eastAsia="Arial" w:hAnsi="Arial"/>
          <w:sz w:val="16"/>
          <w:szCs w:val="16"/>
          <w:color w:val="auto"/>
        </w:rPr>
        <w:t>Unless terminated earlier, the Post-IPO Plan has a term often years. Our board of directors has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authority to amend or terminate the plan subject to shareholder approval to the extent necessary to comply with applicable law. Shareholder approval is required for any amendment to the Post-IPO Plan that (i) increases the number of shares available under the Post-IPO Plan, or (ii) permits the plan administrator to extend the term of the Post-IPO Plan or the exercise period for an option beyond ten years from the date of grant.</w:t>
      </w:r>
    </w:p>
    <w:p>
      <w:pPr>
        <w:spacing w:after="0" w:line="265" w:lineRule="exact"/>
        <w:rPr>
          <w:sz w:val="20"/>
          <w:szCs w:val="20"/>
          <w:color w:val="auto"/>
        </w:rPr>
      </w:pPr>
    </w:p>
    <w:p>
      <w:pPr>
        <w:ind w:left="520" w:hanging="516"/>
        <w:spacing w:after="0"/>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Board Practices</w:t>
      </w:r>
    </w:p>
    <w:p>
      <w:pPr>
        <w:spacing w:after="0" w:line="117" w:lineRule="exact"/>
        <w:rPr>
          <w:sz w:val="20"/>
          <w:szCs w:val="20"/>
          <w:color w:val="auto"/>
        </w:rPr>
      </w:pPr>
    </w:p>
    <w:p>
      <w:pPr>
        <w:ind w:right="40" w:firstLine="532"/>
        <w:spacing w:after="0" w:line="276" w:lineRule="auto"/>
        <w:rPr>
          <w:sz w:val="20"/>
          <w:szCs w:val="20"/>
          <w:color w:val="auto"/>
        </w:rPr>
      </w:pPr>
      <w:r>
        <w:rPr>
          <w:rFonts w:ascii="Arial" w:cs="Arial" w:eastAsia="Arial" w:hAnsi="Arial"/>
          <w:sz w:val="16"/>
          <w:szCs w:val="16"/>
          <w:color w:val="auto"/>
        </w:rPr>
        <w:t>Our board of directors consists of eight directors, including executive directors and non-executive directors. Pursuant to our ninth amended and restated memorandum and articles of association, the size of our board of directors shall be limited to nine. Please refer to “Item 3. Key Information—D. Risk Factors— Risks Related to Our American Depositary Shares—As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 executive directors has a service contract with us that provides for benefits upon termination of service.</w:t>
      </w:r>
    </w:p>
    <w:p>
      <w:pPr>
        <w:spacing w:after="0" w:line="170" w:lineRule="exact"/>
        <w:rPr>
          <w:sz w:val="20"/>
          <w:szCs w:val="20"/>
          <w:color w:val="auto"/>
        </w:rPr>
      </w:pPr>
    </w:p>
    <w:p>
      <w:pPr>
        <w:ind w:right="20" w:firstLine="532"/>
        <w:spacing w:after="0" w:line="279" w:lineRule="auto"/>
        <w:rPr>
          <w:sz w:val="20"/>
          <w:szCs w:val="20"/>
          <w:color w:val="auto"/>
        </w:rPr>
      </w:pPr>
      <w:r>
        <w:rPr>
          <w:rFonts w:ascii="Arial" w:cs="Arial" w:eastAsia="Arial" w:hAnsi="Arial"/>
          <w:sz w:val="16"/>
          <w:szCs w:val="16"/>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23" w:lineRule="exact"/>
        <w:rPr>
          <w:sz w:val="20"/>
          <w:szCs w:val="20"/>
          <w:color w:val="auto"/>
        </w:rPr>
      </w:pPr>
    </w:p>
    <w:p>
      <w:pPr>
        <w:ind w:firstLine="532"/>
        <w:spacing w:after="0" w:line="278" w:lineRule="auto"/>
        <w:rPr>
          <w:sz w:val="20"/>
          <w:szCs w:val="20"/>
          <w:color w:val="auto"/>
        </w:rPr>
      </w:pPr>
      <w:r>
        <w:rPr>
          <w:rFonts w:ascii="Arial" w:cs="Arial" w:eastAsia="Arial" w:hAnsi="Arial"/>
          <w:sz w:val="16"/>
          <w:szCs w:val="16"/>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“Item 3. Key Information—D. Risk Factors—Risks Related to Our American Depositary Shares—As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We have established an audit committee, a compensation committee, and a nominating and corporate governance committee under the board of directors. We have adopted a charter for each of the three committees. Each committee’s members and functions are described below.</w:t>
      </w:r>
    </w:p>
    <w:p>
      <w:pPr>
        <w:spacing w:after="0" w:line="168" w:lineRule="exact"/>
        <w:rPr>
          <w:sz w:val="20"/>
          <w:szCs w:val="20"/>
          <w:color w:val="auto"/>
        </w:rPr>
      </w:pPr>
    </w:p>
    <w:p>
      <w:pPr>
        <w:ind w:right="200" w:firstLine="532"/>
        <w:spacing w:after="0" w:line="283"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Our audit committee consists of Matthew Chu Pong Fong, Honnus Cheung, Lub Bun Chong, and Dylan Huang, and is chaired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Matthew Chu Pong Fong. Honnus Cheung, Lub Bun Chong, Matthew Chu Pong Fong and Dylan Huang each satisfy the “independence” requirements of the Rule 5605(a)(2) of the Listing Rules of the NASDAQ Stock Market and meet the independence standards under Rule 10A-3 under the Exchange Act. We have determined that Honnus Cheung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60" w:lineRule="exact"/>
        <w:rPr>
          <w:sz w:val="20"/>
          <w:szCs w:val="20"/>
          <w:color w:val="auto"/>
        </w:rPr>
      </w:pPr>
    </w:p>
    <w:p>
      <w:pPr>
        <w:ind w:left="1040" w:right="160" w:hanging="516"/>
        <w:spacing w:after="0" w:line="286" w:lineRule="auto"/>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selecting the independent registered public accounting firm and pre-screening all auditing and non-auditing services permitted to be performed by the independent registered public accounting firm;</w:t>
      </w:r>
    </w:p>
    <w:p>
      <w:pPr>
        <w:spacing w:after="0" w:line="54" w:lineRule="exact"/>
        <w:rPr>
          <w:rFonts w:ascii="Arial" w:cs="Arial" w:eastAsia="Arial" w:hAnsi="Arial"/>
          <w:sz w:val="17"/>
          <w:szCs w:val="17"/>
          <w:color w:val="auto"/>
        </w:rPr>
      </w:pPr>
    </w:p>
    <w:p>
      <w:pPr>
        <w:ind w:left="1040" w:hanging="516"/>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reviewing with the independent registered public accounting firm any audit problems or difficulties and management’s response;</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reviewing and approving all proposed related party transactions, as defined in Item 404 of Regulation S-K under the Securities Act;</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discussing the annual audited financial statements with management and the independent registered public accounting firm;</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28" w:lineRule="exact"/>
        <w:rPr>
          <w:rFonts w:ascii="Arial" w:cs="Arial" w:eastAsia="Arial" w:hAnsi="Arial"/>
          <w:sz w:val="16"/>
          <w:szCs w:val="16"/>
          <w:color w:val="auto"/>
        </w:rPr>
      </w:pPr>
    </w:p>
    <w:p>
      <w:pPr>
        <w:ind w:left="1040" w:hanging="516"/>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annually reviewing and reassessing the adequacy of our audit committee charter;</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meeting separately and periodically with management and the independent registered public accounting firm; and</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reporting regularly to the board of directors.</w:t>
      </w:r>
    </w:p>
    <w:p>
      <w:pPr>
        <w:spacing w:after="0" w:line="221" w:lineRule="exact"/>
        <w:rPr>
          <w:sz w:val="20"/>
          <w:szCs w:val="20"/>
          <w:color w:val="auto"/>
        </w:rPr>
      </w:pPr>
    </w:p>
    <w:p>
      <w:pPr>
        <w:ind w:right="60" w:firstLine="532"/>
        <w:spacing w:after="0" w:line="263"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Our compensation committee consists of Dylan Huang, Wing Hong Sammy Hsieh and Jian Tang, and is chaired by Dylan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Huang. Dylan Huang satisfies the “independence” requirements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74" w:lineRule="exact"/>
        <w:rPr>
          <w:sz w:val="20"/>
          <w:szCs w:val="20"/>
          <w:color w:val="auto"/>
        </w:rPr>
      </w:pPr>
    </w:p>
    <w:p>
      <w:pPr>
        <w:ind w:left="1040" w:hanging="516"/>
        <w:spacing w:after="0"/>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reviewing the total compensation package for our executive officers and making recommendations to the board with respect to it;</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reviewing the compensation of our directors and making recommendations to the board with respect to it; and</w:t>
      </w:r>
    </w:p>
    <w:p>
      <w:pPr>
        <w:spacing w:after="0" w:line="116" w:lineRule="exact"/>
        <w:rPr>
          <w:rFonts w:ascii="Arial" w:cs="Arial" w:eastAsia="Arial" w:hAnsi="Arial"/>
          <w:sz w:val="17"/>
          <w:szCs w:val="17"/>
          <w:color w:val="auto"/>
        </w:rPr>
      </w:pPr>
    </w:p>
    <w:p>
      <w:pPr>
        <w:ind w:left="1040" w:right="200" w:hanging="516"/>
        <w:spacing w:after="0" w:line="286" w:lineRule="auto"/>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periodically reviewing and approving any long-term incentive compensation or equity plans, programs or similar arrangements, annual bonuses, and employee pension and welfare benefit plans.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10" w:name="page111"/>
    <w:bookmarkEnd w:id="110"/>
    <w:p>
      <w:pPr>
        <w:ind w:right="20" w:firstLine="532"/>
        <w:spacing w:after="0" w:line="311" w:lineRule="auto"/>
        <w:rPr>
          <w:sz w:val="20"/>
          <w:szCs w:val="20"/>
          <w:color w:val="auto"/>
        </w:rPr>
      </w:pPr>
      <w:r>
        <w:rPr>
          <w:rFonts w:ascii="Arial" w:cs="Arial" w:eastAsia="Arial" w:hAnsi="Arial"/>
          <w:sz w:val="15"/>
          <w:szCs w:val="15"/>
          <w:b w:val="1"/>
          <w:bCs w:val="1"/>
          <w:i w:val="1"/>
          <w:iCs w:val="1"/>
          <w:color w:val="auto"/>
        </w:rPr>
        <w:t xml:space="preserve">Nominating and Corporate Governance Committee </w:t>
      </w:r>
      <w:r>
        <w:rPr>
          <w:rFonts w:ascii="Arial" w:cs="Arial" w:eastAsia="Arial" w:hAnsi="Arial"/>
          <w:sz w:val="15"/>
          <w:szCs w:val="15"/>
          <w:color w:val="auto"/>
        </w:rPr>
        <w:t>Our nominating and corporate governance committee consists of Honnus Cheung, Wing Hong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Sammy Hsieh and Jian Tang, and is chaired by Honnus Cheung. Honnus Cheung satisfies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43" w:lineRule="exact"/>
        <w:rPr>
          <w:sz w:val="20"/>
          <w:szCs w:val="20"/>
          <w:color w:val="auto"/>
        </w:rPr>
      </w:pPr>
    </w:p>
    <w:p>
      <w:pPr>
        <w:ind w:left="1040" w:hanging="516"/>
        <w:spacing w:after="0"/>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recommending nominees to the board for election or re-election to the board, or for appointment to fill any vacancy on the board;</w:t>
      </w:r>
    </w:p>
    <w:p>
      <w:pPr>
        <w:spacing w:after="0" w:line="116" w:lineRule="exact"/>
        <w:rPr>
          <w:rFonts w:ascii="Arial" w:cs="Arial" w:eastAsia="Arial" w:hAnsi="Arial"/>
          <w:sz w:val="17"/>
          <w:szCs w:val="17"/>
          <w:color w:val="auto"/>
        </w:rPr>
      </w:pPr>
    </w:p>
    <w:p>
      <w:pPr>
        <w:ind w:left="1040" w:right="740" w:hanging="516"/>
        <w:spacing w:after="0" w:line="286" w:lineRule="auto"/>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reviewing annually with the board the current composition of the board with regards to characteristics such as independence, age, skills, experience and availability of service to us; and</w:t>
      </w:r>
    </w:p>
    <w:p>
      <w:pPr>
        <w:spacing w:after="0" w:line="54" w:lineRule="exact"/>
        <w:rPr>
          <w:rFonts w:ascii="Arial" w:cs="Arial" w:eastAsia="Arial" w:hAnsi="Arial"/>
          <w:sz w:val="17"/>
          <w:szCs w:val="17"/>
          <w:color w:val="auto"/>
        </w:rPr>
      </w:pPr>
    </w:p>
    <w:p>
      <w:pPr>
        <w:ind w:left="1040" w:right="320" w:hanging="516"/>
        <w:spacing w:after="0" w:line="286" w:lineRule="auto"/>
        <w:tabs>
          <w:tab w:leader="none" w:pos="10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monitoring compliance with our code of business conduct and ethics, including reviewing the adequacy and effectiveness of our procedures to ensure proper compliance.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Duties of Directors</w:t>
      </w:r>
    </w:p>
    <w:p>
      <w:pPr>
        <w:spacing w:after="0" w:line="123" w:lineRule="exact"/>
        <w:rPr>
          <w:sz w:val="20"/>
          <w:szCs w:val="20"/>
          <w:color w:val="auto"/>
        </w:rPr>
      </w:pPr>
    </w:p>
    <w:p>
      <w:pPr>
        <w:ind w:right="40" w:firstLine="532"/>
        <w:spacing w:after="0" w:line="263" w:lineRule="auto"/>
        <w:rPr>
          <w:sz w:val="20"/>
          <w:szCs w:val="20"/>
          <w:color w:val="auto"/>
        </w:rPr>
      </w:pPr>
      <w:r>
        <w:rPr>
          <w:rFonts w:ascii="Arial" w:cs="Arial" w:eastAsia="Arial" w:hAnsi="Arial"/>
          <w:sz w:val="17"/>
          <w:szCs w:val="17"/>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w:t>
      </w:r>
    </w:p>
    <w:p>
      <w:pPr>
        <w:spacing w:after="0" w:line="178" w:lineRule="exact"/>
        <w:rPr>
          <w:sz w:val="20"/>
          <w:szCs w:val="20"/>
          <w:color w:val="auto"/>
        </w:rPr>
      </w:pPr>
    </w:p>
    <w:p>
      <w:pPr>
        <w:ind w:firstLine="532"/>
        <w:spacing w:after="0" w:line="286" w:lineRule="auto"/>
        <w:rPr>
          <w:sz w:val="20"/>
          <w:szCs w:val="20"/>
          <w:color w:val="auto"/>
        </w:rPr>
      </w:pPr>
      <w:r>
        <w:rPr>
          <w:rFonts w:ascii="Arial" w:cs="Arial" w:eastAsia="Arial" w:hAnsi="Arial"/>
          <w:sz w:val="17"/>
          <w:szCs w:val="17"/>
          <w:color w:val="auto"/>
        </w:rPr>
        <w:t>Our board of directors has all the powers necessary for managing, and for directing and supervising, our business affairs. The functions and powers of our board of directors include, among others:</w:t>
      </w:r>
    </w:p>
    <w:p>
      <w:pPr>
        <w:spacing w:after="0" w:line="54" w:lineRule="exact"/>
        <w:rPr>
          <w:sz w:val="20"/>
          <w:szCs w:val="20"/>
          <w:color w:val="auto"/>
        </w:rPr>
      </w:pPr>
    </w:p>
    <w:p>
      <w:pPr>
        <w:ind w:left="1040" w:hanging="516"/>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convening general meetings and reporting our board’s work at our shareholders’ meetings;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declaring dividends and distributions;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determining our business and investment plans;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appointing officers and determining the term of office of the officers;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preparing our annual financial budgets and financial reports;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formulating proposals for the increase or reduction of our authorized capital; and</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exercising other powers, functions and duties as conferred by our articles of association.</w:t>
      </w:r>
    </w:p>
    <w:p>
      <w:pPr>
        <w:spacing w:after="0" w:line="221" w:lineRule="exact"/>
        <w:rPr>
          <w:sz w:val="20"/>
          <w:szCs w:val="20"/>
          <w:color w:val="auto"/>
        </w:rPr>
      </w:pPr>
    </w:p>
    <w:p>
      <w:pPr>
        <w:ind w:right="80" w:firstLine="532"/>
        <w:spacing w:after="0" w:line="286" w:lineRule="auto"/>
        <w:rPr>
          <w:sz w:val="20"/>
          <w:szCs w:val="20"/>
          <w:color w:val="auto"/>
        </w:rPr>
      </w:pPr>
      <w:r>
        <w:rPr>
          <w:rFonts w:ascii="Arial" w:cs="Arial" w:eastAsia="Arial" w:hAnsi="Arial"/>
          <w:sz w:val="17"/>
          <w:szCs w:val="17"/>
          <w:color w:val="auto"/>
        </w:rPr>
        <w:t>Our directors may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of Directors and Officers</w:t>
      </w:r>
    </w:p>
    <w:p>
      <w:pPr>
        <w:spacing w:after="0" w:line="123" w:lineRule="exact"/>
        <w:rPr>
          <w:sz w:val="20"/>
          <w:szCs w:val="20"/>
          <w:color w:val="auto"/>
        </w:rPr>
      </w:pPr>
    </w:p>
    <w:p>
      <w:pPr>
        <w:ind w:right="40" w:firstLine="532"/>
        <w:spacing w:after="0" w:line="297" w:lineRule="auto"/>
        <w:rPr>
          <w:sz w:val="20"/>
          <w:szCs w:val="20"/>
          <w:color w:val="auto"/>
        </w:rPr>
      </w:pPr>
      <w:r>
        <w:rPr>
          <w:rFonts w:ascii="Arial" w:cs="Arial" w:eastAsia="Arial" w:hAnsi="Arial"/>
          <w:sz w:val="15"/>
          <w:szCs w:val="15"/>
          <w:color w:val="auto"/>
        </w:rPr>
        <w:t>Pursuant to our ninth amended and restated memorandum and articles of association,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55" w:lineRule="exact"/>
        <w:rPr>
          <w:sz w:val="20"/>
          <w:szCs w:val="20"/>
          <w:color w:val="auto"/>
        </w:rPr>
      </w:pPr>
    </w:p>
    <w:p>
      <w:pPr>
        <w:ind w:right="160" w:firstLine="532"/>
        <w:spacing w:after="0" w:line="286" w:lineRule="auto"/>
        <w:rPr>
          <w:sz w:val="20"/>
          <w:szCs w:val="20"/>
          <w:color w:val="auto"/>
        </w:rPr>
      </w:pPr>
      <w:r>
        <w:rPr>
          <w:rFonts w:ascii="Arial" w:cs="Arial" w:eastAsia="Arial" w:hAnsi="Arial"/>
          <w:sz w:val="17"/>
          <w:szCs w:val="17"/>
          <w:color w:val="auto"/>
        </w:rPr>
        <w:t>Pursuant to our ninth amended and restated memorandum and articles of association, any removal or appointment of chairman of the board is subject to shareholder approval by ordinary resolution.</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1" w:name="page112"/>
    <w:bookmarkEnd w:id="111"/>
    <w:p>
      <w:pPr>
        <w:ind w:left="520" w:hanging="516"/>
        <w:spacing w:after="0"/>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Employees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3" w:lineRule="exact"/>
        <w:rPr>
          <w:sz w:val="20"/>
          <w:szCs w:val="20"/>
          <w:color w:val="auto"/>
        </w:rPr>
      </w:pPr>
    </w:p>
    <w:p>
      <w:pPr>
        <w:jc w:val="both"/>
        <w:ind w:right="420" w:firstLine="532"/>
        <w:spacing w:after="0" w:line="286" w:lineRule="auto"/>
        <w:rPr>
          <w:sz w:val="20"/>
          <w:szCs w:val="20"/>
          <w:color w:val="auto"/>
        </w:rPr>
      </w:pPr>
      <w:r>
        <w:rPr>
          <w:rFonts w:ascii="Arial" w:cs="Arial" w:eastAsia="Arial" w:hAnsi="Arial"/>
          <w:sz w:val="17"/>
          <w:szCs w:val="17"/>
          <w:color w:val="auto"/>
        </w:rPr>
        <w:t>As of December 31, 2017, 2018 and 2019 we had a total of 448, 508 and 884 employees, respectively. The table below provides a breakdown of our employees by function as of December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180" w:type="dxa"/>
            <w:vAlign w:val="bottom"/>
          </w:tcPr>
          <w:p>
            <w:pPr>
              <w:ind w:left="460"/>
              <w:spacing w:after="0"/>
              <w:rPr>
                <w:sz w:val="20"/>
                <w:szCs w:val="20"/>
                <w:color w:val="auto"/>
              </w:rPr>
            </w:pPr>
            <w:r>
              <w:rPr>
                <w:rFonts w:ascii="Arial" w:cs="Arial" w:eastAsia="Arial" w:hAnsi="Arial"/>
                <w:sz w:val="14"/>
                <w:szCs w:val="14"/>
                <w:b w:val="1"/>
                <w:bCs w:val="1"/>
                <w:color w:val="auto"/>
                <w:w w:val="99"/>
              </w:rPr>
              <w:t>Number of</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7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6"/>
              </w:rPr>
              <w:t>employees</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Product, technology and data engineering</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7"/>
                <w:szCs w:val="17"/>
                <w:color w:val="auto"/>
              </w:rPr>
              <w:t>Sales, business development and account management</w:t>
            </w:r>
          </w:p>
        </w:tc>
        <w:tc>
          <w:tcPr>
            <w:tcW w:w="380" w:type="dxa"/>
            <w:vAlign w:val="bottom"/>
          </w:tcPr>
          <w:p>
            <w:pPr>
              <w:jc w:val="right"/>
              <w:spacing w:after="0"/>
              <w:rPr>
                <w:sz w:val="20"/>
                <w:szCs w:val="20"/>
                <w:color w:val="auto"/>
              </w:rPr>
            </w:pPr>
            <w:r>
              <w:rPr>
                <w:rFonts w:ascii="Arial" w:cs="Arial" w:eastAsia="Arial" w:hAnsi="Arial"/>
                <w:sz w:val="17"/>
                <w:szCs w:val="17"/>
                <w:color w:val="auto"/>
              </w:rPr>
              <w:t>432</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1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26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40" w:type="dxa"/>
            <w:vAlign w:val="bottom"/>
          </w:tcPr>
          <w:p>
            <w:pPr>
              <w:spacing w:after="0"/>
              <w:rPr>
                <w:sz w:val="20"/>
                <w:szCs w:val="20"/>
                <w:color w:val="auto"/>
              </w:rPr>
            </w:pPr>
            <w:r>
              <w:rPr>
                <w:rFonts w:ascii="Arial" w:cs="Arial" w:eastAsia="Arial" w:hAnsi="Arial"/>
                <w:sz w:val="17"/>
                <w:szCs w:val="17"/>
                <w:color w:val="auto"/>
              </w:rPr>
              <w:t>Total</w:t>
            </w: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w:t>
            </w:r>
          </w:p>
        </w:tc>
        <w:tc>
          <w:tcPr>
            <w:tcW w:w="26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420" w:firstLine="532"/>
        <w:spacing w:after="0" w:line="270" w:lineRule="auto"/>
        <w:rPr>
          <w:sz w:val="20"/>
          <w:szCs w:val="20"/>
          <w:color w:val="auto"/>
        </w:rPr>
      </w:pPr>
      <w:r>
        <w:rPr>
          <w:rFonts w:ascii="Arial" w:cs="Arial" w:eastAsia="Arial" w:hAnsi="Arial"/>
          <w:sz w:val="17"/>
          <w:szCs w:val="17"/>
          <w:color w:val="auto"/>
        </w:rPr>
        <w:t>As of December 31, 2019, we had a total of 884 employees, increased by 74% from 508 as of the end of December 31, 2018. The increase primarily resulted from the increase in headcount for product, technology and data engineering function, as we acquire new subsidiaries and continuously expand and develop our mobile marketing solutions business and enterprise solutions business.</w:t>
      </w:r>
    </w:p>
    <w:p>
      <w:pPr>
        <w:spacing w:after="0" w:line="173" w:lineRule="exact"/>
        <w:rPr>
          <w:sz w:val="20"/>
          <w:szCs w:val="20"/>
          <w:color w:val="auto"/>
        </w:rPr>
      </w:pPr>
    </w:p>
    <w:p>
      <w:pPr>
        <w:ind w:right="60" w:firstLine="532"/>
        <w:spacing w:after="0" w:line="283"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64" w:lineRule="exact"/>
        <w:rPr>
          <w:sz w:val="20"/>
          <w:szCs w:val="20"/>
          <w:color w:val="auto"/>
        </w:rPr>
      </w:pPr>
    </w:p>
    <w:p>
      <w:pPr>
        <w:ind w:right="80" w:firstLine="532"/>
        <w:spacing w:after="0" w:line="261" w:lineRule="auto"/>
        <w:rPr>
          <w:sz w:val="20"/>
          <w:szCs w:val="20"/>
          <w:color w:val="auto"/>
        </w:rPr>
      </w:pPr>
      <w:r>
        <w:rPr>
          <w:rFonts w:ascii="Arial" w:cs="Arial" w:eastAsia="Arial" w:hAnsi="Arial"/>
          <w:sz w:val="17"/>
          <w:szCs w:val="17"/>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82" w:lineRule="exact"/>
        <w:rPr>
          <w:sz w:val="20"/>
          <w:szCs w:val="20"/>
          <w:color w:val="auto"/>
        </w:rPr>
      </w:pPr>
    </w:p>
    <w:p>
      <w:pPr>
        <w:ind w:right="660" w:firstLine="532"/>
        <w:spacing w:after="0" w:line="286" w:lineRule="auto"/>
        <w:rPr>
          <w:sz w:val="20"/>
          <w:szCs w:val="20"/>
          <w:color w:val="auto"/>
        </w:rPr>
      </w:pPr>
      <w:r>
        <w:rPr>
          <w:rFonts w:ascii="Arial" w:cs="Arial" w:eastAsia="Arial" w:hAnsi="Arial"/>
          <w:sz w:val="17"/>
          <w:szCs w:val="17"/>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63" w:lineRule="exact"/>
        <w:rPr>
          <w:sz w:val="20"/>
          <w:szCs w:val="20"/>
          <w:color w:val="auto"/>
        </w:rPr>
      </w:pPr>
    </w:p>
    <w:p>
      <w:pPr>
        <w:ind w:left="520" w:hanging="516"/>
        <w:spacing w:after="0"/>
        <w:tabs>
          <w:tab w:leader="none" w:pos="52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Share Ownership</w:t>
      </w:r>
    </w:p>
    <w:p>
      <w:pPr>
        <w:spacing w:after="0" w:line="116"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The following table sets forth information with respect to the beneficial ownership of our ordinary shares as of March 31, 2020 by:</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each of our directors and executive officers; and</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each person known to us to own beneficially more than 5% of our total outstanding shares.</w:t>
      </w:r>
    </w:p>
    <w:p>
      <w:pPr>
        <w:spacing w:after="0" w:line="221" w:lineRule="exact"/>
        <w:rPr>
          <w:sz w:val="20"/>
          <w:szCs w:val="20"/>
          <w:color w:val="auto"/>
        </w:rPr>
      </w:pPr>
    </w:p>
    <w:p>
      <w:pPr>
        <w:ind w:right="200" w:firstLine="532"/>
        <w:spacing w:after="0" w:line="261" w:lineRule="auto"/>
        <w:rPr>
          <w:sz w:val="20"/>
          <w:szCs w:val="20"/>
          <w:color w:val="auto"/>
        </w:rPr>
      </w:pPr>
      <w:r>
        <w:rPr>
          <w:rFonts w:ascii="Arial" w:cs="Arial" w:eastAsia="Arial" w:hAnsi="Arial"/>
          <w:sz w:val="17"/>
          <w:szCs w:val="17"/>
          <w:color w:val="auto"/>
        </w:rPr>
        <w:t>As of March 31, 2020, there were 38,456,637 ordinary shares outstanding, par value $0.001 per share, being the sum of 33,636,029 Class A ordinary shares and 4,820,608 Class B ordinary shares. The calculations in the table below are based on 36,879,844 ordinary shares outstanding as of March 31, 2020, comprising (i) 32,059,236 Class A ordinary shares, excluding (x) the 1,436,668 Class A ordinary shares held by Arda Holdings Limited underlying the options granted but not yet exercised (whether or not they are vested) and the options reserved for issuance under our 2018 Plan, and (y) the 140,125 Class A ordinary shares held by JPMorgan Chase Bank N.A., our depositary, underlying the unvested restricted Class A ordinary shares units under our Post-IPO Plan, and (ii) 4,820,608 Class B ordinary shares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2" w:name="page113"/>
    <w:bookmarkEnd w:id="112"/>
    <w:p>
      <w:pPr>
        <w:ind w:right="140" w:firstLine="532"/>
        <w:spacing w:after="0" w:line="265" w:lineRule="auto"/>
        <w:rPr>
          <w:sz w:val="20"/>
          <w:szCs w:val="20"/>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as of March 31, 2020, including through the exercise of any option, warrant or other right or the conversion of any other security. These shares, however, are not included in the computation of the percentage ownership of any other person.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Ordinary Shares Beneficially Owned</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180" w:type="dxa"/>
            <w:vAlign w:val="bottom"/>
            <w:gridSpan w:val="2"/>
          </w:tcPr>
          <w:p>
            <w:pPr>
              <w:jc w:val="center"/>
              <w:ind w:right="200"/>
              <w:spacing w:after="0" w:line="127" w:lineRule="exact"/>
              <w:rPr>
                <w:sz w:val="20"/>
                <w:szCs w:val="20"/>
                <w:color w:val="auto"/>
              </w:rPr>
            </w:pPr>
            <w:r>
              <w:rPr>
                <w:rFonts w:ascii="Arial" w:cs="Arial" w:eastAsia="Arial" w:hAnsi="Arial"/>
                <w:sz w:val="14"/>
                <w:szCs w:val="14"/>
                <w:b w:val="1"/>
                <w:bCs w:val="1"/>
                <w:color w:val="auto"/>
                <w:w w:val="89"/>
              </w:rPr>
              <w:t>Class A</w:t>
            </w:r>
          </w:p>
        </w:tc>
        <w:tc>
          <w:tcPr>
            <w:tcW w:w="1160" w:type="dxa"/>
            <w:vAlign w:val="bottom"/>
            <w:gridSpan w:val="2"/>
          </w:tcPr>
          <w:p>
            <w:pPr>
              <w:jc w:val="center"/>
              <w:ind w:right="200"/>
              <w:spacing w:after="0" w:line="127" w:lineRule="exact"/>
              <w:rPr>
                <w:sz w:val="20"/>
                <w:szCs w:val="20"/>
                <w:color w:val="auto"/>
              </w:rPr>
            </w:pPr>
            <w:r>
              <w:rPr>
                <w:rFonts w:ascii="Arial" w:cs="Arial" w:eastAsia="Arial" w:hAnsi="Arial"/>
                <w:sz w:val="14"/>
                <w:szCs w:val="14"/>
                <w:b w:val="1"/>
                <w:bCs w:val="1"/>
                <w:color w:val="auto"/>
                <w:w w:val="85"/>
              </w:rPr>
              <w:t>Class B</w:t>
            </w:r>
          </w:p>
        </w:tc>
        <w:tc>
          <w:tcPr>
            <w:tcW w:w="2160" w:type="dxa"/>
            <w:vAlign w:val="bottom"/>
            <w:gridSpan w:val="3"/>
            <w:vMerge w:val="restart"/>
          </w:tcPr>
          <w:p>
            <w:pPr>
              <w:jc w:val="right"/>
              <w:ind w:right="334"/>
              <w:spacing w:after="0"/>
              <w:rPr>
                <w:sz w:val="20"/>
                <w:szCs w:val="20"/>
                <w:color w:val="auto"/>
              </w:rPr>
            </w:pPr>
            <w:r>
              <w:rPr>
                <w:rFonts w:ascii="Arial" w:cs="Arial" w:eastAsia="Arial" w:hAnsi="Arial"/>
                <w:sz w:val="14"/>
                <w:szCs w:val="14"/>
                <w:b w:val="1"/>
                <w:bCs w:val="1"/>
                <w:color w:val="auto"/>
              </w:rPr>
              <w:t>Total Ordinary Shares</w:t>
            </w:r>
          </w:p>
        </w:tc>
        <w:tc>
          <w:tcPr>
            <w:tcW w:w="300" w:type="dxa"/>
            <w:vAlign w:val="bottom"/>
            <w:vMerge w:val="restart"/>
          </w:tcPr>
          <w:p>
            <w:pPr>
              <w:spacing w:after="0"/>
              <w:rPr>
                <w:sz w:val="11"/>
                <w:szCs w:val="11"/>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Ordinary</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Ordinary</w:t>
            </w:r>
          </w:p>
        </w:tc>
        <w:tc>
          <w:tcPr>
            <w:tcW w:w="2160" w:type="dxa"/>
            <w:vAlign w:val="bottom"/>
            <w:tcBorders>
              <w:bottom w:val="single" w:sz="8" w:color="auto"/>
            </w:tcBorders>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180" w:type="dxa"/>
            <w:vAlign w:val="bottom"/>
            <w:gridSpan w:val="2"/>
          </w:tcPr>
          <w:p>
            <w:pPr>
              <w:jc w:val="center"/>
              <w:ind w:right="200"/>
              <w:spacing w:after="0" w:line="127" w:lineRule="exact"/>
              <w:rPr>
                <w:sz w:val="20"/>
                <w:szCs w:val="20"/>
                <w:color w:val="auto"/>
              </w:rPr>
            </w:pPr>
            <w:r>
              <w:rPr>
                <w:rFonts w:ascii="Arial" w:cs="Arial" w:eastAsia="Arial" w:hAnsi="Arial"/>
                <w:sz w:val="14"/>
                <w:szCs w:val="14"/>
                <w:b w:val="1"/>
                <w:bCs w:val="1"/>
                <w:color w:val="auto"/>
                <w:w w:val="81"/>
              </w:rPr>
              <w:t>Shares</w:t>
            </w:r>
          </w:p>
        </w:tc>
        <w:tc>
          <w:tcPr>
            <w:tcW w:w="1160" w:type="dxa"/>
            <w:vAlign w:val="bottom"/>
            <w:gridSpan w:val="2"/>
          </w:tcPr>
          <w:p>
            <w:pPr>
              <w:jc w:val="center"/>
              <w:ind w:right="200"/>
              <w:spacing w:after="0" w:line="127" w:lineRule="exact"/>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12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w:t>
            </w:r>
          </w:p>
        </w:tc>
        <w:tc>
          <w:tcPr>
            <w:tcW w:w="12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Number</w:t>
            </w:r>
          </w:p>
        </w:tc>
        <w:tc>
          <w:tcPr>
            <w:tcW w:w="11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Power % †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Directors and Executive Officers:</w:t>
            </w: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Wing Hong Sammy Hsieh</w:t>
            </w:r>
            <w:r>
              <w:rPr>
                <w:rFonts w:ascii="Arial" w:cs="Arial" w:eastAsia="Arial" w:hAnsi="Arial"/>
                <w:sz w:val="14"/>
                <w:szCs w:val="14"/>
                <w:color w:val="auto"/>
              </w:rPr>
              <w:t>(1)</w:t>
            </w:r>
          </w:p>
        </w:tc>
        <w:tc>
          <w:tcPr>
            <w:tcW w:w="980" w:type="dxa"/>
            <w:vAlign w:val="bottom"/>
          </w:tcPr>
          <w:p>
            <w:pPr>
              <w:jc w:val="right"/>
              <w:spacing w:after="0"/>
              <w:rPr>
                <w:sz w:val="20"/>
                <w:szCs w:val="20"/>
                <w:color w:val="auto"/>
              </w:rPr>
            </w:pPr>
            <w:r>
              <w:rPr>
                <w:rFonts w:ascii="Arial" w:cs="Arial" w:eastAsia="Arial" w:hAnsi="Arial"/>
                <w:sz w:val="17"/>
                <w:szCs w:val="17"/>
                <w:color w:val="auto"/>
              </w:rPr>
              <w:t>40,834</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2,500,580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2,541,414</w:t>
            </w:r>
          </w:p>
        </w:tc>
        <w:tc>
          <w:tcPr>
            <w:tcW w:w="2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6.9%</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Jian Tang</w:t>
            </w:r>
            <w:r>
              <w:rPr>
                <w:rFonts w:ascii="Arial" w:cs="Arial" w:eastAsia="Arial" w:hAnsi="Arial"/>
                <w:sz w:val="14"/>
                <w:szCs w:val="14"/>
                <w:color w:val="auto"/>
              </w:rPr>
              <w:t>(2)</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97,909</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2,320,028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2,417,937</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6.6%</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7"/>
                <w:szCs w:val="17"/>
                <w:color w:val="auto"/>
              </w:rPr>
              <w:t>Lub Bun Chong</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Matthew Chu Pong Fong</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7"/>
                <w:szCs w:val="17"/>
                <w:color w:val="auto"/>
              </w:rPr>
              <w:t>Dylan Huang</w:t>
            </w:r>
          </w:p>
        </w:tc>
        <w:tc>
          <w:tcPr>
            <w:tcW w:w="1180" w:type="dxa"/>
            <w:vAlign w:val="bottom"/>
            <w:gridSpan w:val="2"/>
          </w:tcPr>
          <w:p>
            <w:pPr>
              <w:ind w:left="800"/>
              <w:spacing w:after="0"/>
              <w:rPr>
                <w:sz w:val="20"/>
                <w:szCs w:val="20"/>
                <w:color w:val="auto"/>
              </w:rPr>
            </w:pPr>
            <w:r>
              <w:rPr>
                <w:rFonts w:ascii="Arial" w:cs="Arial" w:eastAsia="Arial" w:hAnsi="Arial"/>
                <w:sz w:val="17"/>
                <w:szCs w:val="17"/>
                <w:color w:val="auto"/>
              </w:rPr>
              <w:t>(i)</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ind w:left="800"/>
              <w:spacing w:after="0"/>
              <w:rPr>
                <w:sz w:val="20"/>
                <w:szCs w:val="20"/>
                <w:color w:val="auto"/>
              </w:rPr>
            </w:pPr>
            <w:r>
              <w:rPr>
                <w:rFonts w:ascii="Arial" w:cs="Arial" w:eastAsia="Arial" w:hAnsi="Arial"/>
                <w:sz w:val="17"/>
                <w:szCs w:val="17"/>
                <w:color w:val="auto"/>
              </w:rPr>
              <w:t>(i)</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(i)</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Honnus Cheung</w:t>
            </w:r>
          </w:p>
        </w:tc>
        <w:tc>
          <w:tcPr>
            <w:tcW w:w="1180" w:type="dxa"/>
            <w:vAlign w:val="bottom"/>
            <w:gridSpan w:val="2"/>
            <w:shd w:val="clear" w:color="auto" w:fill="CFF0FC"/>
          </w:tcPr>
          <w:p>
            <w:pPr>
              <w:ind w:left="800"/>
              <w:spacing w:after="0"/>
              <w:rPr>
                <w:sz w:val="20"/>
                <w:szCs w:val="20"/>
                <w:color w:val="auto"/>
              </w:rPr>
            </w:pPr>
            <w:r>
              <w:rPr>
                <w:rFonts w:ascii="Arial" w:cs="Arial" w:eastAsia="Arial" w:hAnsi="Arial"/>
                <w:sz w:val="17"/>
                <w:szCs w:val="17"/>
                <w:color w:val="auto"/>
              </w:rPr>
              <w:t>(i)</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ind w:left="800"/>
              <w:spacing w:after="0"/>
              <w:rPr>
                <w:sz w:val="20"/>
                <w:szCs w:val="20"/>
                <w:color w:val="auto"/>
              </w:rPr>
            </w:pPr>
            <w:r>
              <w:rPr>
                <w:rFonts w:ascii="Arial" w:cs="Arial" w:eastAsia="Arial" w:hAnsi="Arial"/>
                <w:sz w:val="17"/>
                <w:szCs w:val="17"/>
                <w:color w:val="auto"/>
              </w:rPr>
              <w:t>(i)</w:t>
            </w: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(i)</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7"/>
                <w:szCs w:val="17"/>
                <w:color w:val="auto"/>
              </w:rPr>
              <w:t>James Kim</w:t>
            </w:r>
          </w:p>
        </w:tc>
        <w:tc>
          <w:tcPr>
            <w:tcW w:w="1180" w:type="dxa"/>
            <w:vAlign w:val="bottom"/>
            <w:gridSpan w:val="2"/>
          </w:tcPr>
          <w:p>
            <w:pPr>
              <w:ind w:left="800"/>
              <w:spacing w:after="0"/>
              <w:rPr>
                <w:sz w:val="20"/>
                <w:szCs w:val="20"/>
                <w:color w:val="auto"/>
              </w:rPr>
            </w:pPr>
            <w:r>
              <w:rPr>
                <w:rFonts w:ascii="Arial" w:cs="Arial" w:eastAsia="Arial" w:hAnsi="Arial"/>
                <w:sz w:val="17"/>
                <w:szCs w:val="17"/>
                <w:color w:val="auto"/>
              </w:rPr>
              <w:t>(i)</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ind w:left="800"/>
              <w:spacing w:after="0"/>
              <w:rPr>
                <w:sz w:val="20"/>
                <w:szCs w:val="20"/>
                <w:color w:val="auto"/>
              </w:rPr>
            </w:pPr>
            <w:r>
              <w:rPr>
                <w:rFonts w:ascii="Arial" w:cs="Arial" w:eastAsia="Arial" w:hAnsi="Arial"/>
                <w:sz w:val="17"/>
                <w:szCs w:val="17"/>
                <w:color w:val="auto"/>
              </w:rPr>
              <w:t>(i)</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(i)</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Terence Li</w:t>
            </w:r>
          </w:p>
        </w:tc>
        <w:tc>
          <w:tcPr>
            <w:tcW w:w="1180" w:type="dxa"/>
            <w:vAlign w:val="bottom"/>
            <w:gridSpan w:val="2"/>
            <w:shd w:val="clear" w:color="auto" w:fill="CFF0FC"/>
          </w:tcPr>
          <w:p>
            <w:pPr>
              <w:ind w:left="800"/>
              <w:spacing w:after="0"/>
              <w:rPr>
                <w:sz w:val="20"/>
                <w:szCs w:val="20"/>
                <w:color w:val="auto"/>
              </w:rPr>
            </w:pPr>
            <w:r>
              <w:rPr>
                <w:rFonts w:ascii="Arial" w:cs="Arial" w:eastAsia="Arial" w:hAnsi="Arial"/>
                <w:sz w:val="17"/>
                <w:szCs w:val="17"/>
                <w:color w:val="auto"/>
              </w:rPr>
              <w:t>(i)</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ind w:left="800"/>
              <w:spacing w:after="0"/>
              <w:rPr>
                <w:sz w:val="20"/>
                <w:szCs w:val="20"/>
                <w:color w:val="auto"/>
              </w:rPr>
            </w:pPr>
            <w:r>
              <w:rPr>
                <w:rFonts w:ascii="Arial" w:cs="Arial" w:eastAsia="Arial" w:hAnsi="Arial"/>
                <w:sz w:val="17"/>
                <w:szCs w:val="17"/>
                <w:color w:val="auto"/>
              </w:rPr>
              <w:t>(i)</w:t>
            </w: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(i)</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221"/>
        </w:trPr>
        <w:tc>
          <w:tcPr>
            <w:tcW w:w="5200" w:type="dxa"/>
            <w:vAlign w:val="bottom"/>
            <w:gridSpan w:val="2"/>
          </w:tcPr>
          <w:p>
            <w:pPr>
              <w:spacing w:after="0"/>
              <w:rPr>
                <w:sz w:val="20"/>
                <w:szCs w:val="20"/>
                <w:color w:val="auto"/>
              </w:rPr>
            </w:pPr>
            <w:r>
              <w:rPr>
                <w:rFonts w:ascii="Arial" w:cs="Arial" w:eastAsia="Arial" w:hAnsi="Arial"/>
                <w:sz w:val="17"/>
                <w:szCs w:val="17"/>
                <w:color w:val="auto"/>
              </w:rPr>
              <w:t>All directors and executive officers as a group</w:t>
            </w:r>
          </w:p>
        </w:tc>
        <w:tc>
          <w:tcPr>
            <w:tcW w:w="980" w:type="dxa"/>
            <w:vAlign w:val="bottom"/>
          </w:tcPr>
          <w:p>
            <w:pPr>
              <w:jc w:val="right"/>
              <w:spacing w:after="0"/>
              <w:rPr>
                <w:sz w:val="20"/>
                <w:szCs w:val="20"/>
                <w:color w:val="auto"/>
              </w:rPr>
            </w:pPr>
            <w:r>
              <w:rPr>
                <w:rFonts w:ascii="Arial" w:cs="Arial" w:eastAsia="Arial" w:hAnsi="Arial"/>
                <w:sz w:val="17"/>
                <w:szCs w:val="17"/>
                <w:color w:val="auto"/>
              </w:rPr>
              <w:t>195,743</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4,820,608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5,016,351</w:t>
            </w:r>
          </w:p>
        </w:tc>
        <w:tc>
          <w:tcPr>
            <w:tcW w:w="2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13.6%</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75.2%</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7"/>
                <w:szCs w:val="17"/>
                <w:b w:val="1"/>
                <w:bCs w:val="1"/>
                <w:color w:val="auto"/>
              </w:rPr>
              <w:t>Principal Shareholders: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Bertelsmann China Holding GmbH and its affiliate</w:t>
            </w:r>
            <w:r>
              <w:rPr>
                <w:rFonts w:ascii="Arial" w:cs="Arial" w:eastAsia="Arial" w:hAnsi="Arial"/>
                <w:sz w:val="14"/>
                <w:szCs w:val="14"/>
                <w:color w:val="auto"/>
              </w:rPr>
              <w:t>(3)</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2,826,871</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2,826,871</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7.7%</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Blue Focus International Limited</w:t>
            </w:r>
            <w:r>
              <w:rPr>
                <w:rFonts w:ascii="Arial" w:cs="Arial" w:eastAsia="Arial" w:hAnsi="Arial"/>
                <w:sz w:val="14"/>
                <w:szCs w:val="14"/>
                <w:color w:val="auto"/>
              </w:rPr>
              <w:t>(4)</w:t>
            </w:r>
          </w:p>
        </w:tc>
        <w:tc>
          <w:tcPr>
            <w:tcW w:w="980" w:type="dxa"/>
            <w:vAlign w:val="bottom"/>
          </w:tcPr>
          <w:p>
            <w:pPr>
              <w:jc w:val="right"/>
              <w:spacing w:after="0"/>
              <w:rPr>
                <w:sz w:val="20"/>
                <w:szCs w:val="20"/>
                <w:color w:val="auto"/>
              </w:rPr>
            </w:pPr>
            <w:r>
              <w:rPr>
                <w:rFonts w:ascii="Arial" w:cs="Arial" w:eastAsia="Arial" w:hAnsi="Arial"/>
                <w:sz w:val="17"/>
                <w:szCs w:val="17"/>
                <w:color w:val="auto"/>
              </w:rPr>
              <w:t>2,454,088</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2,454,088</w:t>
            </w:r>
          </w:p>
        </w:tc>
        <w:tc>
          <w:tcPr>
            <w:tcW w:w="2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6.7%</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Sumitomo Corporation Equity Asia Limited</w:t>
            </w:r>
            <w:r>
              <w:rPr>
                <w:rFonts w:ascii="Arial" w:cs="Arial" w:eastAsia="Arial" w:hAnsi="Arial"/>
                <w:sz w:val="14"/>
                <w:szCs w:val="14"/>
                <w:color w:val="auto"/>
              </w:rPr>
              <w:t>(5)</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1,774,888</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1,774,888</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4.8%</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 xml:space="preserve">Bubinga Holdings Limited </w:t>
            </w:r>
            <w:r>
              <w:rPr>
                <w:rFonts w:ascii="Arial" w:cs="Arial" w:eastAsia="Arial" w:hAnsi="Arial"/>
                <w:sz w:val="14"/>
                <w:szCs w:val="14"/>
                <w:color w:val="auto"/>
              </w:rPr>
              <w:t>(1)</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2,500,580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2,500,580</w:t>
            </w:r>
          </w:p>
        </w:tc>
        <w:tc>
          <w:tcPr>
            <w:tcW w:w="2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6.8%</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Czerny Holdings Limited and Cervetto Holdings</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Limited</w:t>
            </w:r>
            <w:r>
              <w:rPr>
                <w:rFonts w:ascii="Arial" w:cs="Arial" w:eastAsia="Arial" w:hAnsi="Arial"/>
                <w:sz w:val="14"/>
                <w:szCs w:val="14"/>
                <w:color w:val="auto"/>
              </w:rPr>
              <w:t>(6)</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2,260,584</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2,260,584</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6.1%</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Igomax Inc.</w:t>
            </w:r>
            <w:r>
              <w:rPr>
                <w:rFonts w:ascii="Arial" w:cs="Arial" w:eastAsia="Arial" w:hAnsi="Arial"/>
                <w:sz w:val="14"/>
                <w:szCs w:val="14"/>
                <w:color w:val="auto"/>
              </w:rPr>
              <w:t>(7)</w:t>
            </w:r>
          </w:p>
        </w:tc>
        <w:tc>
          <w:tcPr>
            <w:tcW w:w="980" w:type="dxa"/>
            <w:vAlign w:val="bottom"/>
          </w:tcPr>
          <w:p>
            <w:pPr>
              <w:jc w:val="right"/>
              <w:spacing w:after="0"/>
              <w:rPr>
                <w:sz w:val="20"/>
                <w:szCs w:val="20"/>
                <w:color w:val="auto"/>
              </w:rPr>
            </w:pPr>
            <w:r>
              <w:rPr>
                <w:rFonts w:ascii="Arial" w:cs="Arial" w:eastAsia="Arial" w:hAnsi="Arial"/>
                <w:sz w:val="17"/>
                <w:szCs w:val="17"/>
                <w:color w:val="auto"/>
              </w:rPr>
              <w:t>69,996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2,320,028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2,390,024</w:t>
            </w:r>
          </w:p>
        </w:tc>
        <w:tc>
          <w:tcPr>
            <w:tcW w:w="2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6.5%</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Integrated Asset Management (Asia) Ltd.</w:t>
            </w:r>
            <w:r>
              <w:rPr>
                <w:rFonts w:ascii="Arial" w:cs="Arial" w:eastAsia="Arial" w:hAnsi="Arial"/>
                <w:sz w:val="14"/>
                <w:szCs w:val="14"/>
                <w:color w:val="auto"/>
              </w:rPr>
              <w:t>(8)</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2,585,258</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2,585,258</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7.0%</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Marine Central Limited</w:t>
            </w:r>
            <w:r>
              <w:rPr>
                <w:rFonts w:ascii="Arial" w:cs="Arial" w:eastAsia="Arial" w:hAnsi="Arial"/>
                <w:sz w:val="14"/>
                <w:szCs w:val="14"/>
                <w:color w:val="auto"/>
              </w:rPr>
              <w:t>(9)</w:t>
            </w:r>
          </w:p>
        </w:tc>
        <w:tc>
          <w:tcPr>
            <w:tcW w:w="980" w:type="dxa"/>
            <w:vAlign w:val="bottom"/>
          </w:tcPr>
          <w:p>
            <w:pPr>
              <w:jc w:val="right"/>
              <w:spacing w:after="0"/>
              <w:rPr>
                <w:sz w:val="20"/>
                <w:szCs w:val="20"/>
                <w:color w:val="auto"/>
              </w:rPr>
            </w:pPr>
            <w:r>
              <w:rPr>
                <w:rFonts w:ascii="Arial" w:cs="Arial" w:eastAsia="Arial" w:hAnsi="Arial"/>
                <w:sz w:val="17"/>
                <w:szCs w:val="17"/>
                <w:color w:val="auto"/>
              </w:rPr>
              <w:t>2,564,103</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2,564,103</w:t>
            </w:r>
          </w:p>
        </w:tc>
        <w:tc>
          <w:tcPr>
            <w:tcW w:w="2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7.0%</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Creative Big Limited</w:t>
            </w:r>
            <w:r>
              <w:rPr>
                <w:rFonts w:ascii="Arial" w:cs="Arial" w:eastAsia="Arial" w:hAnsi="Arial"/>
                <w:sz w:val="14"/>
                <w:szCs w:val="14"/>
                <w:color w:val="auto"/>
              </w:rPr>
              <w:t>(10)</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3,589,744</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3,589,744</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9.7%</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239395</wp:posOffset>
            </wp:positionV>
            <wp:extent cx="16770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397" w:lineRule="exact"/>
        <w:rPr>
          <w:sz w:val="20"/>
          <w:szCs w:val="20"/>
          <w:color w:val="auto"/>
        </w:rPr>
      </w:pPr>
    </w:p>
    <w:p>
      <w:pPr>
        <w:ind w:left="520" w:hanging="516"/>
        <w:spacing w:after="0"/>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Less than 1% of our total outstanding shares.</w:t>
      </w:r>
    </w:p>
    <w:p>
      <w:pPr>
        <w:spacing w:after="0" w:line="117" w:lineRule="exact"/>
        <w:rPr>
          <w:sz w:val="20"/>
          <w:szCs w:val="20"/>
          <w:color w:val="auto"/>
        </w:rPr>
      </w:pPr>
    </w:p>
    <w:p>
      <w:pPr>
        <w:ind w:left="520" w:right="20" w:hanging="516"/>
        <w:spacing w:after="0" w:line="265" w:lineRule="auto"/>
        <w:tabs>
          <w:tab w:leader="none" w:pos="520" w:val="left"/>
        </w:tabs>
        <w:numPr>
          <w:ilvl w:val="0"/>
          <w:numId w:val="85"/>
        </w:numPr>
        <w:rPr>
          <w:rFonts w:ascii="Arial" w:cs="Arial" w:eastAsia="Arial" w:hAnsi="Arial"/>
          <w:sz w:val="17"/>
          <w:szCs w:val="17"/>
          <w:b w:val="1"/>
          <w:bCs w:val="1"/>
          <w:color w:val="auto"/>
        </w:rPr>
      </w:pPr>
      <w:r>
        <w:rPr>
          <w:rFonts w:ascii="Arial" w:cs="Arial" w:eastAsia="Arial" w:hAnsi="Arial"/>
          <w:sz w:val="17"/>
          <w:szCs w:val="17"/>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March 31, 2020, by the sum of (1) 36,879,844 , which is the total number of ordinary shares outstanding as of March 31, 2020; and (2) the number of ordinary shares that such person or group has the right to acquire within 60 days of March 31, 2020.</w:t>
      </w:r>
    </w:p>
    <w:p>
      <w:pPr>
        <w:spacing w:after="0" w:line="67" w:lineRule="exact"/>
        <w:rPr>
          <w:sz w:val="20"/>
          <w:szCs w:val="20"/>
          <w:color w:val="auto"/>
        </w:rPr>
      </w:pPr>
    </w:p>
    <w:p>
      <w:pPr>
        <w:ind w:left="520" w:right="20" w:hanging="519"/>
        <w:spacing w:after="0" w:line="261" w:lineRule="auto"/>
        <w:tabs>
          <w:tab w:leader="none" w:pos="500" w:val="left"/>
        </w:tabs>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20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83" w:lineRule="exact"/>
        <w:rPr>
          <w:sz w:val="20"/>
          <w:szCs w:val="20"/>
          <w:color w:val="auto"/>
        </w:rPr>
      </w:pPr>
    </w:p>
    <w:p>
      <w:pPr>
        <w:ind w:left="520" w:right="60" w:hanging="516"/>
        <w:spacing w:after="0" w:line="265" w:lineRule="auto"/>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(a) 2,500,580 Class B ordinary shares held by Bubinga Holdings Limited, a British Virgin Islands company wholly owned by Wing Hong Sammy Hsieh, (b) 40,834 Class A ordinary shares that Wing Hong Sammy Hsieh has the right to obtain upon conversion of certain restricted share units he holds within 60 days as of March 31, 2020. The registered office address of Bubinga Holdings Limited is Vistra Corporate Services Centre, Wickhams Cay II, Road Town, Tortola, VG1110, British Virgin Islands.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13" w:name="page114"/>
    <w:bookmarkEnd w:id="113"/>
    <w:p>
      <w:pPr>
        <w:ind w:left="520" w:right="240" w:hanging="516"/>
        <w:spacing w:after="0" w:line="323" w:lineRule="auto"/>
        <w:tabs>
          <w:tab w:leader="none" w:pos="5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Represents (a) 2,320,028 Class B ordinary shares held by Igomax Inc., a British Virgin Islands company wholly owned by Jian Tang, (b) 27,913 Class A ordinary shares that are issuable upon exercise of options held in trust by Mr. Tang on behalf of certain consultants of OptAim, and (c) 69,996 Class A ordinary shares that Igomax Inc. has the right to obtain upon conversion of certain restricted share units it holds within 60 days as of March 31, 2020.</w:t>
      </w:r>
    </w:p>
    <w:p>
      <w:pPr>
        <w:spacing w:after="0" w:line="32" w:lineRule="exact"/>
        <w:rPr>
          <w:rFonts w:ascii="Arial" w:cs="Arial" w:eastAsia="Arial" w:hAnsi="Arial"/>
          <w:sz w:val="15"/>
          <w:szCs w:val="15"/>
          <w:color w:val="auto"/>
        </w:rPr>
      </w:pPr>
    </w:p>
    <w:p>
      <w:pPr>
        <w:ind w:left="520" w:hanging="516"/>
        <w:spacing w:after="0" w:line="263"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(a) 2,234,783 Class A ordinary shares held by Bertelsmann China Holding GmbH, transferred from Bertelsmann Asia Investments AG, a former principal shareholder of our company, on November 29, 2019 and (b) 592,088 Class A ordinary shares held by BAI GmbH, as reported in the Schedule 13G filed by Bertelsmann SE &amp; Co. KGaA, among others, on February 5, 2020. Bertelsmann China Holding GmbH and BAI GmbH are incorporated in Germany. Bertelsmann Asia Investments AG, Bertelsmann China Holding GmbH and BAI GmbH are wholly-owned subsidiaries of Bertelsmann SE &amp; Co. KGaA.</w:t>
      </w:r>
    </w:p>
    <w:p>
      <w:pPr>
        <w:spacing w:after="0" w:line="73" w:lineRule="exact"/>
        <w:rPr>
          <w:rFonts w:ascii="Arial" w:cs="Arial" w:eastAsia="Arial" w:hAnsi="Arial"/>
          <w:sz w:val="17"/>
          <w:szCs w:val="17"/>
          <w:color w:val="auto"/>
        </w:rPr>
      </w:pPr>
    </w:p>
    <w:p>
      <w:pPr>
        <w:ind w:left="520" w:right="20" w:hanging="516"/>
        <w:spacing w:after="0" w:line="295" w:lineRule="auto"/>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2,454,088 Class A ordinary shares held by Blue Focus International Limited, as reported in the Schedule 13G filed by Blue Focus International Limited, among others on February 13, 2014. Blue Focus International Limited is a company incorporated in Hong Kong. Blue Focus International Limited is wholly owned by BlueFocus Intelligent Communication Group Co. Ltd., a company listed on Shenzhen Stock Exchange.</w:t>
      </w:r>
    </w:p>
    <w:p>
      <w:pPr>
        <w:spacing w:after="0" w:line="50" w:lineRule="exact"/>
        <w:rPr>
          <w:rFonts w:ascii="Arial" w:cs="Arial" w:eastAsia="Arial" w:hAnsi="Arial"/>
          <w:sz w:val="16"/>
          <w:szCs w:val="16"/>
          <w:color w:val="auto"/>
        </w:rPr>
      </w:pPr>
    </w:p>
    <w:p>
      <w:pPr>
        <w:ind w:left="520" w:right="340" w:hanging="516"/>
        <w:spacing w:after="0" w:line="270"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1,774,888 Class A ordinary shares held by Sumitomo Corporation Equity Asia Limited, as reported in the Schedule 13G filed by Sumitomo Corporation Equity Asia Limited on February 10, 2020. Sumitomo Corporation Equity Asia Limited is a company incorporated in Hong Kong wholly owned by Sumitomo.</w:t>
      </w:r>
    </w:p>
    <w:p>
      <w:pPr>
        <w:spacing w:after="0" w:line="68" w:lineRule="exact"/>
        <w:rPr>
          <w:rFonts w:ascii="Arial" w:cs="Arial" w:eastAsia="Arial" w:hAnsi="Arial"/>
          <w:sz w:val="17"/>
          <w:szCs w:val="17"/>
          <w:color w:val="auto"/>
        </w:rPr>
      </w:pPr>
    </w:p>
    <w:p>
      <w:pPr>
        <w:ind w:left="520" w:right="40" w:hanging="516"/>
        <w:spacing w:after="0" w:line="258"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(a) 806,580 Class A ordinary shares held by Czerny Holdings Limited (“Czerny”) and (b) 1,454,004 Class A ordinary shares held by Cervetto Holdings Limited (“Cervetto”), as reported in the Schedule 13G filed by Czerny Holding Limited, among others, on February 14, 2020. Czerny and Cervetto are incorporated in the British Virgin Islands. Czerny is a wholly-owned subsidiary of SSG Capital Partners I Side Pocket, L.P. (“SSG I”), SSG Capital Partners I GP, L.P. (“SSG I GPLP”) is the general partner of SSG I and SSG Capital Partners I GPGP, Ltd (“SSG I GPGP”) is the general partner of SSG I GPLP. Cervetto is a wholly-owned subsidiary of SSG Capital Partners II, L.P. (“SSG II”), SSG Capital Partners II GP, L.P (“SSG II GPLP”) is the general partner of SSG II and SSG Capital Partners II GPGP, Ltd. (“SSG II GPGP”) is the general partner of SSG II GPLP. Each of SSG I GPGP and SSG II GPGP is a wholly-owned subsidiary of SSG Capital Holdings Limited (“SSG Hold Co.”). Mr. Wong Ching Him, with Mr. Shyam Maheshwari and Mr. Andreas Vourloumis, holds all voting power over SSG Hold Co and may be deemed to have shared voting control over securities owned by Czerny and Cervetto. The registered office address of Czerny and Cervetto is Vistra Corporate Services Centre, Wickhams Cay II, Road Town, Tortola, British Virgin Islands.</w:t>
      </w:r>
    </w:p>
    <w:p>
      <w:pPr>
        <w:spacing w:after="0" w:line="84" w:lineRule="exact"/>
        <w:rPr>
          <w:rFonts w:ascii="Arial" w:cs="Arial" w:eastAsia="Arial" w:hAnsi="Arial"/>
          <w:sz w:val="17"/>
          <w:szCs w:val="17"/>
          <w:color w:val="auto"/>
        </w:rPr>
      </w:pPr>
    </w:p>
    <w:p>
      <w:pPr>
        <w:ind w:left="520" w:right="220" w:hanging="516"/>
        <w:spacing w:after="0" w:line="286"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2,320,028 Class B ordinary shares held by Igomax Inc, a British Virgin Islands company wholly owned by Jian Tang, and (b) 14,583 Class A ordinary shares that Igomax Inc. has the right to obtain upon conversion of certain restricted share units it holds.</w:t>
      </w:r>
    </w:p>
    <w:p>
      <w:pPr>
        <w:spacing w:after="0" w:line="54" w:lineRule="exact"/>
        <w:rPr>
          <w:rFonts w:ascii="Arial" w:cs="Arial" w:eastAsia="Arial" w:hAnsi="Arial"/>
          <w:sz w:val="17"/>
          <w:szCs w:val="17"/>
          <w:color w:val="auto"/>
        </w:rPr>
      </w:pPr>
    </w:p>
    <w:p>
      <w:pPr>
        <w:ind w:left="520" w:right="160" w:hanging="516"/>
        <w:spacing w:after="0" w:line="265"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2,585,258 Class A ordinary shares held by Integrated Asset Management (Asia) Ltd., as reported in the Schedule 13G file by Integrated Asset Management (Asia) Ltd. on January 23, 2020. Integrated Asset Management (Asia) Ltd. is a company incorporated in the British Virgin Islands. Mr. Yam Tak Cheung is the sole shareholder and the sole director of Integrated Asset Management (Asia) Ltd. The principal business office of Integrated Asset Management (Asia) Ltd. is 21/F, 88 Gloucester Road, Wan Chai, Hong Kong.</w:t>
      </w:r>
    </w:p>
    <w:p>
      <w:pPr>
        <w:spacing w:after="0" w:line="73" w:lineRule="exact"/>
        <w:rPr>
          <w:rFonts w:ascii="Arial" w:cs="Arial" w:eastAsia="Arial" w:hAnsi="Arial"/>
          <w:sz w:val="17"/>
          <w:szCs w:val="17"/>
          <w:color w:val="auto"/>
        </w:rPr>
      </w:pPr>
    </w:p>
    <w:p>
      <w:pPr>
        <w:ind w:left="520" w:hanging="516"/>
        <w:spacing w:after="0" w:line="265"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2,564,103 Class A ordinary shares held by Marine Central Limited, as reported in the Schedule 13G filed by Marine Central Limited on March 5, 2020, which were issued upon the conversion of the entire outstanding principal amount of the mandatory convertible note due 2022 dated November 11, 2019 on February 18, 2020. Mr. Chan Tung Ngai is the majority shareholder and the sole director of Marine Central Limited, who possesses power to direct the voting and disposition of the shares beneficially owned by Marine Central Limited.</w:t>
      </w:r>
    </w:p>
    <w:p>
      <w:pPr>
        <w:spacing w:after="0" w:line="73" w:lineRule="exact"/>
        <w:rPr>
          <w:rFonts w:ascii="Arial" w:cs="Arial" w:eastAsia="Arial" w:hAnsi="Arial"/>
          <w:sz w:val="17"/>
          <w:szCs w:val="17"/>
          <w:color w:val="auto"/>
        </w:rPr>
      </w:pPr>
    </w:p>
    <w:p>
      <w:pPr>
        <w:ind w:left="520" w:right="260" w:hanging="516"/>
        <w:spacing w:after="0" w:line="287" w:lineRule="auto"/>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3,589,744 Class A ordinary shares held by Creative Big Limited, as reported in the Schedule 13G filed by Creative Big Limited on March 5, 2020. Creative Big Limited is a company incorporated in the British Virgin Islands. These ordinary shares were issued for acquisition of Optimal Power Limited. Mr. Kenny Sin Nang Chiu is the sole shareholder and the sole director of Creative Big Limited. The principal business office of Creative Big Limited is Flat 23B, Block 6, Hanley Villa, 22 Yau Lai Road, Yau Kom Tau, Tsuen Wan, Hong Kong S.A.R.</w:t>
      </w:r>
    </w:p>
    <w:p>
      <w:pPr>
        <w:spacing w:after="0" w:line="161" w:lineRule="exact"/>
        <w:rPr>
          <w:sz w:val="20"/>
          <w:szCs w:val="20"/>
          <w:color w:val="auto"/>
        </w:rPr>
      </w:pPr>
    </w:p>
    <w:p>
      <w:pPr>
        <w:ind w:right="80" w:firstLine="532"/>
        <w:spacing w:after="0" w:line="270" w:lineRule="auto"/>
        <w:rPr>
          <w:sz w:val="20"/>
          <w:szCs w:val="20"/>
          <w:color w:val="auto"/>
        </w:rPr>
      </w:pPr>
      <w:r>
        <w:rPr>
          <w:rFonts w:ascii="Arial" w:cs="Arial" w:eastAsia="Arial" w:hAnsi="Arial"/>
          <w:sz w:val="17"/>
          <w:szCs w:val="17"/>
          <w:color w:val="auto"/>
        </w:rPr>
        <w:t>To our knowledge, as of March 31, 2020, 19,309,695, or 52.4% of our ordinary shares were held by one record holder in the United States, which was JPMorgan Chase Bank, N.A., the depositary of our ADS program. The number of beneficial owners of our ADSs in the United States is likely to be much larger than the number of record holders of our ordinary shares in the United States.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are not aware of any arrangement that may, at a subsequent date, result in a change of control of our company.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452" w:right="35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ITEM 7.MAJOR SHAREHOLDERS AND RELATED PARTYTRANSACTIONS</w:t>
      </w:r>
    </w:p>
    <w:p>
      <w:pPr>
        <w:spacing w:after="0" w:line="123" w:lineRule="exact"/>
        <w:rPr>
          <w:sz w:val="20"/>
          <w:szCs w:val="20"/>
          <w:color w:val="auto"/>
        </w:rPr>
      </w:pPr>
    </w:p>
    <w:p>
      <w:pPr>
        <w:ind w:left="520" w:hanging="516"/>
        <w:spacing w:after="0"/>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Major Shareholders</w:t>
      </w:r>
    </w:p>
    <w:p>
      <w:pPr>
        <w:spacing w:after="0" w:line="116"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Please refer to “Item 6. Directors, Senior Management and Employees—E. Share Ownership.”</w:t>
      </w:r>
    </w:p>
    <w:p>
      <w:pPr>
        <w:spacing w:after="0" w:line="324" w:lineRule="exact"/>
        <w:rPr>
          <w:rFonts w:ascii="Arial" w:cs="Arial" w:eastAsia="Arial" w:hAnsi="Arial"/>
          <w:sz w:val="17"/>
          <w:szCs w:val="17"/>
          <w:color w:val="auto"/>
        </w:rPr>
      </w:pPr>
    </w:p>
    <w:p>
      <w:pPr>
        <w:ind w:left="520" w:hanging="516"/>
        <w:spacing w:after="0"/>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Related Party Transactions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Arrangements with our Variable Interest Entity and its Shareholders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See “Item 4. Information on the Company—C. Organizational Structure.”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Agreement</w:t>
      </w:r>
    </w:p>
    <w:p>
      <w:pPr>
        <w:spacing w:after="0" w:line="123" w:lineRule="exact"/>
        <w:rPr>
          <w:sz w:val="20"/>
          <w:szCs w:val="20"/>
          <w:color w:val="auto"/>
        </w:rPr>
      </w:pPr>
    </w:p>
    <w:p>
      <w:pPr>
        <w:ind w:right="380" w:firstLine="532"/>
        <w:spacing w:after="0" w:line="356" w:lineRule="auto"/>
        <w:rPr>
          <w:sz w:val="20"/>
          <w:szCs w:val="20"/>
          <w:color w:val="auto"/>
        </w:rPr>
      </w:pPr>
      <w:r>
        <w:rPr>
          <w:rFonts w:ascii="Arial" w:cs="Arial" w:eastAsia="Arial" w:hAnsi="Arial"/>
          <w:sz w:val="15"/>
          <w:szCs w:val="15"/>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13" w:lineRule="exact"/>
        <w:rPr>
          <w:sz w:val="20"/>
          <w:szCs w:val="20"/>
          <w:color w:val="auto"/>
        </w:rPr>
      </w:pPr>
    </w:p>
    <w:p>
      <w:pPr>
        <w:ind w:right="120" w:firstLine="532"/>
        <w:spacing w:after="0" w:line="286" w:lineRule="auto"/>
        <w:rPr>
          <w:sz w:val="20"/>
          <w:szCs w:val="20"/>
          <w:color w:val="auto"/>
        </w:rPr>
      </w:pPr>
      <w:r>
        <w:rPr>
          <w:rFonts w:ascii="Arial" w:cs="Arial" w:eastAsia="Arial" w:hAnsi="Arial"/>
          <w:sz w:val="17"/>
          <w:szCs w:val="17"/>
          <w:color w:val="auto"/>
        </w:rPr>
        <w:t>The shareholders agreement provides for certain shareholders rights. Except for the registration rights described below, all the shareholders’ rights under the shareholders agreement automatically terminated upon completion of our initial public offering.</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Set forth below is a description of the registration rights granted under the agreement.</w:t>
      </w:r>
    </w:p>
    <w:p>
      <w:pPr>
        <w:spacing w:after="0" w:line="221" w:lineRule="exact"/>
        <w:rPr>
          <w:sz w:val="20"/>
          <w:szCs w:val="20"/>
          <w:color w:val="auto"/>
        </w:rPr>
      </w:pPr>
    </w:p>
    <w:p>
      <w:pPr>
        <w:ind w:right="40" w:firstLine="532"/>
        <w:spacing w:after="0" w:line="276" w:lineRule="auto"/>
        <w:rPr>
          <w:sz w:val="20"/>
          <w:szCs w:val="20"/>
          <w:color w:val="auto"/>
        </w:rPr>
      </w:pPr>
      <w:r>
        <w:rPr>
          <w:rFonts w:ascii="Arial" w:cs="Arial" w:eastAsia="Arial" w:hAnsi="Arial"/>
          <w:sz w:val="16"/>
          <w:szCs w:val="16"/>
          <w:color w:val="auto"/>
        </w:rPr>
        <w:t>Demand Registration Rights. Holders of at least 25% of the registrable securities, which include our ordinary shares issued or issuable to certain 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70" w:lineRule="exact"/>
        <w:rPr>
          <w:sz w:val="20"/>
          <w:szCs w:val="20"/>
          <w:color w:val="auto"/>
        </w:rPr>
      </w:pPr>
    </w:p>
    <w:p>
      <w:pPr>
        <w:ind w:right="40" w:firstLine="532"/>
        <w:spacing w:after="0" w:line="265" w:lineRule="auto"/>
        <w:rPr>
          <w:sz w:val="20"/>
          <w:szCs w:val="20"/>
          <w:color w:val="auto"/>
        </w:rPr>
      </w:pPr>
      <w:r>
        <w:rPr>
          <w:rFonts w:ascii="Arial" w:cs="Arial" w:eastAsia="Arial" w:hAnsi="Arial"/>
          <w:sz w:val="17"/>
          <w:szCs w:val="17"/>
          <w:color w:val="auto"/>
        </w:rPr>
        <w:t>Form F-3 Registration Rights. When we are eligible for registration on Form F-3, upon a written request from any holder of the registrable securities 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7" w:lineRule="exact"/>
        <w:rPr>
          <w:sz w:val="20"/>
          <w:szCs w:val="20"/>
          <w:color w:val="auto"/>
        </w:rPr>
      </w:pPr>
    </w:p>
    <w:p>
      <w:pPr>
        <w:ind w:firstLine="532"/>
        <w:spacing w:after="0" w:line="281" w:lineRule="auto"/>
        <w:rPr>
          <w:sz w:val="20"/>
          <w:szCs w:val="20"/>
          <w:color w:val="auto"/>
        </w:rPr>
      </w:pPr>
      <w:r>
        <w:rPr>
          <w:rFonts w:ascii="Arial" w:cs="Arial" w:eastAsia="Arial" w:hAnsi="Arial"/>
          <w:sz w:val="16"/>
          <w:szCs w:val="16"/>
          <w:color w:val="auto"/>
        </w:rPr>
        <w:t>Piggyback Registration Rights. If we propose to file a registration statement for a public offering for our own account or for the account of holder of 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115" w:name="page116"/>
    <w:bookmarkEnd w:id="115"/>
    <w:p>
      <w:pPr>
        <w:ind w:firstLine="532"/>
        <w:spacing w:after="0" w:line="281" w:lineRule="auto"/>
        <w:rPr>
          <w:sz w:val="20"/>
          <w:szCs w:val="20"/>
          <w:color w:val="auto"/>
        </w:rPr>
      </w:pPr>
      <w:r>
        <w:rPr>
          <w:rFonts w:ascii="Arial" w:cs="Arial" w:eastAsia="Arial" w:hAnsi="Arial"/>
          <w:sz w:val="16"/>
          <w:szCs w:val="16"/>
          <w:color w:val="auto"/>
        </w:rPr>
        <w:t>Underwritten Offering. The underwriters of any underwritten offering may in good faith request a reduction in the number of shares offered by 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right="40" w:firstLine="532"/>
        <w:spacing w:after="0" w:line="283" w:lineRule="auto"/>
        <w:rPr>
          <w:sz w:val="20"/>
          <w:szCs w:val="20"/>
          <w:color w:val="auto"/>
        </w:rPr>
      </w:pPr>
      <w:r>
        <w:rPr>
          <w:rFonts w:ascii="Arial" w:cs="Arial" w:eastAsia="Arial" w:hAnsi="Arial"/>
          <w:sz w:val="16"/>
          <w:szCs w:val="16"/>
          <w:color w:val="auto"/>
        </w:rPr>
        <w:t>Expenses of Registration. We will pay all expenses incurred in complying with the terms of the registration rights provisions, other than the 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64" w:lineRule="exact"/>
        <w:rPr>
          <w:sz w:val="20"/>
          <w:szCs w:val="20"/>
          <w:color w:val="auto"/>
        </w:rPr>
      </w:pPr>
    </w:p>
    <w:p>
      <w:pPr>
        <w:jc w:val="both"/>
        <w:ind w:right="60" w:firstLine="532"/>
        <w:spacing w:after="0" w:line="270" w:lineRule="auto"/>
        <w:rPr>
          <w:sz w:val="20"/>
          <w:szCs w:val="20"/>
          <w:color w:val="auto"/>
        </w:rPr>
      </w:pPr>
      <w:r>
        <w:rPr>
          <w:rFonts w:ascii="Arial" w:cs="Arial" w:eastAsia="Arial" w:hAnsi="Arial"/>
          <w:sz w:val="17"/>
          <w:szCs w:val="17"/>
          <w:color w:val="auto"/>
        </w:rPr>
        <w:t>Termination of Obligations. The registration rights set forth above shall terminate on the later of (i) the date that is five years from the date of closing of a qualified initial public offering and (ii) with respect to any holder, the date on which such holder may sell all of their registrable securities under Rule 144 of the Securities Act in any ninety-day period.</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and Indemnification Agreements</w:t>
      </w:r>
    </w:p>
    <w:p>
      <w:pPr>
        <w:spacing w:after="0" w:line="123" w:lineRule="exact"/>
        <w:rPr>
          <w:sz w:val="20"/>
          <w:szCs w:val="20"/>
          <w:color w:val="auto"/>
        </w:rPr>
      </w:pPr>
    </w:p>
    <w:p>
      <w:pPr>
        <w:ind w:right="400" w:firstLine="532"/>
        <w:spacing w:after="0" w:line="286" w:lineRule="auto"/>
        <w:rPr>
          <w:sz w:val="20"/>
          <w:szCs w:val="20"/>
          <w:color w:val="auto"/>
        </w:rPr>
      </w:pPr>
      <w:r>
        <w:rPr>
          <w:rFonts w:ascii="Arial" w:cs="Arial" w:eastAsia="Arial" w:hAnsi="Arial"/>
          <w:sz w:val="17"/>
          <w:szCs w:val="17"/>
          <w:color w:val="auto"/>
        </w:rPr>
        <w:t>See “Item 6. Directors, Senior Management and Employees—A. Directors and Senior Management—Employment Agreements and Indemnification Agreements with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Incentive Plan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See “Item 6. Directors, Senior Management and Employees—B. Compensation of Directors and Executive Officers—Share Incentive Plans.”</w:t>
      </w:r>
    </w:p>
    <w:p>
      <w:pPr>
        <w:spacing w:after="0" w:line="325" w:lineRule="exact"/>
        <w:rPr>
          <w:sz w:val="20"/>
          <w:szCs w:val="20"/>
          <w:color w:val="auto"/>
        </w:rPr>
      </w:pPr>
    </w:p>
    <w:p>
      <w:pPr>
        <w:ind w:left="540" w:right="8480" w:hanging="536"/>
        <w:spacing w:after="0" w:line="414" w:lineRule="auto"/>
        <w:tabs>
          <w:tab w:leader="none" w:pos="529"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 xml:space="preserve">Interests of Experts and Counsel </w:t>
      </w:r>
      <w:r>
        <w:rPr>
          <w:rFonts w:ascii="Arial" w:cs="Arial" w:eastAsia="Arial" w:hAnsi="Arial"/>
          <w:sz w:val="17"/>
          <w:szCs w:val="17"/>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8.FINANCIAL INFORMATION</w:t>
      </w:r>
    </w:p>
    <w:p>
      <w:pPr>
        <w:spacing w:after="0" w:line="123" w:lineRule="exact"/>
        <w:rPr>
          <w:sz w:val="20"/>
          <w:szCs w:val="20"/>
          <w:color w:val="auto"/>
        </w:rPr>
      </w:pPr>
    </w:p>
    <w:p>
      <w:pPr>
        <w:ind w:left="520" w:hanging="516"/>
        <w:spacing w:after="0"/>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Consolidated Statements and Other Financial Information</w:t>
      </w:r>
    </w:p>
    <w:p>
      <w:pPr>
        <w:spacing w:after="0" w:line="116"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We have appended consolidated financial statements filed as part of this annual report.</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and Administrative Proceedings</w:t>
      </w:r>
    </w:p>
    <w:p>
      <w:pPr>
        <w:spacing w:after="0" w:line="123" w:lineRule="exact"/>
        <w:rPr>
          <w:sz w:val="20"/>
          <w:szCs w:val="20"/>
          <w:color w:val="auto"/>
        </w:rPr>
      </w:pPr>
    </w:p>
    <w:p>
      <w:pPr>
        <w:ind w:right="440" w:firstLine="532"/>
        <w:spacing w:after="0" w:line="265" w:lineRule="auto"/>
        <w:rPr>
          <w:sz w:val="20"/>
          <w:szCs w:val="20"/>
          <w:color w:val="auto"/>
        </w:rPr>
      </w:pPr>
      <w:r>
        <w:rPr>
          <w:rFonts w:ascii="Arial" w:cs="Arial" w:eastAsia="Arial" w:hAnsi="Arial"/>
          <w:sz w:val="17"/>
          <w:szCs w:val="17"/>
          <w:color w:val="auto"/>
        </w:rPr>
        <w:t>Other than as disclosed in this annual report,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 and Dividend Distribution</w:t>
      </w:r>
    </w:p>
    <w:p>
      <w:pPr>
        <w:spacing w:after="0" w:line="123" w:lineRule="exact"/>
        <w:rPr>
          <w:sz w:val="20"/>
          <w:szCs w:val="20"/>
          <w:color w:val="auto"/>
        </w:rPr>
      </w:pPr>
    </w:p>
    <w:p>
      <w:pPr>
        <w:ind w:right="60" w:firstLine="532"/>
        <w:spacing w:after="0" w:line="261"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16" w:name="page117"/>
    <w:bookmarkEnd w:id="116"/>
    <w:p>
      <w:pPr>
        <w:ind w:right="160" w:firstLine="532"/>
        <w:spacing w:after="0" w:line="319" w:lineRule="auto"/>
        <w:rPr>
          <w:sz w:val="20"/>
          <w:szCs w:val="20"/>
          <w:color w:val="auto"/>
        </w:rPr>
      </w:pPr>
      <w:r>
        <w:rPr>
          <w:rFonts w:ascii="Arial" w:cs="Arial" w:eastAsia="Arial" w:hAnsi="Arial"/>
          <w:sz w:val="16"/>
          <w:szCs w:val="16"/>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w:t>
      </w:r>
    </w:p>
    <w:p>
      <w:pPr>
        <w:spacing w:after="0" w:line="135" w:lineRule="exact"/>
        <w:rPr>
          <w:sz w:val="20"/>
          <w:szCs w:val="20"/>
          <w:color w:val="auto"/>
        </w:rPr>
      </w:pPr>
    </w:p>
    <w:p>
      <w:pPr>
        <w:ind w:firstLine="532"/>
        <w:spacing w:after="0" w:line="265" w:lineRule="auto"/>
        <w:rPr>
          <w:sz w:val="20"/>
          <w:szCs w:val="20"/>
          <w:color w:val="auto"/>
        </w:rPr>
      </w:pPr>
      <w:r>
        <w:rPr>
          <w:rFonts w:ascii="Arial" w:cs="Arial" w:eastAsia="Arial" w:hAnsi="Arial"/>
          <w:sz w:val="17"/>
          <w:szCs w:val="17"/>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“Item 4. Information on the Company—B. Business Overview—Regulation—Regulations on Dividend Distribution.”</w:t>
      </w:r>
    </w:p>
    <w:p>
      <w:pPr>
        <w:spacing w:after="0" w:line="177" w:lineRule="exact"/>
        <w:rPr>
          <w:sz w:val="20"/>
          <w:szCs w:val="20"/>
          <w:color w:val="auto"/>
        </w:rPr>
      </w:pPr>
    </w:p>
    <w:p>
      <w:pPr>
        <w:ind w:right="40" w:firstLine="532"/>
        <w:spacing w:after="0" w:line="286" w:lineRule="auto"/>
        <w:rPr>
          <w:sz w:val="20"/>
          <w:szCs w:val="20"/>
          <w:color w:val="auto"/>
        </w:rPr>
      </w:pPr>
      <w:r>
        <w:rPr>
          <w:rFonts w:ascii="Arial" w:cs="Arial" w:eastAsia="Arial" w:hAnsi="Arial"/>
          <w:sz w:val="17"/>
          <w:szCs w:val="17"/>
          <w:color w:val="auto"/>
        </w:rPr>
        <w:t>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p>
      <w:pPr>
        <w:spacing w:after="0" w:line="263" w:lineRule="exact"/>
        <w:rPr>
          <w:sz w:val="20"/>
          <w:szCs w:val="20"/>
          <w:color w:val="auto"/>
        </w:rPr>
      </w:pPr>
    </w:p>
    <w:p>
      <w:pPr>
        <w:ind w:left="520" w:hanging="516"/>
        <w:spacing w:after="0"/>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Significant Changes</w:t>
      </w:r>
    </w:p>
    <w:p>
      <w:pPr>
        <w:spacing w:after="0" w:line="117" w:lineRule="exact"/>
        <w:rPr>
          <w:sz w:val="20"/>
          <w:szCs w:val="20"/>
          <w:color w:val="auto"/>
        </w:rPr>
      </w:pPr>
    </w:p>
    <w:p>
      <w:pPr>
        <w:ind w:right="80" w:firstLine="532"/>
        <w:spacing w:after="0" w:line="286" w:lineRule="auto"/>
        <w:rPr>
          <w:sz w:val="20"/>
          <w:szCs w:val="20"/>
          <w:color w:val="auto"/>
        </w:rPr>
      </w:pPr>
      <w:r>
        <w:rPr>
          <w:rFonts w:ascii="Arial" w:cs="Arial" w:eastAsia="Arial" w:hAnsi="Arial"/>
          <w:sz w:val="17"/>
          <w:szCs w:val="17"/>
          <w:color w:val="auto"/>
        </w:rPr>
        <w:t>Except as disclosed elsewhere in this annual report, we have not experienced any significant changes since the date of our audited consolidated financial statements included in this annual report.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9.THE OFFER AND LISTING</w:t>
      </w:r>
    </w:p>
    <w:p>
      <w:pPr>
        <w:spacing w:after="0" w:line="123" w:lineRule="exact"/>
        <w:rPr>
          <w:sz w:val="20"/>
          <w:szCs w:val="20"/>
          <w:color w:val="auto"/>
        </w:rPr>
      </w:pPr>
    </w:p>
    <w:p>
      <w:pPr>
        <w:ind w:left="540" w:right="8760" w:hanging="536"/>
        <w:spacing w:after="0" w:line="414" w:lineRule="auto"/>
        <w:tabs>
          <w:tab w:leader="none" w:pos="529"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 xml:space="preserve">Offering and Listing Details </w:t>
      </w:r>
      <w:r>
        <w:rPr>
          <w:rFonts w:ascii="Arial" w:cs="Arial" w:eastAsia="Arial" w:hAnsi="Arial"/>
          <w:sz w:val="17"/>
          <w:szCs w:val="17"/>
          <w:color w:val="auto"/>
        </w:rPr>
        <w:t>Not Applicable.</w:t>
      </w:r>
    </w:p>
    <w:p>
      <w:pPr>
        <w:spacing w:after="0" w:line="158" w:lineRule="exact"/>
        <w:rPr>
          <w:rFonts w:ascii="Arial" w:cs="Arial" w:eastAsia="Arial" w:hAnsi="Arial"/>
          <w:sz w:val="17"/>
          <w:szCs w:val="17"/>
          <w:color w:val="auto"/>
        </w:rPr>
      </w:pPr>
    </w:p>
    <w:p>
      <w:pPr>
        <w:ind w:left="540" w:right="9320" w:hanging="536"/>
        <w:spacing w:after="0" w:line="454" w:lineRule="auto"/>
        <w:tabs>
          <w:tab w:leader="none" w:pos="529"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 xml:space="preserve">Plan of Distribution </w:t>
      </w:r>
      <w:r>
        <w:rPr>
          <w:rFonts w:ascii="Arial" w:cs="Arial" w:eastAsia="Arial" w:hAnsi="Arial"/>
          <w:sz w:val="16"/>
          <w:szCs w:val="16"/>
          <w:color w:val="auto"/>
        </w:rPr>
        <w:t>Not Applicable.</w:t>
      </w:r>
    </w:p>
    <w:p>
      <w:pPr>
        <w:spacing w:after="0" w:line="136" w:lineRule="exact"/>
        <w:rPr>
          <w:rFonts w:ascii="Arial" w:cs="Arial" w:eastAsia="Arial" w:hAnsi="Arial"/>
          <w:sz w:val="16"/>
          <w:szCs w:val="16"/>
          <w:color w:val="auto"/>
        </w:rPr>
      </w:pPr>
    </w:p>
    <w:p>
      <w:pPr>
        <w:ind w:left="520" w:hanging="516"/>
        <w:spacing w:after="0"/>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Markets</w:t>
      </w:r>
    </w:p>
    <w:p>
      <w:pPr>
        <w:spacing w:after="0" w:line="116"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Our ADSs, two representing one Class A ordinary share, have been listed on the Nasdaq Global Market since December 21, 2017.</w:t>
      </w:r>
    </w:p>
    <w:p>
      <w:pPr>
        <w:spacing w:after="0" w:line="324" w:lineRule="exact"/>
        <w:rPr>
          <w:rFonts w:ascii="Arial" w:cs="Arial" w:eastAsia="Arial" w:hAnsi="Arial"/>
          <w:sz w:val="17"/>
          <w:szCs w:val="17"/>
          <w:color w:val="auto"/>
        </w:rPr>
      </w:pPr>
    </w:p>
    <w:p>
      <w:pPr>
        <w:ind w:left="540" w:right="9260" w:hanging="536"/>
        <w:spacing w:after="0" w:line="501" w:lineRule="auto"/>
        <w:tabs>
          <w:tab w:leader="none" w:pos="529"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 xml:space="preserve">Selling Shareholders </w:t>
      </w:r>
      <w:r>
        <w:rPr>
          <w:rFonts w:ascii="Arial" w:cs="Arial" w:eastAsia="Arial" w:hAnsi="Arial"/>
          <w:sz w:val="15"/>
          <w:szCs w:val="15"/>
          <w:color w:val="auto"/>
        </w:rPr>
        <w:t>Not Applicable.</w:t>
      </w:r>
    </w:p>
    <w:p>
      <w:pPr>
        <w:spacing w:after="0" w:line="112" w:lineRule="exact"/>
        <w:rPr>
          <w:rFonts w:ascii="Arial" w:cs="Arial" w:eastAsia="Arial" w:hAnsi="Arial"/>
          <w:sz w:val="15"/>
          <w:szCs w:val="15"/>
          <w:color w:val="auto"/>
        </w:rPr>
      </w:pPr>
    </w:p>
    <w:p>
      <w:pPr>
        <w:ind w:left="520" w:hanging="516"/>
        <w:spacing w:after="0"/>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Dilution</w:t>
      </w:r>
    </w:p>
    <w:p>
      <w:pPr>
        <w:spacing w:after="0" w:line="116"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Not Applicable.</w:t>
      </w:r>
    </w:p>
    <w:p>
      <w:pPr>
        <w:spacing w:after="0" w:line="324" w:lineRule="exact"/>
        <w:rPr>
          <w:rFonts w:ascii="Arial" w:cs="Arial" w:eastAsia="Arial" w:hAnsi="Arial"/>
          <w:sz w:val="17"/>
          <w:szCs w:val="17"/>
          <w:color w:val="auto"/>
        </w:rPr>
      </w:pPr>
    </w:p>
    <w:p>
      <w:pPr>
        <w:ind w:left="540" w:right="9200" w:hanging="536"/>
        <w:spacing w:after="0" w:line="501" w:lineRule="auto"/>
        <w:tabs>
          <w:tab w:leader="none" w:pos="529"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 xml:space="preserve">Expenses of the Issue </w:t>
      </w:r>
      <w:r>
        <w:rPr>
          <w:rFonts w:ascii="Arial" w:cs="Arial" w:eastAsia="Arial" w:hAnsi="Arial"/>
          <w:sz w:val="15"/>
          <w:szCs w:val="15"/>
          <w:color w:val="auto"/>
        </w:rPr>
        <w:t>Not Applicable.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556" w:right="37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t>ITEM 10.ADDITIONAL INFORMATION</w:t>
      </w:r>
    </w:p>
    <w:p>
      <w:pPr>
        <w:spacing w:after="0" w:line="123" w:lineRule="exact"/>
        <w:rPr>
          <w:sz w:val="20"/>
          <w:szCs w:val="20"/>
          <w:color w:val="auto"/>
        </w:rPr>
      </w:pPr>
    </w:p>
    <w:p>
      <w:pPr>
        <w:ind w:left="540" w:right="9600" w:hanging="536"/>
        <w:spacing w:after="0" w:line="454" w:lineRule="auto"/>
        <w:tabs>
          <w:tab w:leader="none" w:pos="529"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 xml:space="preserve">Share Capital </w:t>
      </w:r>
      <w:r>
        <w:rPr>
          <w:rFonts w:ascii="Arial" w:cs="Arial" w:eastAsia="Arial" w:hAnsi="Arial"/>
          <w:sz w:val="16"/>
          <w:szCs w:val="16"/>
          <w:color w:val="auto"/>
        </w:rPr>
        <w:t>Not Applicable.</w:t>
      </w:r>
    </w:p>
    <w:p>
      <w:pPr>
        <w:spacing w:after="0" w:line="136" w:lineRule="exact"/>
        <w:rPr>
          <w:rFonts w:ascii="Arial" w:cs="Arial" w:eastAsia="Arial" w:hAnsi="Arial"/>
          <w:sz w:val="16"/>
          <w:szCs w:val="16"/>
          <w:color w:val="auto"/>
        </w:rPr>
      </w:pPr>
    </w:p>
    <w:p>
      <w:pPr>
        <w:ind w:left="520" w:hanging="516"/>
        <w:spacing w:after="0"/>
        <w:tabs>
          <w:tab w:leader="none" w:pos="52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Memorandum and Articles of Association</w:t>
      </w:r>
    </w:p>
    <w:p>
      <w:pPr>
        <w:spacing w:after="0" w:line="117" w:lineRule="exact"/>
        <w:rPr>
          <w:sz w:val="20"/>
          <w:szCs w:val="20"/>
          <w:color w:val="auto"/>
        </w:rPr>
      </w:pPr>
    </w:p>
    <w:p>
      <w:pPr>
        <w:ind w:right="100" w:firstLine="532"/>
        <w:spacing w:after="0" w:line="265" w:lineRule="auto"/>
        <w:rPr>
          <w:sz w:val="20"/>
          <w:szCs w:val="20"/>
          <w:color w:val="auto"/>
        </w:rPr>
      </w:pPr>
      <w:r>
        <w:rPr>
          <w:rFonts w:ascii="Arial" w:cs="Arial" w:eastAsia="Arial" w:hAnsi="Arial"/>
          <w:sz w:val="17"/>
          <w:szCs w:val="17"/>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Law (2020 Revision) insofar as they relate to the material terms of our ordinary shares.</w:t>
      </w:r>
    </w:p>
    <w:p>
      <w:pPr>
        <w:spacing w:after="0" w:line="177" w:lineRule="exact"/>
        <w:rPr>
          <w:sz w:val="20"/>
          <w:szCs w:val="20"/>
          <w:color w:val="auto"/>
        </w:rPr>
      </w:pPr>
    </w:p>
    <w:p>
      <w:pPr>
        <w:ind w:right="600" w:firstLine="532"/>
        <w:spacing w:after="0" w:line="286"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59" w:lineRule="exact"/>
        <w:rPr>
          <w:sz w:val="20"/>
          <w:szCs w:val="20"/>
          <w:color w:val="auto"/>
        </w:rPr>
      </w:pPr>
    </w:p>
    <w:p>
      <w:pPr>
        <w:ind w:right="40" w:firstLine="532"/>
        <w:spacing w:after="0" w:line="286" w:lineRule="auto"/>
        <w:rPr>
          <w:sz w:val="20"/>
          <w:szCs w:val="20"/>
          <w:color w:val="auto"/>
        </w:rPr>
      </w:pPr>
      <w:r>
        <w:rPr>
          <w:rFonts w:ascii="Arial" w:cs="Arial" w:eastAsia="Arial" w:hAnsi="Arial"/>
          <w:sz w:val="17"/>
          <w:szCs w:val="17"/>
          <w:i w:val="1"/>
          <w:iCs w:val="1"/>
          <w:color w:val="auto"/>
        </w:rPr>
        <w:t>Ordinary Shares. Our ordinary shares are issued in registered form and are issued when registered in our register of members. Our shareholders who are non-residents of the Cayman Islands may freely hold and vote their shares.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Register of Members. Under Cayman Islands law, we must keep a register of members and there should be entered therein:</w:t>
      </w:r>
    </w:p>
    <w:p>
      <w:pPr>
        <w:spacing w:after="0" w:line="117" w:lineRule="exact"/>
        <w:rPr>
          <w:sz w:val="20"/>
          <w:szCs w:val="20"/>
          <w:color w:val="auto"/>
        </w:rPr>
      </w:pPr>
    </w:p>
    <w:p>
      <w:pPr>
        <w:ind w:left="1040" w:right="320" w:hanging="516"/>
        <w:spacing w:after="0" w:line="286" w:lineRule="auto"/>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names and addresses of the members, a statement of the shares held by each member, and of the amount paid or agreed to be considered as paid, on the shares of each member;</w:t>
      </w:r>
    </w:p>
    <w:p>
      <w:pPr>
        <w:spacing w:after="0" w:line="54" w:lineRule="exact"/>
        <w:rPr>
          <w:rFonts w:ascii="Arial" w:cs="Arial" w:eastAsia="Arial" w:hAnsi="Arial"/>
          <w:sz w:val="17"/>
          <w:szCs w:val="17"/>
          <w:color w:val="auto"/>
        </w:rPr>
      </w:pPr>
    </w:p>
    <w:p>
      <w:pPr>
        <w:ind w:left="1040" w:hanging="516"/>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date on which the name of any person was entered on the register as a member; and</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date on which any person ceased to be a member.</w:t>
      </w:r>
    </w:p>
    <w:p>
      <w:pPr>
        <w:spacing w:after="0" w:line="221" w:lineRule="exact"/>
        <w:rPr>
          <w:sz w:val="20"/>
          <w:szCs w:val="20"/>
          <w:color w:val="auto"/>
        </w:rPr>
      </w:pPr>
    </w:p>
    <w:p>
      <w:pPr>
        <w:ind w:firstLine="532"/>
        <w:spacing w:after="0" w:line="261"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82" w:lineRule="exact"/>
        <w:rPr>
          <w:sz w:val="20"/>
          <w:szCs w:val="20"/>
          <w:color w:val="auto"/>
        </w:rPr>
      </w:pPr>
    </w:p>
    <w:p>
      <w:pPr>
        <w:ind w:right="140" w:firstLine="532"/>
        <w:spacing w:after="0" w:line="265"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7" w:lineRule="exact"/>
        <w:rPr>
          <w:sz w:val="20"/>
          <w:szCs w:val="20"/>
          <w:color w:val="auto"/>
        </w:rPr>
      </w:pPr>
    </w:p>
    <w:p>
      <w:pPr>
        <w:ind w:right="220" w:firstLine="532"/>
        <w:spacing w:after="0" w:line="311" w:lineRule="auto"/>
        <w:rPr>
          <w:sz w:val="20"/>
          <w:szCs w:val="20"/>
          <w:color w:val="auto"/>
        </w:rPr>
      </w:pPr>
      <w:r>
        <w:rPr>
          <w:rFonts w:ascii="Arial" w:cs="Arial" w:eastAsia="Arial" w:hAnsi="Arial"/>
          <w:sz w:val="15"/>
          <w:szCs w:val="15"/>
          <w:color w:val="auto"/>
        </w:rPr>
        <w:t>Dividends. 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47" w:lineRule="exact"/>
        <w:rPr>
          <w:sz w:val="20"/>
          <w:szCs w:val="20"/>
          <w:color w:val="auto"/>
        </w:rPr>
      </w:pPr>
    </w:p>
    <w:p>
      <w:pPr>
        <w:ind w:right="160" w:firstLine="532"/>
        <w:spacing w:after="0" w:line="287" w:lineRule="auto"/>
        <w:rPr>
          <w:sz w:val="20"/>
          <w:szCs w:val="20"/>
          <w:color w:val="auto"/>
        </w:rPr>
      </w:pPr>
      <w:r>
        <w:rPr>
          <w:rFonts w:ascii="Arial" w:cs="Arial" w:eastAsia="Arial" w:hAnsi="Arial"/>
          <w:sz w:val="16"/>
          <w:szCs w:val="16"/>
          <w:color w:val="auto"/>
        </w:rPr>
        <w:t>Voting Rights. 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118" w:name="page119"/>
    <w:bookmarkEnd w:id="118"/>
    <w:p>
      <w:pPr>
        <w:ind w:firstLine="532"/>
        <w:spacing w:after="0" w:line="265" w:lineRule="auto"/>
        <w:rPr>
          <w:sz w:val="20"/>
          <w:szCs w:val="20"/>
          <w:color w:val="auto"/>
        </w:rPr>
      </w:pPr>
      <w:r>
        <w:rPr>
          <w:rFonts w:ascii="Arial" w:cs="Arial" w:eastAsia="Arial" w:hAnsi="Arial"/>
          <w:sz w:val="17"/>
          <w:szCs w:val="17"/>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77" w:lineRule="exact"/>
        <w:rPr>
          <w:sz w:val="20"/>
          <w:szCs w:val="20"/>
          <w:color w:val="auto"/>
        </w:rPr>
      </w:pPr>
    </w:p>
    <w:p>
      <w:pPr>
        <w:ind w:right="260" w:firstLine="532"/>
        <w:spacing w:after="0" w:line="287"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61" w:lineRule="exact"/>
        <w:rPr>
          <w:sz w:val="20"/>
          <w:szCs w:val="20"/>
          <w:color w:val="auto"/>
        </w:rPr>
      </w:pPr>
    </w:p>
    <w:p>
      <w:pPr>
        <w:ind w:firstLine="532"/>
        <w:spacing w:after="0" w:line="279"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8" w:lineRule="exact"/>
        <w:rPr>
          <w:sz w:val="20"/>
          <w:szCs w:val="20"/>
          <w:color w:val="auto"/>
        </w:rPr>
      </w:pPr>
    </w:p>
    <w:p>
      <w:pPr>
        <w:ind w:right="80" w:firstLine="532"/>
        <w:spacing w:after="0" w:line="283" w:lineRule="auto"/>
        <w:rPr>
          <w:sz w:val="20"/>
          <w:szCs w:val="20"/>
          <w:color w:val="auto"/>
        </w:rPr>
      </w:pPr>
      <w:r>
        <w:rPr>
          <w:rFonts w:ascii="Arial" w:cs="Arial" w:eastAsia="Arial" w:hAnsi="Arial"/>
          <w:sz w:val="16"/>
          <w:szCs w:val="16"/>
          <w:color w:val="auto"/>
        </w:rPr>
        <w:t>Conversion. 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64" w:lineRule="exact"/>
        <w:rPr>
          <w:sz w:val="20"/>
          <w:szCs w:val="20"/>
          <w:color w:val="auto"/>
        </w:rPr>
      </w:pPr>
    </w:p>
    <w:p>
      <w:pPr>
        <w:ind w:right="180" w:firstLine="532"/>
        <w:spacing w:after="0" w:line="286" w:lineRule="auto"/>
        <w:rPr>
          <w:sz w:val="20"/>
          <w:szCs w:val="20"/>
          <w:color w:val="auto"/>
        </w:rPr>
      </w:pPr>
      <w:r>
        <w:rPr>
          <w:rFonts w:ascii="Arial" w:cs="Arial" w:eastAsia="Arial" w:hAnsi="Arial"/>
          <w:sz w:val="17"/>
          <w:szCs w:val="17"/>
          <w:color w:val="auto"/>
        </w:rPr>
        <w:t>Transfer of Ordinary Shares. Subject to the restrictions set out below, any of our shareholders may transfer all or any of his or her ordinary shares by an instrument of transfer in the usual or common form or any other form approved by our board of directors.</w:t>
      </w:r>
    </w:p>
    <w:p>
      <w:pPr>
        <w:spacing w:after="0" w:line="159" w:lineRule="exact"/>
        <w:rPr>
          <w:sz w:val="20"/>
          <w:szCs w:val="20"/>
          <w:color w:val="auto"/>
        </w:rPr>
      </w:pPr>
    </w:p>
    <w:p>
      <w:pPr>
        <w:ind w:firstLine="532"/>
        <w:spacing w:after="0" w:line="286" w:lineRule="auto"/>
        <w:rPr>
          <w:sz w:val="20"/>
          <w:szCs w:val="20"/>
          <w:color w:val="auto"/>
        </w:rPr>
      </w:pPr>
      <w:r>
        <w:rPr>
          <w:rFonts w:ascii="Arial" w:cs="Arial" w:eastAsia="Arial" w:hAnsi="Arial"/>
          <w:sz w:val="17"/>
          <w:szCs w:val="17"/>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4" w:lineRule="exact"/>
        <w:rPr>
          <w:sz w:val="20"/>
          <w:szCs w:val="20"/>
          <w:color w:val="auto"/>
        </w:rPr>
      </w:pPr>
    </w:p>
    <w:p>
      <w:pPr>
        <w:ind w:left="1040" w:right="200" w:hanging="516"/>
        <w:spacing w:after="0" w:line="286" w:lineRule="auto"/>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4" w:lineRule="exact"/>
        <w:rPr>
          <w:rFonts w:ascii="Arial" w:cs="Arial" w:eastAsia="Arial" w:hAnsi="Arial"/>
          <w:sz w:val="17"/>
          <w:szCs w:val="17"/>
          <w:color w:val="auto"/>
        </w:rPr>
      </w:pPr>
    </w:p>
    <w:p>
      <w:pPr>
        <w:ind w:left="1040" w:hanging="516"/>
        <w:spacing w:after="0"/>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instrument of transfer is in respect of only one class of shares;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instrument of transfer is properly stamped, if required;</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28" w:lineRule="exact"/>
        <w:rPr>
          <w:rFonts w:ascii="Arial" w:cs="Arial" w:eastAsia="Arial" w:hAnsi="Arial"/>
          <w:sz w:val="16"/>
          <w:szCs w:val="16"/>
          <w:color w:val="auto"/>
        </w:rPr>
      </w:pPr>
    </w:p>
    <w:p>
      <w:pPr>
        <w:ind w:left="1040" w:right="240" w:hanging="516"/>
        <w:spacing w:after="0" w:line="286" w:lineRule="auto"/>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fee of such maximum sum as the NASDAQ may determine to be payable or such lesser sum as our directors may from time to time require is paid to us in respect thereof.</w:t>
      </w:r>
    </w:p>
    <w:p>
      <w:pPr>
        <w:spacing w:after="0" w:line="159" w:lineRule="exact"/>
        <w:rPr>
          <w:sz w:val="20"/>
          <w:szCs w:val="20"/>
          <w:color w:val="auto"/>
        </w:rPr>
      </w:pPr>
    </w:p>
    <w:p>
      <w:pPr>
        <w:ind w:right="160" w:firstLine="532"/>
        <w:spacing w:after="0" w:line="286" w:lineRule="auto"/>
        <w:rPr>
          <w:sz w:val="20"/>
          <w:szCs w:val="20"/>
          <w:color w:val="auto"/>
        </w:rPr>
      </w:pPr>
      <w:r>
        <w:rPr>
          <w:rFonts w:ascii="Arial" w:cs="Arial" w:eastAsia="Arial" w:hAnsi="Arial"/>
          <w:sz w:val="17"/>
          <w:szCs w:val="17"/>
          <w:color w:val="auto"/>
        </w:rPr>
        <w:t>If our directors refuse to register a transfer they shall, within three months after the date on which the instrument of transfer was lodged, send to each of the transferor and the transferee notice of such refusal.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119" w:name="page120"/>
    <w:bookmarkEnd w:id="119"/>
    <w:p>
      <w:pPr>
        <w:ind w:right="120" w:firstLine="532"/>
        <w:spacing w:after="0" w:line="270" w:lineRule="auto"/>
        <w:rPr>
          <w:sz w:val="20"/>
          <w:szCs w:val="20"/>
          <w:color w:val="auto"/>
        </w:rPr>
      </w:pPr>
      <w:r>
        <w:rPr>
          <w:rFonts w:ascii="Arial" w:cs="Arial" w:eastAsia="Arial" w:hAnsi="Arial"/>
          <w:sz w:val="17"/>
          <w:szCs w:val="17"/>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3" w:lineRule="exact"/>
        <w:rPr>
          <w:sz w:val="20"/>
          <w:szCs w:val="20"/>
          <w:color w:val="auto"/>
        </w:rPr>
      </w:pPr>
    </w:p>
    <w:p>
      <w:pPr>
        <w:ind w:right="380" w:firstLine="532"/>
        <w:spacing w:after="0" w:line="323" w:lineRule="auto"/>
        <w:rPr>
          <w:sz w:val="20"/>
          <w:szCs w:val="20"/>
          <w:color w:val="auto"/>
        </w:rPr>
      </w:pPr>
      <w:r>
        <w:rPr>
          <w:rFonts w:ascii="Arial" w:cs="Arial" w:eastAsia="Arial" w:hAnsi="Arial"/>
          <w:sz w:val="15"/>
          <w:szCs w:val="15"/>
          <w:color w:val="auto"/>
        </w:rPr>
        <w:t>Liquidation. 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36" w:lineRule="exact"/>
        <w:rPr>
          <w:sz w:val="20"/>
          <w:szCs w:val="20"/>
          <w:color w:val="auto"/>
        </w:rPr>
      </w:pPr>
    </w:p>
    <w:p>
      <w:pPr>
        <w:ind w:right="20" w:firstLine="532"/>
        <w:spacing w:after="0" w:line="270" w:lineRule="auto"/>
        <w:rPr>
          <w:sz w:val="20"/>
          <w:szCs w:val="20"/>
          <w:color w:val="auto"/>
        </w:rPr>
      </w:pPr>
      <w:r>
        <w:rPr>
          <w:rFonts w:ascii="Arial" w:cs="Arial" w:eastAsia="Arial" w:hAnsi="Arial"/>
          <w:sz w:val="17"/>
          <w:szCs w:val="17"/>
          <w:color w:val="auto"/>
        </w:rPr>
        <w:t>Calls on Shares and Forfeiture of Shares.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ind w:firstLine="532"/>
        <w:spacing w:after="0" w:line="297" w:lineRule="auto"/>
        <w:rPr>
          <w:sz w:val="20"/>
          <w:szCs w:val="20"/>
          <w:color w:val="auto"/>
        </w:rPr>
      </w:pPr>
      <w:r>
        <w:rPr>
          <w:rFonts w:ascii="Arial" w:cs="Arial" w:eastAsia="Arial" w:hAnsi="Arial"/>
          <w:sz w:val="15"/>
          <w:szCs w:val="15"/>
          <w:color w:val="auto"/>
        </w:rPr>
        <w:t>Redemption, Repurchase and Surrender of Ordinary Shares. 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60" w:lineRule="exact"/>
        <w:rPr>
          <w:sz w:val="20"/>
          <w:szCs w:val="20"/>
          <w:color w:val="auto"/>
        </w:rPr>
      </w:pPr>
    </w:p>
    <w:p>
      <w:pPr>
        <w:ind w:firstLine="532"/>
        <w:spacing w:after="0" w:line="263" w:lineRule="auto"/>
        <w:rPr>
          <w:sz w:val="20"/>
          <w:szCs w:val="20"/>
          <w:color w:val="auto"/>
        </w:rPr>
      </w:pPr>
      <w:r>
        <w:rPr>
          <w:rFonts w:ascii="Arial" w:cs="Arial" w:eastAsia="Arial" w:hAnsi="Arial"/>
          <w:sz w:val="17"/>
          <w:szCs w:val="17"/>
          <w:color w:val="auto"/>
        </w:rPr>
        <w:t>Variations of Rights of Shares. 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78" w:lineRule="exact"/>
        <w:rPr>
          <w:sz w:val="20"/>
          <w:szCs w:val="20"/>
          <w:color w:val="auto"/>
        </w:rPr>
      </w:pPr>
    </w:p>
    <w:p>
      <w:pPr>
        <w:ind w:right="20" w:firstLine="532"/>
        <w:spacing w:after="0" w:line="319" w:lineRule="auto"/>
        <w:rPr>
          <w:sz w:val="20"/>
          <w:szCs w:val="20"/>
          <w:color w:val="auto"/>
        </w:rPr>
      </w:pPr>
      <w:r>
        <w:rPr>
          <w:rFonts w:ascii="Arial" w:cs="Arial" w:eastAsia="Arial" w:hAnsi="Arial"/>
          <w:sz w:val="16"/>
          <w:szCs w:val="16"/>
          <w:color w:val="auto"/>
        </w:rPr>
        <w:t>Issuance of Additional Shares. Our post-offering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35" w:lineRule="exact"/>
        <w:rPr>
          <w:sz w:val="20"/>
          <w:szCs w:val="20"/>
          <w:color w:val="auto"/>
        </w:rPr>
      </w:pPr>
    </w:p>
    <w:p>
      <w:pPr>
        <w:ind w:right="40" w:firstLine="532"/>
        <w:spacing w:after="0" w:line="319"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31" w:lineRule="exact"/>
        <w:rPr>
          <w:sz w:val="20"/>
          <w:szCs w:val="20"/>
          <w:color w:val="auto"/>
        </w:rPr>
      </w:pPr>
    </w:p>
    <w:p>
      <w:pPr>
        <w:ind w:left="1040" w:hanging="516"/>
        <w:spacing w:after="0"/>
        <w:tabs>
          <w:tab w:leader="none" w:pos="10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number of shares of the series;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dividend rights, dividend rates, conversion rights, voting rights; and</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rights and terms of redemption and liquidation preferences.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Our board of directors may issue preferred shares without action by our shareholders to the extent authorized but unissued.</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Issuance of these shares may dilute the voting power of holders of ordinary shares.</w:t>
      </w:r>
    </w:p>
    <w:p>
      <w:pPr>
        <w:spacing w:after="0" w:line="221" w:lineRule="exact"/>
        <w:rPr>
          <w:sz w:val="20"/>
          <w:szCs w:val="20"/>
          <w:color w:val="auto"/>
        </w:rPr>
      </w:pPr>
    </w:p>
    <w:p>
      <w:pPr>
        <w:ind w:right="120" w:firstLine="532"/>
        <w:spacing w:after="0" w:line="286" w:lineRule="auto"/>
        <w:rPr>
          <w:sz w:val="20"/>
          <w:szCs w:val="20"/>
          <w:color w:val="auto"/>
        </w:rPr>
      </w:pPr>
      <w:r>
        <w:rPr>
          <w:rFonts w:ascii="Arial" w:cs="Arial" w:eastAsia="Arial" w:hAnsi="Arial"/>
          <w:sz w:val="17"/>
          <w:szCs w:val="17"/>
          <w:color w:val="auto"/>
        </w:rPr>
        <w:t>Inspection of Books and Records. Holders of our ordinary shares will have no general right under Cayman Islands law to inspect or obtain copies of our list of shareholders or our corporate records. However, we will provide our shareholders with annual audited financial statements.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556" w:right="379" w:bottom="1440" w:gutter="0" w:footer="0" w:header="0"/>
        </w:sectPr>
      </w:pPr>
    </w:p>
    <w:bookmarkStart w:id="120" w:name="page121"/>
    <w:bookmarkEnd w:id="120"/>
    <w:p>
      <w:pPr>
        <w:ind w:right="80" w:firstLine="532"/>
        <w:spacing w:after="0" w:line="319" w:lineRule="auto"/>
        <w:rPr>
          <w:sz w:val="20"/>
          <w:szCs w:val="20"/>
          <w:color w:val="auto"/>
        </w:rPr>
      </w:pPr>
      <w:r>
        <w:rPr>
          <w:rFonts w:ascii="Arial" w:cs="Arial" w:eastAsia="Arial" w:hAnsi="Arial"/>
          <w:sz w:val="16"/>
          <w:szCs w:val="16"/>
          <w:color w:val="auto"/>
        </w:rPr>
        <w:t>Anti-Takeover Provisions. Some provisions of our post-offering amended and restated memorandum and articles of association may discourage, delay or prevent a change of control of our company or management that shareholders may consider favorable, including provisions that:</w:t>
      </w:r>
    </w:p>
    <w:p>
      <w:pPr>
        <w:spacing w:after="0" w:line="31" w:lineRule="exact"/>
        <w:rPr>
          <w:sz w:val="20"/>
          <w:szCs w:val="20"/>
          <w:color w:val="auto"/>
        </w:rPr>
      </w:pPr>
    </w:p>
    <w:p>
      <w:pPr>
        <w:ind w:left="1040" w:right="440" w:hanging="516"/>
        <w:spacing w:after="0" w:line="286" w:lineRule="auto"/>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4" w:lineRule="exact"/>
        <w:rPr>
          <w:rFonts w:ascii="Arial" w:cs="Arial" w:eastAsia="Arial" w:hAnsi="Arial"/>
          <w:sz w:val="17"/>
          <w:szCs w:val="17"/>
          <w:color w:val="auto"/>
        </w:rPr>
      </w:pPr>
    </w:p>
    <w:p>
      <w:pPr>
        <w:ind w:left="1040" w:hanging="516"/>
        <w:spacing w:after="0"/>
        <w:tabs>
          <w:tab w:leader="none" w:pos="10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limit the ability of shareholders to requisition and convene general meetings of shareholders.</w:t>
      </w:r>
    </w:p>
    <w:p>
      <w:pPr>
        <w:spacing w:after="0" w:line="221" w:lineRule="exact"/>
        <w:rPr>
          <w:sz w:val="20"/>
          <w:szCs w:val="20"/>
          <w:color w:val="auto"/>
        </w:rPr>
      </w:pPr>
    </w:p>
    <w:p>
      <w:pPr>
        <w:ind w:right="560" w:firstLine="532"/>
        <w:spacing w:after="0" w:line="356" w:lineRule="auto"/>
        <w:rPr>
          <w:sz w:val="20"/>
          <w:szCs w:val="20"/>
          <w:color w:val="auto"/>
        </w:rPr>
      </w:pPr>
      <w:r>
        <w:rPr>
          <w:rFonts w:ascii="Arial" w:cs="Arial" w:eastAsia="Arial" w:hAnsi="Arial"/>
          <w:sz w:val="15"/>
          <w:szCs w:val="15"/>
          <w:color w:val="auto"/>
        </w:rPr>
        <w:t>However, under Cayman Islands law, our directors may only exercise the rights and powers granted to them under our post- offering amended and restated memorandum and articles of association for a proper purpose and for what they believe in good faith to be in the best interests of our company.</w:t>
      </w:r>
    </w:p>
    <w:p>
      <w:pPr>
        <w:spacing w:after="0" w:line="113" w:lineRule="exact"/>
        <w:rPr>
          <w:sz w:val="20"/>
          <w:szCs w:val="20"/>
          <w:color w:val="auto"/>
        </w:rPr>
      </w:pPr>
    </w:p>
    <w:p>
      <w:pPr>
        <w:ind w:right="560" w:firstLine="532"/>
        <w:spacing w:after="0" w:line="286" w:lineRule="auto"/>
        <w:rPr>
          <w:sz w:val="20"/>
          <w:szCs w:val="20"/>
          <w:color w:val="auto"/>
        </w:rPr>
      </w:pPr>
      <w:r>
        <w:rPr>
          <w:rFonts w:ascii="Arial" w:cs="Arial" w:eastAsia="Arial" w:hAnsi="Arial"/>
          <w:sz w:val="17"/>
          <w:szCs w:val="17"/>
          <w:color w:val="auto"/>
        </w:rPr>
        <w:t>General Meetings of Shareholders and Shareholder Proposals. Our shareholders’ general meetings may be held in such place within or outside the Cayman Islands as our board of directors considers appropriate.</w:t>
      </w:r>
    </w:p>
    <w:p>
      <w:pPr>
        <w:spacing w:after="0" w:line="159" w:lineRule="exact"/>
        <w:rPr>
          <w:sz w:val="20"/>
          <w:szCs w:val="20"/>
          <w:color w:val="auto"/>
        </w:rPr>
      </w:pPr>
    </w:p>
    <w:p>
      <w:pPr>
        <w:ind w:right="440" w:firstLine="532"/>
        <w:spacing w:after="0" w:line="319"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35" w:lineRule="exact"/>
        <w:rPr>
          <w:sz w:val="20"/>
          <w:szCs w:val="20"/>
          <w:color w:val="auto"/>
        </w:rPr>
      </w:pPr>
    </w:p>
    <w:p>
      <w:pPr>
        <w:ind w:firstLine="532"/>
        <w:spacing w:after="0" w:line="265" w:lineRule="auto"/>
        <w:rPr>
          <w:sz w:val="20"/>
          <w:szCs w:val="20"/>
          <w:color w:val="auto"/>
        </w:rPr>
      </w:pPr>
      <w:r>
        <w:rPr>
          <w:rFonts w:ascii="Arial" w:cs="Arial" w:eastAsia="Arial" w:hAnsi="Arial"/>
          <w:sz w:val="17"/>
          <w:szCs w:val="17"/>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77" w:lineRule="exact"/>
        <w:rPr>
          <w:sz w:val="20"/>
          <w:szCs w:val="20"/>
          <w:color w:val="auto"/>
        </w:rPr>
      </w:pPr>
    </w:p>
    <w:p>
      <w:pPr>
        <w:jc w:val="both"/>
        <w:ind w:right="20" w:firstLine="532"/>
        <w:spacing w:after="0" w:line="265" w:lineRule="auto"/>
        <w:rPr>
          <w:sz w:val="20"/>
          <w:szCs w:val="20"/>
          <w:color w:val="auto"/>
        </w:rPr>
      </w:pPr>
      <w:r>
        <w:rPr>
          <w:rFonts w:ascii="Arial" w:cs="Arial" w:eastAsia="Arial" w:hAnsi="Arial"/>
          <w:sz w:val="17"/>
          <w:szCs w:val="17"/>
          <w:color w:val="auto"/>
        </w:rPr>
        <w:t>Exempted Company. 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3" w:lineRule="exact"/>
        <w:rPr>
          <w:sz w:val="20"/>
          <w:szCs w:val="20"/>
          <w:color w:val="auto"/>
        </w:rPr>
      </w:pPr>
    </w:p>
    <w:p>
      <w:pPr>
        <w:ind w:left="1040" w:hanging="516"/>
        <w:spacing w:after="0"/>
        <w:tabs>
          <w:tab w:leader="none" w:pos="1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does not have to file an annual return of its shareholders with the Registrar of Companies;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is not required to open its register of members for inspection;</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does not have to hold an annual general meeting;</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may issue negotiable or bearer shares or shares with no par value;</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1"/>
          <w:numId w:val="98"/>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28" w:lineRule="exact"/>
        <w:rPr>
          <w:rFonts w:ascii="Arial" w:cs="Arial" w:eastAsia="Arial" w:hAnsi="Arial"/>
          <w:sz w:val="16"/>
          <w:szCs w:val="16"/>
          <w:color w:val="auto"/>
        </w:rPr>
      </w:pPr>
    </w:p>
    <w:p>
      <w:pPr>
        <w:ind w:left="1040" w:hanging="516"/>
        <w:spacing w:after="0"/>
        <w:tabs>
          <w:tab w:leader="none" w:pos="1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may register by way of continuation in another jurisdiction and be deregistered in the Cayman Islands;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may register as a limited duration company; and</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may register as a segregated portfolio company.</w:t>
      </w:r>
    </w:p>
    <w:p>
      <w:pPr>
        <w:spacing w:after="0" w:line="3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w:t>
      </w:r>
      <w:r>
        <w:rPr>
          <w:rFonts w:ascii="Arial" w:cs="Arial" w:eastAsia="Arial" w:hAnsi="Arial"/>
          <w:sz w:val="15"/>
          <w:szCs w:val="15"/>
          <w:u w:val="single" w:color="auto"/>
          <w:color w:val="auto"/>
        </w:rPr>
        <w:t>Material Contracts</w:t>
      </w:r>
    </w:p>
    <w:p>
      <w:pPr>
        <w:spacing w:after="0" w:line="116"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5"/>
          <w:szCs w:val="15"/>
          <w:color w:val="auto"/>
        </w:rPr>
        <w:t>We have not entered into any material contracts other than in the ordinary course of business and other than those described in “Item 4. Information on the</w:t>
      </w:r>
    </w:p>
    <w:p>
      <w:pPr>
        <w:spacing w:after="0" w:line="48"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Company,” “Item 7. Major Shareholders and Related Party Transactions—B. Related Party Transactions” and “Item 10. Additional Information—C. Material Contracts” or elsewhere in this annual report.</w:t>
      </w:r>
    </w:p>
    <w:p>
      <w:pPr>
        <w:spacing w:after="0" w:line="275" w:lineRule="exact"/>
        <w:rPr>
          <w:sz w:val="20"/>
          <w:szCs w:val="20"/>
          <w:color w:val="auto"/>
        </w:rPr>
      </w:pPr>
    </w:p>
    <w:p>
      <w:pPr>
        <w:ind w:left="520" w:hanging="516"/>
        <w:spacing w:after="0"/>
        <w:tabs>
          <w:tab w:leader="none" w:pos="52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Exchange Controls</w:t>
      </w:r>
    </w:p>
    <w:p>
      <w:pPr>
        <w:spacing w:after="0" w:line="117" w:lineRule="exact"/>
        <w:rPr>
          <w:sz w:val="20"/>
          <w:szCs w:val="20"/>
          <w:color w:val="auto"/>
        </w:rPr>
      </w:pPr>
    </w:p>
    <w:p>
      <w:pPr>
        <w:ind w:right="200" w:firstLine="532"/>
        <w:spacing w:after="0" w:line="286" w:lineRule="auto"/>
        <w:rPr>
          <w:sz w:val="20"/>
          <w:szCs w:val="20"/>
          <w:color w:val="auto"/>
        </w:rPr>
      </w:pPr>
      <w:r>
        <w:rPr>
          <w:rFonts w:ascii="Arial" w:cs="Arial" w:eastAsia="Arial" w:hAnsi="Arial"/>
          <w:sz w:val="17"/>
          <w:szCs w:val="17"/>
          <w:color w:val="auto"/>
        </w:rPr>
        <w:t>See “Item 4. Information on the Company—B. Business Overview—Regulation—Regulations on Foreign Exchange” and “—Regulations on Dividend Distribution.”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21" w:name="page122"/>
    <w:bookmarkEnd w:id="121"/>
    <w:p>
      <w:pPr>
        <w:ind w:left="520" w:hanging="516"/>
        <w:spacing w:after="0"/>
        <w:tabs>
          <w:tab w:leader="none" w:pos="52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Taxation</w:t>
      </w:r>
    </w:p>
    <w:p>
      <w:pPr>
        <w:spacing w:after="0" w:line="221" w:lineRule="exact"/>
        <w:rPr>
          <w:sz w:val="20"/>
          <w:szCs w:val="20"/>
          <w:color w:val="auto"/>
        </w:rPr>
      </w:pPr>
    </w:p>
    <w:p>
      <w:pPr>
        <w:ind w:firstLine="532"/>
        <w:spacing w:after="0" w:line="311" w:lineRule="auto"/>
        <w:rPr>
          <w:sz w:val="20"/>
          <w:szCs w:val="20"/>
          <w:color w:val="auto"/>
        </w:rPr>
      </w:pPr>
      <w:r>
        <w:rPr>
          <w:rFonts w:ascii="Arial" w:cs="Arial" w:eastAsia="Arial" w:hAnsi="Arial"/>
          <w:sz w:val="15"/>
          <w:szCs w:val="15"/>
          <w:color w:val="auto"/>
        </w:rPr>
        <w:t>The following summary of the material Cayman Islands, Hong Kong, the PRC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United States state or local tax laws, or tax laws of jurisdictions other than the Cayman Islands, Hong Kong, the PRC and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Cayman Islands Taxation</w:t>
      </w:r>
    </w:p>
    <w:p>
      <w:pPr>
        <w:spacing w:after="0" w:line="117" w:lineRule="exact"/>
        <w:rPr>
          <w:sz w:val="20"/>
          <w:szCs w:val="20"/>
          <w:color w:val="auto"/>
        </w:rPr>
      </w:pPr>
    </w:p>
    <w:p>
      <w:pPr>
        <w:ind w:right="60" w:firstLine="532"/>
        <w:spacing w:after="0" w:line="263"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People’s Republic of China Taxation</w:t>
      </w:r>
    </w:p>
    <w:p>
      <w:pPr>
        <w:spacing w:after="0" w:line="117" w:lineRule="exact"/>
        <w:rPr>
          <w:sz w:val="20"/>
          <w:szCs w:val="20"/>
          <w:color w:val="auto"/>
        </w:rPr>
      </w:pPr>
    </w:p>
    <w:p>
      <w:pPr>
        <w:ind w:right="20" w:firstLine="532"/>
        <w:spacing w:after="0" w:line="295" w:lineRule="auto"/>
        <w:rPr>
          <w:sz w:val="20"/>
          <w:szCs w:val="20"/>
          <w:color w:val="auto"/>
        </w:rPr>
      </w:pPr>
      <w:r>
        <w:rPr>
          <w:rFonts w:ascii="Arial" w:cs="Arial" w:eastAsia="Arial" w:hAnsi="Arial"/>
          <w:sz w:val="15"/>
          <w:szCs w:val="15"/>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2" w:lineRule="exact"/>
        <w:rPr>
          <w:sz w:val="20"/>
          <w:szCs w:val="20"/>
          <w:color w:val="auto"/>
        </w:rPr>
      </w:pPr>
    </w:p>
    <w:p>
      <w:pPr>
        <w:ind w:right="20" w:firstLine="532"/>
        <w:spacing w:after="0" w:line="261"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82" w:lineRule="exact"/>
        <w:rPr>
          <w:sz w:val="20"/>
          <w:szCs w:val="20"/>
          <w:color w:val="auto"/>
        </w:rPr>
      </w:pPr>
    </w:p>
    <w:p>
      <w:pPr>
        <w:ind w:right="60" w:firstLine="532"/>
        <w:spacing w:after="0" w:line="277" w:lineRule="auto"/>
        <w:rPr>
          <w:sz w:val="20"/>
          <w:szCs w:val="20"/>
          <w:color w:val="auto"/>
        </w:rPr>
      </w:pPr>
      <w:r>
        <w:rPr>
          <w:rFonts w:ascii="Arial" w:cs="Arial" w:eastAsia="Arial" w:hAnsi="Arial"/>
          <w:sz w:val="16"/>
          <w:szCs w:val="16"/>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 including the holders of our ADSs. In addition, non- 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 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22" w:name="page123"/>
    <w:bookmarkEnd w:id="122"/>
    <w:p>
      <w:pPr>
        <w:ind w:right="20" w:firstLine="532"/>
        <w:spacing w:after="0" w:line="306" w:lineRule="auto"/>
        <w:rPr>
          <w:sz w:val="20"/>
          <w:szCs w:val="20"/>
          <w:color w:val="auto"/>
        </w:rPr>
      </w:pPr>
      <w:r>
        <w:rPr>
          <w:rFonts w:ascii="Arial" w:cs="Arial" w:eastAsia="Arial" w:hAnsi="Arial"/>
          <w:sz w:val="15"/>
          <w:szCs w:val="15"/>
          <w:color w:val="auto"/>
        </w:rPr>
        <w:t>According to the PRC Enterprise Income Tax Law, Law of the People’s Republic of China on the Administration of Tax Collection promulgated on April 24, 2015, and the Announcement of the State Administration of Taxation on Matters Concerning Withholding of Income Tax of Non-resident Enterprises at Source promulgated on October 17, 2017,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Federal Income Tax Considerations</w:t>
      </w:r>
    </w:p>
    <w:p>
      <w:pPr>
        <w:spacing w:after="0" w:line="117" w:lineRule="exact"/>
        <w:rPr>
          <w:sz w:val="20"/>
          <w:szCs w:val="20"/>
          <w:color w:val="auto"/>
        </w:rPr>
      </w:pPr>
    </w:p>
    <w:p>
      <w:pPr>
        <w:ind w:right="40" w:firstLine="532"/>
        <w:spacing w:after="0" w:line="286" w:lineRule="auto"/>
        <w:rPr>
          <w:sz w:val="20"/>
          <w:szCs w:val="20"/>
          <w:color w:val="auto"/>
        </w:rPr>
      </w:pPr>
      <w:r>
        <w:rPr>
          <w:rFonts w:ascii="Arial" w:cs="Arial" w:eastAsia="Arial" w:hAnsi="Arial"/>
          <w:sz w:val="17"/>
          <w:szCs w:val="17"/>
          <w:color w:val="auto"/>
        </w:rPr>
        <w:t>The following is a summary of material U.S. federal income tax considerations that are likely to be relevant to the purchase, ownership and disposition of our ordinary shares or ADSs by a U.S. Holder (as defined below).</w:t>
      </w:r>
    </w:p>
    <w:p>
      <w:pPr>
        <w:spacing w:after="0" w:line="159" w:lineRule="exact"/>
        <w:rPr>
          <w:sz w:val="20"/>
          <w:szCs w:val="20"/>
          <w:color w:val="auto"/>
        </w:rPr>
      </w:pPr>
    </w:p>
    <w:p>
      <w:pPr>
        <w:ind w:firstLine="532"/>
        <w:spacing w:after="0" w:line="270" w:lineRule="auto"/>
        <w:rPr>
          <w:sz w:val="20"/>
          <w:szCs w:val="20"/>
          <w:color w:val="auto"/>
        </w:rPr>
      </w:pPr>
      <w:r>
        <w:rPr>
          <w:rFonts w:ascii="Arial" w:cs="Arial" w:eastAsia="Arial" w:hAnsi="Arial"/>
          <w:sz w:val="17"/>
          <w:szCs w:val="17"/>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73" w:lineRule="exact"/>
        <w:rPr>
          <w:sz w:val="20"/>
          <w:szCs w:val="20"/>
          <w:color w:val="auto"/>
        </w:rPr>
      </w:pPr>
    </w:p>
    <w:p>
      <w:pPr>
        <w:ind w:right="40" w:firstLine="532"/>
        <w:spacing w:after="0" w:line="259"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purposes of this summary, a “U.S. Holder” is a beneficial owner of ordinary shares or ADSs that is a citizen or resident of the United States or a U.S.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domestic corporation or that otherwise is subject to U.S. federal income taxation on a net income basis in respect of such ordinary shares or ADSs.</w:t>
      </w:r>
    </w:p>
    <w:p>
      <w:pPr>
        <w:spacing w:after="0" w:line="313" w:lineRule="exact"/>
        <w:rPr>
          <w:sz w:val="20"/>
          <w:szCs w:val="20"/>
          <w:color w:val="auto"/>
        </w:rPr>
      </w:pPr>
    </w:p>
    <w:p>
      <w:pPr>
        <w:ind w:right="120"/>
        <w:spacing w:after="0" w:line="387" w:lineRule="auto"/>
        <w:rPr>
          <w:sz w:val="20"/>
          <w:szCs w:val="20"/>
          <w:color w:val="auto"/>
        </w:rPr>
      </w:pPr>
      <w:r>
        <w:rPr>
          <w:rFonts w:ascii="Arial" w:cs="Arial" w:eastAsia="Arial" w:hAnsi="Arial"/>
          <w:sz w:val="14"/>
          <w:szCs w:val="14"/>
          <w:b w:val="1"/>
          <w:bCs w:val="1"/>
          <w:i w:val="1"/>
          <w:i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ADSs</w:t>
      </w:r>
    </w:p>
    <w:p>
      <w:pPr>
        <w:spacing w:after="0" w:line="117" w:lineRule="exact"/>
        <w:rPr>
          <w:sz w:val="20"/>
          <w:szCs w:val="20"/>
          <w:color w:val="auto"/>
        </w:rPr>
      </w:pPr>
    </w:p>
    <w:p>
      <w:pPr>
        <w:ind w:right="40" w:firstLine="532"/>
        <w:spacing w:after="0" w:line="286" w:lineRule="auto"/>
        <w:rPr>
          <w:sz w:val="20"/>
          <w:szCs w:val="20"/>
          <w:color w:val="auto"/>
        </w:rPr>
      </w:pPr>
      <w:r>
        <w:rPr>
          <w:rFonts w:ascii="Arial" w:cs="Arial" w:eastAsia="Arial" w:hAnsi="Arial"/>
          <w:sz w:val="17"/>
          <w:szCs w:val="17"/>
          <w:color w:val="auto"/>
        </w:rPr>
        <w:t>In general, if you are a U.S. Holder of ADSs, you will be treated, for U.S. federal income tax purposes, as the beneficial owner of the underlying ordinary shares that are represented by those ADSs.</w:t>
      </w:r>
    </w:p>
    <w:p>
      <w:pPr>
        <w:spacing w:after="0" w:line="159" w:lineRule="exact"/>
        <w:rPr>
          <w:sz w:val="20"/>
          <w:szCs w:val="20"/>
          <w:color w:val="auto"/>
        </w:rPr>
      </w:pPr>
    </w:p>
    <w:p>
      <w:pPr>
        <w:ind w:right="20" w:firstLine="532"/>
        <w:spacing w:after="0" w:line="261" w:lineRule="auto"/>
        <w:rPr>
          <w:sz w:val="20"/>
          <w:szCs w:val="20"/>
          <w:color w:val="auto"/>
        </w:rPr>
      </w:pPr>
      <w:r>
        <w:rPr>
          <w:rFonts w:ascii="Arial" w:cs="Arial" w:eastAsia="Arial" w:hAnsi="Arial"/>
          <w:sz w:val="17"/>
          <w:szCs w:val="17"/>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Dividends</w:t>
      </w:r>
    </w:p>
    <w:p>
      <w:pPr>
        <w:spacing w:after="0" w:line="117" w:lineRule="exact"/>
        <w:rPr>
          <w:sz w:val="20"/>
          <w:szCs w:val="20"/>
          <w:color w:val="auto"/>
        </w:rPr>
      </w:pPr>
    </w:p>
    <w:p>
      <w:pPr>
        <w:ind w:right="120" w:firstLine="532"/>
        <w:spacing w:after="0" w:line="263" w:lineRule="auto"/>
        <w:rPr>
          <w:sz w:val="20"/>
          <w:szCs w:val="20"/>
          <w:color w:val="auto"/>
        </w:rPr>
      </w:pPr>
      <w:r>
        <w:rPr>
          <w:rFonts w:ascii="Arial" w:cs="Arial" w:eastAsia="Arial" w:hAnsi="Arial"/>
          <w:sz w:val="17"/>
          <w:szCs w:val="17"/>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23" w:name="page124"/>
    <w:bookmarkEnd w:id="123"/>
    <w:p>
      <w:pPr>
        <w:ind w:left="540"/>
        <w:spacing w:after="0"/>
        <w:rPr>
          <w:sz w:val="20"/>
          <w:szCs w:val="20"/>
          <w:color w:val="auto"/>
        </w:rPr>
      </w:pPr>
      <w:r>
        <w:rPr>
          <w:rFonts w:ascii="Arial" w:cs="Arial" w:eastAsia="Arial" w:hAnsi="Arial"/>
          <w:sz w:val="17"/>
          <w:szCs w:val="17"/>
          <w:color w:val="auto"/>
        </w:rPr>
        <w:t>We do not expect to maintain calculations of our earnings and profits in accordance with U.S. federal income tax principles.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U.S. Holders therefore should expect that distributions generally will be treated as dividends for U.S. federal income tax purposes.</w:t>
      </w:r>
    </w:p>
    <w:p>
      <w:pPr>
        <w:spacing w:after="0" w:line="221" w:lineRule="exact"/>
        <w:rPr>
          <w:sz w:val="20"/>
          <w:szCs w:val="20"/>
          <w:color w:val="auto"/>
        </w:rPr>
      </w:pPr>
    </w:p>
    <w:p>
      <w:pPr>
        <w:ind w:right="60" w:firstLine="532"/>
        <w:spacing w:after="0" w:line="270" w:lineRule="auto"/>
        <w:rPr>
          <w:sz w:val="20"/>
          <w:szCs w:val="20"/>
          <w:color w:val="auto"/>
        </w:rPr>
      </w:pPr>
      <w:r>
        <w:rPr>
          <w:rFonts w:ascii="Arial" w:cs="Arial" w:eastAsia="Arial" w:hAnsi="Arial"/>
          <w:sz w:val="17"/>
          <w:szCs w:val="17"/>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69" w:lineRule="exact"/>
        <w:rPr>
          <w:sz w:val="20"/>
          <w:szCs w:val="20"/>
          <w:color w:val="auto"/>
        </w:rPr>
      </w:pPr>
    </w:p>
    <w:p>
      <w:pPr>
        <w:ind w:left="1040" w:hanging="516"/>
        <w:spacing w:after="0" w:line="270" w:lineRule="auto"/>
        <w:tabs>
          <w:tab w:leader="none" w:pos="10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68" w:lineRule="exact"/>
        <w:rPr>
          <w:rFonts w:ascii="Arial" w:cs="Arial" w:eastAsia="Arial" w:hAnsi="Arial"/>
          <w:sz w:val="17"/>
          <w:szCs w:val="17"/>
          <w:color w:val="auto"/>
        </w:rPr>
      </w:pPr>
    </w:p>
    <w:p>
      <w:pPr>
        <w:ind w:left="1040" w:hanging="516"/>
        <w:spacing w:after="0"/>
        <w:tabs>
          <w:tab w:leader="none" w:pos="10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21" w:lineRule="exact"/>
        <w:rPr>
          <w:sz w:val="20"/>
          <w:szCs w:val="20"/>
          <w:color w:val="auto"/>
        </w:rPr>
      </w:pPr>
    </w:p>
    <w:p>
      <w:pPr>
        <w:ind w:right="80" w:firstLine="532"/>
        <w:spacing w:after="0" w:line="261" w:lineRule="auto"/>
        <w:rPr>
          <w:sz w:val="20"/>
          <w:szCs w:val="20"/>
          <w:color w:val="auto"/>
        </w:rPr>
      </w:pPr>
      <w:r>
        <w:rPr>
          <w:rFonts w:ascii="Arial" w:cs="Arial" w:eastAsia="Arial" w:hAnsi="Arial"/>
          <w:sz w:val="17"/>
          <w:szCs w:val="17"/>
          <w:color w:val="auto"/>
        </w:rPr>
        <w:t>The ADSs are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2018 and 2019 taxable years. In addition, based on our audited financial statements and our current expectations regarding the value and nature of our assets, the sources and nature of our income, and our market capitalization,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82" w:lineRule="exact"/>
        <w:rPr>
          <w:sz w:val="20"/>
          <w:szCs w:val="20"/>
          <w:color w:val="auto"/>
        </w:rPr>
      </w:pPr>
    </w:p>
    <w:p>
      <w:pPr>
        <w:ind w:right="120" w:firstLine="532"/>
        <w:spacing w:after="0" w:line="270" w:lineRule="auto"/>
        <w:rPr>
          <w:sz w:val="20"/>
          <w:szCs w:val="20"/>
          <w:color w:val="auto"/>
        </w:rPr>
      </w:pPr>
      <w:r>
        <w:rPr>
          <w:rFonts w:ascii="Arial" w:cs="Arial" w:eastAsia="Arial" w:hAnsi="Arial"/>
          <w:sz w:val="17"/>
          <w:szCs w:val="17"/>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73" w:lineRule="exact"/>
        <w:rPr>
          <w:sz w:val="20"/>
          <w:szCs w:val="20"/>
          <w:color w:val="auto"/>
        </w:rPr>
      </w:pPr>
    </w:p>
    <w:p>
      <w:pPr>
        <w:ind w:firstLine="532"/>
        <w:spacing w:after="0" w:line="275" w:lineRule="auto"/>
        <w:rPr>
          <w:sz w:val="20"/>
          <w:szCs w:val="20"/>
          <w:color w:val="auto"/>
        </w:rPr>
      </w:pPr>
      <w:r>
        <w:rPr>
          <w:rFonts w:ascii="Arial" w:cs="Arial" w:eastAsia="Arial" w:hAnsi="Arial"/>
          <w:sz w:val="16"/>
          <w:szCs w:val="16"/>
          <w:color w:val="auto"/>
        </w:rPr>
        <w:t>In the event that we are deemed to be a PRC resident enterprise under the PRC Enterprise Income Tax Law (see “Item 10. Additional Information—E. Taxation—People’s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73" w:lineRule="exact"/>
        <w:rPr>
          <w:sz w:val="20"/>
          <w:szCs w:val="20"/>
          <w:color w:val="auto"/>
        </w:rPr>
      </w:pPr>
    </w:p>
    <w:p>
      <w:pPr>
        <w:ind w:right="460" w:firstLine="532"/>
        <w:spacing w:after="0" w:line="286" w:lineRule="auto"/>
        <w:rPr>
          <w:sz w:val="20"/>
          <w:szCs w:val="20"/>
          <w:color w:val="auto"/>
        </w:rPr>
      </w:pPr>
      <w:r>
        <w:rPr>
          <w:rFonts w:ascii="Arial" w:cs="Arial" w:eastAsia="Arial" w:hAnsi="Arial"/>
          <w:sz w:val="17"/>
          <w:szCs w:val="17"/>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6" w:right="35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i w:val="1"/>
          <w:iCs w:val="1"/>
          <w:color w:val="auto"/>
        </w:rPr>
        <w:t>Taxation of Dispositions of ADSs or Ordinary Shares</w:t>
      </w:r>
    </w:p>
    <w:p>
      <w:pPr>
        <w:spacing w:after="0" w:line="117" w:lineRule="exact"/>
        <w:rPr>
          <w:sz w:val="20"/>
          <w:szCs w:val="20"/>
          <w:color w:val="auto"/>
        </w:rPr>
      </w:pPr>
    </w:p>
    <w:p>
      <w:pPr>
        <w:ind w:right="80" w:firstLine="532"/>
        <w:spacing w:after="0" w:line="265" w:lineRule="auto"/>
        <w:rPr>
          <w:sz w:val="20"/>
          <w:szCs w:val="20"/>
          <w:color w:val="auto"/>
        </w:rPr>
      </w:pPr>
      <w:r>
        <w:rPr>
          <w:rFonts w:ascii="Arial" w:cs="Arial" w:eastAsia="Arial" w:hAnsi="Arial"/>
          <w:sz w:val="17"/>
          <w:szCs w:val="17"/>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77" w:lineRule="exact"/>
        <w:rPr>
          <w:sz w:val="20"/>
          <w:szCs w:val="20"/>
          <w:color w:val="auto"/>
        </w:rPr>
      </w:pPr>
    </w:p>
    <w:p>
      <w:pPr>
        <w:jc w:val="both"/>
        <w:ind w:right="100" w:firstLine="532"/>
        <w:spacing w:after="0" w:line="281" w:lineRule="auto"/>
        <w:rPr>
          <w:sz w:val="20"/>
          <w:szCs w:val="20"/>
          <w:color w:val="auto"/>
        </w:rPr>
      </w:pPr>
      <w:r>
        <w:rPr>
          <w:rFonts w:ascii="Arial" w:cs="Arial" w:eastAsia="Arial" w:hAnsi="Arial"/>
          <w:sz w:val="16"/>
          <w:szCs w:val="16"/>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65" w:lineRule="exact"/>
        <w:rPr>
          <w:sz w:val="20"/>
          <w:szCs w:val="20"/>
          <w:color w:val="auto"/>
        </w:rPr>
      </w:pPr>
    </w:p>
    <w:p>
      <w:pPr>
        <w:ind w:right="500" w:firstLine="532"/>
        <w:spacing w:after="0" w:line="286" w:lineRule="auto"/>
        <w:rPr>
          <w:sz w:val="20"/>
          <w:szCs w:val="20"/>
          <w:color w:val="auto"/>
        </w:rPr>
      </w:pPr>
      <w:r>
        <w:rPr>
          <w:rFonts w:ascii="Arial" w:cs="Arial" w:eastAsia="Arial" w:hAnsi="Arial"/>
          <w:sz w:val="17"/>
          <w:szCs w:val="17"/>
          <w:color w:val="auto"/>
        </w:rPr>
        <w:t>Deposits and withdrawals of ordinary shares by U.S. Holders in exchange for ADSs will not result in the realization of gain or loss for U.S. federal income tax purposes.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 Rules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117" w:lineRule="exact"/>
        <w:rPr>
          <w:sz w:val="20"/>
          <w:szCs w:val="20"/>
          <w:color w:val="auto"/>
        </w:rPr>
      </w:pPr>
    </w:p>
    <w:p>
      <w:pPr>
        <w:ind w:left="1040" w:hanging="516"/>
        <w:spacing w:after="0"/>
        <w:tabs>
          <w:tab w:leader="none" w:pos="10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75 percent or more of our gross income for the taxable year is passive income; or</w:t>
      </w:r>
    </w:p>
    <w:p>
      <w:pPr>
        <w:spacing w:after="0" w:line="116" w:lineRule="exact"/>
        <w:rPr>
          <w:rFonts w:ascii="Arial" w:cs="Arial" w:eastAsia="Arial" w:hAnsi="Arial"/>
          <w:sz w:val="17"/>
          <w:szCs w:val="17"/>
          <w:color w:val="auto"/>
        </w:rPr>
      </w:pPr>
    </w:p>
    <w:p>
      <w:pPr>
        <w:ind w:left="1040" w:right="20" w:hanging="516"/>
        <w:spacing w:after="0" w:line="265" w:lineRule="auto"/>
        <w:tabs>
          <w:tab w:leader="none" w:pos="10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177" w:lineRule="exact"/>
        <w:rPr>
          <w:sz w:val="20"/>
          <w:szCs w:val="20"/>
          <w:color w:val="auto"/>
        </w:rPr>
      </w:pPr>
    </w:p>
    <w:p>
      <w:pPr>
        <w:ind w:firstLine="532"/>
        <w:spacing w:after="0" w:line="297" w:lineRule="auto"/>
        <w:rPr>
          <w:sz w:val="20"/>
          <w:szCs w:val="20"/>
          <w:color w:val="auto"/>
        </w:rPr>
      </w:pPr>
      <w:r>
        <w:rPr>
          <w:rFonts w:ascii="Arial" w:cs="Arial" w:eastAsia="Arial" w:hAnsi="Arial"/>
          <w:sz w:val="15"/>
          <w:szCs w:val="15"/>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60" w:lineRule="exact"/>
        <w:rPr>
          <w:sz w:val="20"/>
          <w:szCs w:val="20"/>
          <w:color w:val="auto"/>
        </w:rPr>
      </w:pPr>
    </w:p>
    <w:p>
      <w:pPr>
        <w:ind w:firstLine="532"/>
        <w:spacing w:after="0" w:line="265" w:lineRule="auto"/>
        <w:rPr>
          <w:sz w:val="20"/>
          <w:szCs w:val="20"/>
          <w:color w:val="auto"/>
        </w:rPr>
      </w:pPr>
      <w:r>
        <w:rPr>
          <w:rFonts w:ascii="Arial" w:cs="Arial" w:eastAsia="Arial" w:hAnsi="Arial"/>
          <w:sz w:val="17"/>
          <w:szCs w:val="17"/>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77" w:lineRule="exact"/>
        <w:rPr>
          <w:sz w:val="20"/>
          <w:szCs w:val="20"/>
          <w:color w:val="auto"/>
        </w:rPr>
      </w:pPr>
    </w:p>
    <w:p>
      <w:pPr>
        <w:ind w:right="100" w:firstLine="532"/>
        <w:spacing w:after="0" w:line="295"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54" w:lineRule="exact"/>
        <w:rPr>
          <w:sz w:val="20"/>
          <w:szCs w:val="20"/>
          <w:color w:val="auto"/>
        </w:rPr>
      </w:pPr>
    </w:p>
    <w:p>
      <w:pPr>
        <w:ind w:right="60" w:firstLine="532"/>
        <w:spacing w:after="0" w:line="286" w:lineRule="auto"/>
        <w:rPr>
          <w:sz w:val="20"/>
          <w:szCs w:val="20"/>
          <w:color w:val="auto"/>
        </w:rPr>
      </w:pPr>
      <w:r>
        <w:rPr>
          <w:rFonts w:ascii="Arial" w:cs="Arial" w:eastAsia="Arial" w:hAnsi="Arial"/>
          <w:sz w:val="17"/>
          <w:szCs w:val="17"/>
          <w:color w:val="auto"/>
        </w:rPr>
        <w:t>U.S. Holders should consult their own tax advisors regarding the U.S. federal income tax considerations discussed above and the desirability of making a mark-to-market election.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660" w:right="35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i w:val="1"/>
          <w:iCs w:val="1"/>
          <w:color w:val="auto"/>
        </w:rPr>
        <w:t>Foreign Financial Asset Reporting</w:t>
      </w:r>
    </w:p>
    <w:p>
      <w:pPr>
        <w:spacing w:after="0" w:line="117" w:lineRule="exact"/>
        <w:rPr>
          <w:sz w:val="20"/>
          <w:szCs w:val="20"/>
          <w:color w:val="auto"/>
        </w:rPr>
      </w:pPr>
    </w:p>
    <w:p>
      <w:pPr>
        <w:ind w:right="20" w:firstLine="532"/>
        <w:spacing w:after="0" w:line="277" w:lineRule="auto"/>
        <w:rPr>
          <w:sz w:val="20"/>
          <w:szCs w:val="20"/>
          <w:color w:val="auto"/>
        </w:rPr>
      </w:pPr>
      <w:r>
        <w:rPr>
          <w:rFonts w:ascii="Arial" w:cs="Arial" w:eastAsia="Arial" w:hAnsi="Arial"/>
          <w:sz w:val="16"/>
          <w:szCs w:val="16"/>
          <w:color w:val="auto"/>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Backup Withholding and Information Reporting</w:t>
      </w:r>
    </w:p>
    <w:p>
      <w:pPr>
        <w:spacing w:after="0" w:line="117" w:lineRule="exact"/>
        <w:rPr>
          <w:sz w:val="20"/>
          <w:szCs w:val="20"/>
          <w:color w:val="auto"/>
        </w:rPr>
      </w:pPr>
    </w:p>
    <w:p>
      <w:pPr>
        <w:ind w:right="240" w:firstLine="532"/>
        <w:spacing w:after="0" w:line="263" w:lineRule="auto"/>
        <w:rPr>
          <w:sz w:val="20"/>
          <w:szCs w:val="20"/>
          <w:color w:val="auto"/>
        </w:rPr>
      </w:pPr>
      <w:r>
        <w:rPr>
          <w:rFonts w:ascii="Arial" w:cs="Arial" w:eastAsia="Arial" w:hAnsi="Arial"/>
          <w:sz w:val="17"/>
          <w:szCs w:val="17"/>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78" w:lineRule="exact"/>
        <w:rPr>
          <w:sz w:val="20"/>
          <w:szCs w:val="20"/>
          <w:color w:val="auto"/>
        </w:rPr>
      </w:pPr>
    </w:p>
    <w:p>
      <w:pPr>
        <w:ind w:right="400" w:firstLine="532"/>
        <w:spacing w:after="0" w:line="286" w:lineRule="auto"/>
        <w:rPr>
          <w:sz w:val="20"/>
          <w:szCs w:val="20"/>
          <w:color w:val="auto"/>
        </w:rPr>
      </w:pPr>
      <w:r>
        <w:rPr>
          <w:rFonts w:ascii="Arial" w:cs="Arial" w:eastAsia="Arial" w:hAnsi="Arial"/>
          <w:sz w:val="17"/>
          <w:szCs w:val="17"/>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263" w:lineRule="exact"/>
        <w:rPr>
          <w:sz w:val="20"/>
          <w:szCs w:val="20"/>
          <w:color w:val="auto"/>
        </w:rPr>
      </w:pPr>
    </w:p>
    <w:p>
      <w:pPr>
        <w:ind w:left="540" w:right="8680" w:hanging="536"/>
        <w:spacing w:after="0" w:line="414" w:lineRule="auto"/>
        <w:tabs>
          <w:tab w:leader="none" w:pos="529"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 xml:space="preserve">Dividends and Paying Agents </w:t>
      </w:r>
      <w:r>
        <w:rPr>
          <w:rFonts w:ascii="Arial" w:cs="Arial" w:eastAsia="Arial" w:hAnsi="Arial"/>
          <w:sz w:val="17"/>
          <w:szCs w:val="17"/>
          <w:color w:val="auto"/>
        </w:rPr>
        <w:t>Not applicable.</w:t>
      </w:r>
    </w:p>
    <w:p>
      <w:pPr>
        <w:spacing w:after="0" w:line="158" w:lineRule="exact"/>
        <w:rPr>
          <w:rFonts w:ascii="Arial" w:cs="Arial" w:eastAsia="Arial" w:hAnsi="Arial"/>
          <w:sz w:val="17"/>
          <w:szCs w:val="17"/>
          <w:color w:val="auto"/>
        </w:rPr>
      </w:pPr>
    </w:p>
    <w:p>
      <w:pPr>
        <w:ind w:left="540" w:right="9260" w:hanging="536"/>
        <w:spacing w:after="0" w:line="501" w:lineRule="auto"/>
        <w:tabs>
          <w:tab w:leader="none" w:pos="529" w:val="left"/>
        </w:tabs>
        <w:numPr>
          <w:ilvl w:val="0"/>
          <w:numId w:val="103"/>
        </w:numPr>
        <w:rPr>
          <w:rFonts w:ascii="Arial" w:cs="Arial" w:eastAsia="Arial" w:hAnsi="Arial"/>
          <w:sz w:val="15"/>
          <w:szCs w:val="15"/>
          <w:color w:val="auto"/>
        </w:rPr>
      </w:pPr>
      <w:r>
        <w:rPr>
          <w:rFonts w:ascii="Arial" w:cs="Arial" w:eastAsia="Arial" w:hAnsi="Arial"/>
          <w:sz w:val="15"/>
          <w:szCs w:val="15"/>
          <w:u w:val="single" w:color="auto"/>
          <w:color w:val="auto"/>
        </w:rPr>
        <w:t xml:space="preserve">Statement by Experts </w:t>
      </w:r>
      <w:r>
        <w:rPr>
          <w:rFonts w:ascii="Arial" w:cs="Arial" w:eastAsia="Arial" w:hAnsi="Arial"/>
          <w:sz w:val="15"/>
          <w:szCs w:val="15"/>
          <w:color w:val="auto"/>
        </w:rPr>
        <w:t>Not applicable.</w:t>
      </w:r>
    </w:p>
    <w:p>
      <w:pPr>
        <w:spacing w:after="0" w:line="112" w:lineRule="exact"/>
        <w:rPr>
          <w:rFonts w:ascii="Arial" w:cs="Arial" w:eastAsia="Arial" w:hAnsi="Arial"/>
          <w:sz w:val="15"/>
          <w:szCs w:val="15"/>
          <w:color w:val="auto"/>
        </w:rPr>
      </w:pPr>
    </w:p>
    <w:p>
      <w:pPr>
        <w:ind w:left="520" w:hanging="516"/>
        <w:spacing w:after="0"/>
        <w:tabs>
          <w:tab w:leader="none" w:pos="52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Documents on Display</w:t>
      </w:r>
    </w:p>
    <w:p>
      <w:pPr>
        <w:spacing w:after="0" w:line="117" w:lineRule="exact"/>
        <w:rPr>
          <w:sz w:val="20"/>
          <w:szCs w:val="20"/>
          <w:color w:val="auto"/>
        </w:rPr>
      </w:pPr>
    </w:p>
    <w:p>
      <w:pPr>
        <w:ind w:firstLine="532"/>
        <w:spacing w:after="0" w:line="278" w:lineRule="auto"/>
        <w:rPr>
          <w:sz w:val="20"/>
          <w:szCs w:val="20"/>
          <w:color w:val="auto"/>
        </w:rPr>
      </w:pPr>
      <w:r>
        <w:rPr>
          <w:rFonts w:ascii="Arial" w:cs="Arial" w:eastAsia="Arial" w:hAnsi="Arial"/>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68" w:lineRule="exact"/>
        <w:rPr>
          <w:sz w:val="20"/>
          <w:szCs w:val="20"/>
          <w:color w:val="auto"/>
        </w:rPr>
      </w:pPr>
    </w:p>
    <w:p>
      <w:pPr>
        <w:ind w:right="120" w:firstLine="532"/>
        <w:spacing w:after="0" w:line="263" w:lineRule="auto"/>
        <w:rPr>
          <w:sz w:val="20"/>
          <w:szCs w:val="20"/>
          <w:color w:val="auto"/>
        </w:rPr>
      </w:pPr>
      <w:r>
        <w:rPr>
          <w:rFonts w:ascii="Arial" w:cs="Arial" w:eastAsia="Arial" w:hAnsi="Arial"/>
          <w:sz w:val="17"/>
          <w:szCs w:val="17"/>
          <w:color w:val="auto"/>
        </w:rPr>
        <w:t>We will furnish JPMorgan Chase 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282" w:lineRule="exact"/>
        <w:rPr>
          <w:sz w:val="20"/>
          <w:szCs w:val="20"/>
          <w:color w:val="auto"/>
        </w:rPr>
      </w:pPr>
    </w:p>
    <w:p>
      <w:pPr>
        <w:ind w:left="540" w:right="9140" w:hanging="536"/>
        <w:spacing w:after="0" w:line="501" w:lineRule="auto"/>
        <w:tabs>
          <w:tab w:leader="none" w:pos="529"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 xml:space="preserve">Subsidiary Information </w:t>
      </w:r>
      <w:r>
        <w:rPr>
          <w:rFonts w:ascii="Arial" w:cs="Arial" w:eastAsia="Arial" w:hAnsi="Arial"/>
          <w:sz w:val="15"/>
          <w:szCs w:val="15"/>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26" w:name="page127"/>
    <w:bookmarkEnd w:id="126"/>
    <w:p>
      <w:pPr>
        <w:ind w:right="4300"/>
        <w:spacing w:after="0" w:line="387" w:lineRule="auto"/>
        <w:rPr>
          <w:sz w:val="20"/>
          <w:szCs w:val="20"/>
          <w:color w:val="auto"/>
        </w:rPr>
      </w:pPr>
      <w:r>
        <w:rPr>
          <w:rFonts w:ascii="Arial" w:cs="Arial" w:eastAsia="Arial" w:hAnsi="Arial"/>
          <w:sz w:val="17"/>
          <w:szCs w:val="17"/>
          <w:b w:val="1"/>
          <w:bCs w:val="1"/>
          <w:color w:val="auto"/>
        </w:rPr>
        <w:t>ITEM 11.QUANTITATIVE AND QUALITATIVE DISCLOSURES ABOUT MARKETRISK Inflation</w:t>
      </w:r>
    </w:p>
    <w:p>
      <w:pPr>
        <w:ind w:right="100" w:firstLine="532"/>
        <w:spacing w:after="0" w:line="319" w:lineRule="auto"/>
        <w:rPr>
          <w:sz w:val="20"/>
          <w:szCs w:val="20"/>
          <w:color w:val="auto"/>
        </w:rPr>
      </w:pPr>
      <w:r>
        <w:rPr>
          <w:rFonts w:ascii="Arial" w:cs="Arial" w:eastAsia="Arial" w:hAnsi="Arial"/>
          <w:sz w:val="16"/>
          <w:szCs w:val="16"/>
          <w:color w:val="auto"/>
        </w:rPr>
        <w:t>Since our inception, inflation in China has not materially impacted our results of operations. According to the National Bureau of Statistics of China, the year over year percent change in the consumer price index for 2017, 2018 and 2019 were increases of 1.6%, 2.1% and 2.9%,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117" w:lineRule="exact"/>
        <w:rPr>
          <w:sz w:val="20"/>
          <w:szCs w:val="20"/>
          <w:color w:val="auto"/>
        </w:rPr>
      </w:pPr>
    </w:p>
    <w:p>
      <w:pPr>
        <w:ind w:right="240" w:firstLine="532"/>
        <w:spacing w:after="0" w:line="265" w:lineRule="auto"/>
        <w:rPr>
          <w:sz w:val="20"/>
          <w:szCs w:val="20"/>
          <w:color w:val="auto"/>
        </w:rPr>
      </w:pPr>
      <w:r>
        <w:rPr>
          <w:rFonts w:ascii="Arial" w:cs="Arial" w:eastAsia="Arial" w:hAnsi="Arial"/>
          <w:sz w:val="17"/>
          <w:szCs w:val="17"/>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77" w:lineRule="exact"/>
        <w:rPr>
          <w:sz w:val="20"/>
          <w:szCs w:val="20"/>
          <w:color w:val="auto"/>
        </w:rPr>
      </w:pPr>
    </w:p>
    <w:p>
      <w:pPr>
        <w:ind w:right="60" w:firstLine="532"/>
        <w:spacing w:after="0" w:line="275"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For U.S. dollars against Renminbi, there was depreciation of approximately 6.3%, appreciation of approximately 5.7% and appreciation of approximately 5.0% in 2017, 2018 and 2019, respectively. With the development of the foreign exchange market and progress towards interest rate liberalization and Renminbi internationalization, the PRC government may in the future announce further changes to the exchange rate system. Accordingly,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73" w:lineRule="exact"/>
        <w:rPr>
          <w:sz w:val="20"/>
          <w:szCs w:val="20"/>
          <w:color w:val="auto"/>
        </w:rPr>
      </w:pPr>
    </w:p>
    <w:p>
      <w:pPr>
        <w:ind w:right="160" w:firstLine="532"/>
        <w:spacing w:after="0" w:line="265" w:lineRule="auto"/>
        <w:rPr>
          <w:sz w:val="20"/>
          <w:szCs w:val="20"/>
          <w:color w:val="auto"/>
        </w:rPr>
      </w:pPr>
      <w:r>
        <w:rPr>
          <w:rFonts w:ascii="Arial" w:cs="Arial" w:eastAsia="Arial" w:hAnsi="Arial"/>
          <w:sz w:val="17"/>
          <w:szCs w:val="17"/>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77" w:lineRule="exact"/>
        <w:rPr>
          <w:sz w:val="20"/>
          <w:szCs w:val="20"/>
          <w:color w:val="auto"/>
        </w:rPr>
      </w:pPr>
    </w:p>
    <w:p>
      <w:pPr>
        <w:ind w:firstLine="532"/>
        <w:spacing w:after="0" w:line="281" w:lineRule="auto"/>
        <w:rPr>
          <w:sz w:val="20"/>
          <w:szCs w:val="20"/>
          <w:color w:val="auto"/>
        </w:rPr>
      </w:pPr>
      <w:r>
        <w:rPr>
          <w:rFonts w:ascii="Arial" w:cs="Arial" w:eastAsia="Arial" w:hAnsi="Arial"/>
          <w:sz w:val="16"/>
          <w:szCs w:val="16"/>
          <w:color w:val="auto"/>
        </w:rPr>
        <w:t>As of December 31, 2019, we had Renminbi-denominated cash and cash equivalents, accounts receivable, prepaid cost and deferred revenue of RMB84.0 million, RMB981.2 million, RMB182.4 million and RMB160.7 million, respectively. We estimate that a 10% depreciation of Renminbi against the U.S. dollar based on the foreign exchange rate on December 31, 2019 would result in a change of our holding U.S. dollar equivalents of US$(1.1) million, US$(12.5) million, US$(2.3) million and US$2.0 million for cash and cash equivalents, accounts receivable, prepaid cost and deferred revenue, respectively. In addition, we estimate that a 10% depreciation of Renminbi against the U.S. dollar based on the foreign exchange rate on December 31, 2019 would result in a decrease of US$19.6 million and US$15.9 million in our net revenues and cost of revenues in 2019.</w:t>
      </w:r>
    </w:p>
    <w:p>
      <w:pPr>
        <w:spacing w:after="0" w:line="165" w:lineRule="exact"/>
        <w:rPr>
          <w:sz w:val="20"/>
          <w:szCs w:val="20"/>
          <w:color w:val="auto"/>
        </w:rPr>
      </w:pPr>
    </w:p>
    <w:p>
      <w:pPr>
        <w:ind w:right="400" w:firstLine="532"/>
        <w:spacing w:after="0" w:line="286" w:lineRule="auto"/>
        <w:rPr>
          <w:sz w:val="20"/>
          <w:szCs w:val="20"/>
          <w:color w:val="auto"/>
        </w:rPr>
      </w:pPr>
      <w:r>
        <w:rPr>
          <w:rFonts w:ascii="Arial" w:cs="Arial" w:eastAsia="Arial" w:hAnsi="Arial"/>
          <w:sz w:val="17"/>
          <w:szCs w:val="17"/>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7" w:lineRule="exact"/>
        <w:rPr>
          <w:sz w:val="20"/>
          <w:szCs w:val="20"/>
          <w:color w:val="auto"/>
        </w:rPr>
      </w:pPr>
    </w:p>
    <w:p>
      <w:pPr>
        <w:ind w:right="60" w:firstLine="532"/>
        <w:spacing w:after="0" w:line="270" w:lineRule="auto"/>
        <w:rPr>
          <w:sz w:val="20"/>
          <w:szCs w:val="20"/>
          <w:color w:val="auto"/>
        </w:rPr>
      </w:pPr>
      <w:r>
        <w:rPr>
          <w:rFonts w:ascii="Arial" w:cs="Arial" w:eastAsia="Arial" w:hAnsi="Arial"/>
          <w:sz w:val="17"/>
          <w:szCs w:val="17"/>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62% of the aggregate principal outstanding amount of our bank borrowings as of December 31, 2019 was at floating rates.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655" w:right="359" w:bottom="1440" w:gutter="0" w:footer="0" w:header="0"/>
        </w:sectPr>
      </w:pPr>
    </w:p>
    <w:bookmarkStart w:id="127" w:name="page128"/>
    <w:bookmarkEnd w:id="127"/>
    <w:p>
      <w:pPr>
        <w:ind w:right="180" w:firstLine="532"/>
        <w:spacing w:after="0" w:line="270" w:lineRule="auto"/>
        <w:rPr>
          <w:sz w:val="20"/>
          <w:szCs w:val="20"/>
          <w:color w:val="auto"/>
        </w:rPr>
      </w:pPr>
      <w:r>
        <w:rPr>
          <w:rFonts w:ascii="Arial" w:cs="Arial" w:eastAsia="Arial" w:hAnsi="Arial"/>
          <w:sz w:val="17"/>
          <w:szCs w:val="17"/>
          <w:color w:val="auto"/>
        </w:rPr>
        <w:t>As of December 31, 2019, if interest rates increased/decreased by 1%, with all other variables having remained constant, and assuming the amount of bank borrowings outstanding at the end of the year was outstanding for the entire year, our net loss would have been US$0.2 million higher/lower, respectively. These were mainly as a result of higher/lower interest expense for our bank borrowings at floating rates.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12.DESCRIPTION OF SECURITIES OTHER THAN EQUITYSECURITIES</w:t>
      </w:r>
    </w:p>
    <w:p>
      <w:pPr>
        <w:spacing w:after="0" w:line="123" w:lineRule="exact"/>
        <w:rPr>
          <w:sz w:val="20"/>
          <w:szCs w:val="20"/>
          <w:color w:val="auto"/>
        </w:rPr>
      </w:pPr>
    </w:p>
    <w:p>
      <w:pPr>
        <w:jc w:val="both"/>
        <w:ind w:left="540" w:right="9640" w:hanging="536"/>
        <w:spacing w:after="0" w:line="501" w:lineRule="auto"/>
        <w:tabs>
          <w:tab w:leader="none" w:pos="529"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 xml:space="preserve">Debt Securities </w:t>
      </w:r>
      <w:r>
        <w:rPr>
          <w:rFonts w:ascii="Arial" w:cs="Arial" w:eastAsia="Arial" w:hAnsi="Arial"/>
          <w:sz w:val="15"/>
          <w:szCs w:val="15"/>
          <w:color w:val="auto"/>
        </w:rPr>
        <w:t>Not applicable.</w:t>
      </w:r>
    </w:p>
    <w:p>
      <w:pPr>
        <w:spacing w:after="0" w:line="112" w:lineRule="exact"/>
        <w:rPr>
          <w:rFonts w:ascii="Arial" w:cs="Arial" w:eastAsia="Arial" w:hAnsi="Arial"/>
          <w:sz w:val="15"/>
          <w:szCs w:val="15"/>
          <w:color w:val="auto"/>
        </w:rPr>
      </w:pPr>
    </w:p>
    <w:p>
      <w:pPr>
        <w:ind w:left="540" w:right="9320" w:hanging="536"/>
        <w:spacing w:after="0" w:line="501" w:lineRule="auto"/>
        <w:tabs>
          <w:tab w:leader="none" w:pos="529"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 xml:space="preserve">Warrants and Rights </w:t>
      </w:r>
      <w:r>
        <w:rPr>
          <w:rFonts w:ascii="Arial" w:cs="Arial" w:eastAsia="Arial" w:hAnsi="Arial"/>
          <w:sz w:val="15"/>
          <w:szCs w:val="15"/>
          <w:color w:val="auto"/>
        </w:rPr>
        <w:t>Not applicable.</w:t>
      </w:r>
    </w:p>
    <w:p>
      <w:pPr>
        <w:spacing w:after="0" w:line="112" w:lineRule="exact"/>
        <w:rPr>
          <w:rFonts w:ascii="Arial" w:cs="Arial" w:eastAsia="Arial" w:hAnsi="Arial"/>
          <w:sz w:val="15"/>
          <w:szCs w:val="15"/>
          <w:color w:val="auto"/>
        </w:rPr>
      </w:pPr>
    </w:p>
    <w:p>
      <w:pPr>
        <w:jc w:val="both"/>
        <w:ind w:left="540" w:right="9620" w:hanging="536"/>
        <w:spacing w:after="0" w:line="501" w:lineRule="auto"/>
        <w:tabs>
          <w:tab w:leader="none" w:pos="529"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 xml:space="preserve">Other Securities </w:t>
      </w:r>
      <w:r>
        <w:rPr>
          <w:rFonts w:ascii="Arial" w:cs="Arial" w:eastAsia="Arial" w:hAnsi="Arial"/>
          <w:sz w:val="15"/>
          <w:szCs w:val="15"/>
          <w:color w:val="auto"/>
        </w:rPr>
        <w:t>Not applicable.</w:t>
      </w:r>
    </w:p>
    <w:p>
      <w:pPr>
        <w:spacing w:after="0" w:line="112" w:lineRule="exact"/>
        <w:rPr>
          <w:rFonts w:ascii="Arial" w:cs="Arial" w:eastAsia="Arial" w:hAnsi="Arial"/>
          <w:sz w:val="15"/>
          <w:szCs w:val="15"/>
          <w:color w:val="auto"/>
        </w:rPr>
      </w:pPr>
    </w:p>
    <w:p>
      <w:pPr>
        <w:ind w:left="520" w:hanging="516"/>
        <w:spacing w:after="0"/>
        <w:tabs>
          <w:tab w:leader="none" w:pos="52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American Depositary Shares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Charges Our ADS Holders May Have to Pay</w:t>
      </w:r>
    </w:p>
    <w:p>
      <w:pPr>
        <w:spacing w:after="0" w:line="123" w:lineRule="exact"/>
        <w:rPr>
          <w:sz w:val="20"/>
          <w:szCs w:val="20"/>
          <w:color w:val="auto"/>
        </w:rPr>
      </w:pPr>
    </w:p>
    <w:p>
      <w:pPr>
        <w:ind w:right="40" w:firstLine="532"/>
        <w:spacing w:after="0" w:line="281" w:lineRule="auto"/>
        <w:rPr>
          <w:sz w:val="20"/>
          <w:szCs w:val="20"/>
          <w:color w:val="auto"/>
        </w:rPr>
      </w:pPr>
      <w:r>
        <w:rPr>
          <w:rFonts w:ascii="Arial" w:cs="Arial" w:eastAsia="Arial" w:hAnsi="Arial"/>
          <w:sz w:val="16"/>
          <w:szCs w:val="16"/>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65" w:lineRule="exact"/>
        <w:rPr>
          <w:sz w:val="20"/>
          <w:szCs w:val="20"/>
          <w:color w:val="auto"/>
        </w:rPr>
      </w:pPr>
    </w:p>
    <w:p>
      <w:pPr>
        <w:ind w:firstLine="532"/>
        <w:spacing w:after="0" w:line="270" w:lineRule="auto"/>
        <w:rPr>
          <w:sz w:val="20"/>
          <w:szCs w:val="20"/>
          <w:color w:val="auto"/>
        </w:rPr>
      </w:pPr>
      <w:r>
        <w:rPr>
          <w:rFonts w:ascii="Arial" w:cs="Arial" w:eastAsia="Arial" w:hAnsi="Arial"/>
          <w:sz w:val="17"/>
          <w:szCs w:val="17"/>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69" w:lineRule="exact"/>
        <w:rPr>
          <w:sz w:val="20"/>
          <w:szCs w:val="20"/>
          <w:color w:val="auto"/>
        </w:rPr>
      </w:pPr>
    </w:p>
    <w:p>
      <w:pPr>
        <w:ind w:left="1040" w:hanging="516"/>
        <w:spacing w:after="0"/>
        <w:tabs>
          <w:tab w:leader="none" w:pos="10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fee of up to US$0.05 per ADS for any cash distribution made pursuant to the deposit agreement;</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fee of US$1.50 per ADR or ADRs for transfers of certificated or direct registration ADRs;</w:t>
      </w:r>
    </w:p>
    <w:p>
      <w:pPr>
        <w:spacing w:after="0" w:line="116" w:lineRule="exact"/>
        <w:rPr>
          <w:rFonts w:ascii="Arial" w:cs="Arial" w:eastAsia="Arial" w:hAnsi="Arial"/>
          <w:sz w:val="17"/>
          <w:szCs w:val="17"/>
          <w:color w:val="auto"/>
        </w:rPr>
      </w:pPr>
    </w:p>
    <w:p>
      <w:pPr>
        <w:ind w:left="1040" w:right="20" w:hanging="516"/>
        <w:spacing w:after="0" w:line="323" w:lineRule="auto"/>
        <w:tabs>
          <w:tab w:leader="none" w:pos="10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32" w:lineRule="exact"/>
        <w:rPr>
          <w:rFonts w:ascii="Arial" w:cs="Arial" w:eastAsia="Arial" w:hAnsi="Arial"/>
          <w:sz w:val="15"/>
          <w:szCs w:val="15"/>
          <w:color w:val="auto"/>
        </w:rPr>
      </w:pPr>
    </w:p>
    <w:p>
      <w:pPr>
        <w:ind w:left="1040" w:hanging="516"/>
        <w:spacing w:after="0" w:line="279" w:lineRule="auto"/>
        <w:tabs>
          <w:tab w:leader="none" w:pos="10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63" w:lineRule="exact"/>
        <w:rPr>
          <w:rFonts w:ascii="Arial" w:cs="Arial" w:eastAsia="Arial" w:hAnsi="Arial"/>
          <w:sz w:val="16"/>
          <w:szCs w:val="16"/>
          <w:color w:val="auto"/>
        </w:rPr>
      </w:pPr>
    </w:p>
    <w:p>
      <w:pPr>
        <w:ind w:left="1040" w:right="60" w:hanging="516"/>
        <w:spacing w:after="0" w:line="265" w:lineRule="auto"/>
        <w:tabs>
          <w:tab w:leader="none" w:pos="10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8" w:name="page129"/>
    <w:bookmarkEnd w:id="128"/>
    <w:p>
      <w:pPr>
        <w:ind w:left="1040" w:hanging="516"/>
        <w:spacing w:after="0"/>
        <w:tabs>
          <w:tab w:leader="none" w:pos="10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stock transfer or other taxes and other governmental charges;</w:t>
      </w:r>
    </w:p>
    <w:p>
      <w:pPr>
        <w:spacing w:after="0" w:line="116" w:lineRule="exact"/>
        <w:rPr>
          <w:rFonts w:ascii="Arial" w:cs="Arial" w:eastAsia="Arial" w:hAnsi="Arial"/>
          <w:sz w:val="17"/>
          <w:szCs w:val="17"/>
          <w:color w:val="auto"/>
        </w:rPr>
      </w:pPr>
    </w:p>
    <w:p>
      <w:pPr>
        <w:ind w:left="1040" w:hanging="516"/>
        <w:spacing w:after="0" w:line="286" w:lineRule="auto"/>
        <w:tabs>
          <w:tab w:leader="none" w:pos="10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cable, telex and facsimile transmission and delivery charges incurred at your request in connection with the deposit or delivery of shares, ADRs or deposited securities;</w:t>
      </w:r>
    </w:p>
    <w:p>
      <w:pPr>
        <w:spacing w:after="0" w:line="54" w:lineRule="exact"/>
        <w:rPr>
          <w:rFonts w:ascii="Arial" w:cs="Arial" w:eastAsia="Arial" w:hAnsi="Arial"/>
          <w:sz w:val="17"/>
          <w:szCs w:val="17"/>
          <w:color w:val="auto"/>
        </w:rPr>
      </w:pPr>
    </w:p>
    <w:p>
      <w:pPr>
        <w:ind w:left="1040" w:right="440" w:hanging="516"/>
        <w:spacing w:after="0" w:line="286" w:lineRule="auto"/>
        <w:tabs>
          <w:tab w:leader="none" w:pos="10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transfer or registration fees for the registration of transfer of deposited securities on any applicable register in connection with the deposit or withdrawal of deposited securities; and</w:t>
      </w:r>
    </w:p>
    <w:p>
      <w:pPr>
        <w:spacing w:after="0" w:line="54" w:lineRule="exact"/>
        <w:rPr>
          <w:rFonts w:ascii="Arial" w:cs="Arial" w:eastAsia="Arial" w:hAnsi="Arial"/>
          <w:sz w:val="17"/>
          <w:szCs w:val="17"/>
          <w:color w:val="auto"/>
        </w:rPr>
      </w:pPr>
    </w:p>
    <w:p>
      <w:pPr>
        <w:ind w:left="1040" w:right="140" w:hanging="516"/>
        <w:spacing w:after="0" w:line="270" w:lineRule="auto"/>
        <w:tabs>
          <w:tab w:leader="none" w:pos="10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JPMorgan and/or its agent may act as principal for such conversion of foreign currency.</w:t>
      </w:r>
    </w:p>
    <w:p>
      <w:pPr>
        <w:spacing w:after="0" w:line="221" w:lineRule="exact"/>
        <w:rPr>
          <w:sz w:val="20"/>
          <w:szCs w:val="20"/>
          <w:color w:val="auto"/>
        </w:rPr>
      </w:pPr>
    </w:p>
    <w:p>
      <w:pPr>
        <w:ind w:right="120" w:firstLine="532"/>
        <w:spacing w:after="0" w:line="319"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Other Payments Made by the Depositary to Us</w:t>
      </w:r>
    </w:p>
    <w:p>
      <w:pPr>
        <w:spacing w:after="0" w:line="123" w:lineRule="exact"/>
        <w:rPr>
          <w:sz w:val="20"/>
          <w:szCs w:val="20"/>
          <w:color w:val="auto"/>
        </w:rPr>
      </w:pPr>
    </w:p>
    <w:p>
      <w:pPr>
        <w:ind w:right="40" w:firstLine="532"/>
        <w:spacing w:after="0" w:line="276"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 For the year ended December 31, 2019, we received US$0.2 million reimbursement, after deduction of applicable U.S. taxes, from the depositary.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452" w:right="379" w:bottom="1440" w:gutter="0" w:footer="0" w:header="0"/>
        </w:sectPr>
      </w:pPr>
    </w:p>
    <w:bookmarkStart w:id="129" w:name="page130"/>
    <w:bookmarkEnd w:id="129"/>
    <w:p>
      <w:pPr>
        <w:ind w:left="5300"/>
        <w:spacing w:after="0"/>
        <w:rPr>
          <w:sz w:val="20"/>
          <w:szCs w:val="20"/>
          <w:color w:val="auto"/>
        </w:rPr>
      </w:pPr>
      <w:r>
        <w:rPr>
          <w:rFonts w:ascii="Arial" w:cs="Arial" w:eastAsia="Arial" w:hAnsi="Arial"/>
          <w:sz w:val="17"/>
          <w:szCs w:val="17"/>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13.DEFAULTS, DIVIDEND ARREARAGES ANDDELINQUENCIES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14.MATERIAL MODIFICATIONS TO THE RIGHTS OF SECURITY HOLDERS AND USE OF PROCEEDS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A-D. </w:t>
      </w:r>
      <w:r>
        <w:rPr>
          <w:rFonts w:ascii="Arial" w:cs="Arial" w:eastAsia="Arial" w:hAnsi="Arial"/>
          <w:sz w:val="17"/>
          <w:szCs w:val="17"/>
          <w:u w:val="single" w:color="auto"/>
          <w:color w:val="auto"/>
        </w:rPr>
        <w:t>Material Modifications to the Rights of Security Holders</w:t>
      </w:r>
    </w:p>
    <w:p>
      <w:pPr>
        <w:spacing w:after="0" w:line="221" w:lineRule="exact"/>
        <w:rPr>
          <w:sz w:val="20"/>
          <w:szCs w:val="20"/>
          <w:color w:val="auto"/>
        </w:rPr>
      </w:pPr>
    </w:p>
    <w:p>
      <w:pPr>
        <w:ind w:right="440" w:firstLine="532"/>
        <w:spacing w:after="0" w:line="286" w:lineRule="auto"/>
        <w:rPr>
          <w:sz w:val="20"/>
          <w:szCs w:val="20"/>
          <w:color w:val="auto"/>
        </w:rPr>
      </w:pPr>
      <w:r>
        <w:rPr>
          <w:rFonts w:ascii="Arial" w:cs="Arial" w:eastAsia="Arial" w:hAnsi="Arial"/>
          <w:sz w:val="17"/>
          <w:szCs w:val="17"/>
          <w:color w:val="auto"/>
        </w:rPr>
        <w:t>See “Item 10. Additional Information—B. Memorandum and Articles of Association—Ordinary Shares” for a description of the rights of securities holders, which remain unchanged.</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Use of Proceeds</w:t>
      </w:r>
    </w:p>
    <w:p>
      <w:pPr>
        <w:spacing w:after="0" w:line="221" w:lineRule="exact"/>
        <w:rPr>
          <w:sz w:val="20"/>
          <w:szCs w:val="20"/>
          <w:color w:val="auto"/>
        </w:rPr>
      </w:pPr>
    </w:p>
    <w:p>
      <w:pPr>
        <w:ind w:firstLine="532"/>
        <w:spacing w:after="0" w:line="265" w:lineRule="auto"/>
        <w:rPr>
          <w:sz w:val="20"/>
          <w:szCs w:val="20"/>
          <w:color w:val="auto"/>
        </w:rPr>
      </w:pPr>
      <w:r>
        <w:rPr>
          <w:rFonts w:ascii="Arial" w:cs="Arial" w:eastAsia="Arial" w:hAnsi="Arial"/>
          <w:sz w:val="17"/>
          <w:szCs w:val="17"/>
          <w:color w:val="auto"/>
        </w:rPr>
        <w:t>The following “Use of Proceeds” information relates to the registration statement on Form F-1, as amended (File Number 333-221034 ) (the “F-1 Registration Statement”) in relation to our initial public offering of 3,750,000 ADSs representing 1,875,000 Class A ordinary shares, at an initial offering price of US$8.00 per ADS. Our initial public offering closed in December 2017. Roth Capital Partners, LLC was the representative of the underwriters for our initial public offering.</w:t>
      </w:r>
    </w:p>
    <w:p>
      <w:pPr>
        <w:spacing w:after="0" w:line="177" w:lineRule="exact"/>
        <w:rPr>
          <w:sz w:val="20"/>
          <w:szCs w:val="20"/>
          <w:color w:val="auto"/>
        </w:rPr>
      </w:pPr>
    </w:p>
    <w:p>
      <w:pPr>
        <w:ind w:right="500" w:firstLine="532"/>
        <w:spacing w:after="0" w:line="286" w:lineRule="auto"/>
        <w:rPr>
          <w:sz w:val="20"/>
          <w:szCs w:val="20"/>
          <w:color w:val="auto"/>
        </w:rPr>
      </w:pPr>
      <w:r>
        <w:rPr>
          <w:rFonts w:ascii="Arial" w:cs="Arial" w:eastAsia="Arial" w:hAnsi="Arial"/>
          <w:sz w:val="17"/>
          <w:szCs w:val="17"/>
          <w:color w:val="auto"/>
        </w:rPr>
        <w:t>For the period from December 21, 2017, the date that the Form F-1 was declared effective by the SEC, to December 31, 2019, we had used the net proceeds from our initial public offering as follows:</w:t>
      </w:r>
    </w:p>
    <w:p>
      <w:pPr>
        <w:spacing w:after="0" w:line="54" w:lineRule="exact"/>
        <w:rPr>
          <w:sz w:val="20"/>
          <w:szCs w:val="20"/>
          <w:color w:val="auto"/>
        </w:rPr>
      </w:pPr>
    </w:p>
    <w:p>
      <w:pPr>
        <w:ind w:left="1040" w:hanging="516"/>
        <w:spacing w:after="0"/>
        <w:tabs>
          <w:tab w:leader="none" w:pos="10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approximately US$9 million of the net proceeds for research and development and expansion of our suite of solutions and service offerings; and</w:t>
      </w:r>
    </w:p>
    <w:p>
      <w:pPr>
        <w:spacing w:after="0" w:line="139" w:lineRule="exact"/>
        <w:rPr>
          <w:rFonts w:ascii="Arial" w:cs="Arial" w:eastAsia="Arial" w:hAnsi="Arial"/>
          <w:sz w:val="15"/>
          <w:szCs w:val="15"/>
          <w:color w:val="auto"/>
        </w:rPr>
      </w:pPr>
    </w:p>
    <w:p>
      <w:pPr>
        <w:ind w:left="1040" w:hanging="516"/>
        <w:spacing w:after="0"/>
        <w:tabs>
          <w:tab w:leader="none" w:pos="10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approximately US$13 million of the net proceeds for sales and marketing.</w:t>
      </w:r>
    </w:p>
    <w:p>
      <w:pPr>
        <w:spacing w:after="0" w:line="221" w:lineRule="exact"/>
        <w:rPr>
          <w:sz w:val="20"/>
          <w:szCs w:val="20"/>
          <w:color w:val="auto"/>
        </w:rPr>
      </w:pPr>
    </w:p>
    <w:p>
      <w:pPr>
        <w:ind w:right="280" w:firstLine="522"/>
        <w:spacing w:after="0" w:line="356" w:lineRule="auto"/>
        <w:rPr>
          <w:sz w:val="20"/>
          <w:szCs w:val="20"/>
          <w:color w:val="auto"/>
        </w:rPr>
      </w:pPr>
      <w:r>
        <w:rPr>
          <w:rFonts w:ascii="Arial" w:cs="Arial" w:eastAsia="Arial" w:hAnsi="Arial"/>
          <w:sz w:val="15"/>
          <w:szCs w:val="15"/>
          <w:color w:val="auto"/>
        </w:rPr>
        <w:t>We intend to use the remainder of the proceeds from our initial public offering, as disclosed in our registration statement on Form F-1, for (i) research and development and expansion of our suite of solutions and service offerings, and (ii) funding our working capital and other general corporate purposes.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23" w:lineRule="exact"/>
        <w:rPr>
          <w:sz w:val="20"/>
          <w:szCs w:val="20"/>
          <w:color w:val="auto"/>
        </w:rPr>
      </w:pPr>
    </w:p>
    <w:p>
      <w:pPr>
        <w:ind w:right="80" w:firstLine="532"/>
        <w:spacing w:after="0" w:line="25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as of December 31, 2019. Based upon that evaluation, our management, with the participation of our chief executive officer and chief financial officer, has concluded that, as of the end of the period covered by this annual report,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23" w:lineRule="exact"/>
        <w:rPr>
          <w:sz w:val="20"/>
          <w:szCs w:val="20"/>
          <w:color w:val="auto"/>
        </w:rPr>
      </w:pPr>
    </w:p>
    <w:p>
      <w:pPr>
        <w:ind w:right="60" w:firstLine="532"/>
        <w:spacing w:after="0" w:line="26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under the Exchange Act of 1934. Our internal control over financial reporting is a process designed to provide reasonable assurance regarding the reliability of financial reporting and the preparation of consolidated financial statements in accordance with U.S. GAAP. Because of its inherent limitations, a system of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130" w:name="page131"/>
    <w:bookmarkEnd w:id="130"/>
    <w:p>
      <w:pPr>
        <w:ind w:right="60" w:firstLine="532"/>
        <w:spacing w:after="0" w:line="295" w:lineRule="auto"/>
        <w:rPr>
          <w:sz w:val="20"/>
          <w:szCs w:val="20"/>
          <w:color w:val="auto"/>
        </w:rPr>
      </w:pPr>
      <w:r>
        <w:rPr>
          <w:rFonts w:ascii="Arial" w:cs="Arial" w:eastAsia="Arial" w:hAnsi="Arial"/>
          <w:sz w:val="15"/>
          <w:szCs w:val="15"/>
          <w:color w:val="auto"/>
        </w:rPr>
        <w:t>Our management conducted an assessment of the effectiveness of our internal control over financial reporting as of December 31, 2019. In making this assessment, it used the criteria established within the Internal Control—Integrated Framework issued by the Committee of Sponsoring Organizations of the Treadway Commission (COSO) (2013 framework). Based on this assessment, our management has concluded that, as of December 31, 2019, our internal control over financial reporting was not effective.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To remediate these two weaknesses, we have adopted a few measures to improve our internal control over financial reporting. In particular, we are in the process of hiring additional accounting staff with an appropriate understanding of U.S. GAAP and SEC reporting requirements. Furthermore, we request our existing accounting personnel to complete external courses relating to U.S. GAAP and SEC reporting such that the accounting personnel can earn the necessary credentials to be qualified as certified public accountants in the U.S. In addition, we are also in the process of establishing a comprehensive accounting policies and procedures manual for accounting and operation staff and providing trainings in relation to these policies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the Independent Registered Public Accounting Firm</w:t>
      </w:r>
    </w:p>
    <w:p>
      <w:pPr>
        <w:spacing w:after="0" w:line="123" w:lineRule="exact"/>
        <w:rPr>
          <w:sz w:val="20"/>
          <w:szCs w:val="20"/>
          <w:color w:val="auto"/>
        </w:rPr>
      </w:pPr>
    </w:p>
    <w:p>
      <w:pPr>
        <w:ind w:right="320" w:firstLine="532"/>
        <w:spacing w:after="0" w:line="323" w:lineRule="auto"/>
        <w:rPr>
          <w:sz w:val="20"/>
          <w:szCs w:val="20"/>
          <w:color w:val="auto"/>
        </w:rPr>
      </w:pPr>
      <w:r>
        <w:rPr>
          <w:rFonts w:ascii="Arial" w:cs="Arial" w:eastAsia="Arial" w:hAnsi="Arial"/>
          <w:sz w:val="15"/>
          <w:szCs w:val="15"/>
          <w:color w:val="auto"/>
        </w:rPr>
        <w:t>Since we are an “emerging growth company” as defined under the JOBS Act, our independent registered public accounting firm has not conducted an audit of our internal control over financial reporting as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3" w:lineRule="exact"/>
        <w:rPr>
          <w:sz w:val="20"/>
          <w:szCs w:val="20"/>
          <w:color w:val="auto"/>
        </w:rPr>
      </w:pPr>
    </w:p>
    <w:p>
      <w:pPr>
        <w:ind w:right="180" w:firstLine="532"/>
        <w:spacing w:after="0" w:line="286" w:lineRule="auto"/>
        <w:rPr>
          <w:sz w:val="20"/>
          <w:szCs w:val="20"/>
          <w:color w:val="auto"/>
        </w:rPr>
      </w:pPr>
      <w:r>
        <w:rPr>
          <w:rFonts w:ascii="Arial" w:cs="Arial" w:eastAsia="Arial" w:hAnsi="Arial"/>
          <w:sz w:val="17"/>
          <w:szCs w:val="17"/>
          <w:color w:val="auto"/>
        </w:rPr>
        <w:t>Other than the above, there have not been any changes in our internal control over financial reporting in the year ended December 31, 2019, which have materially affected, or are reasonably likely to materially affect, our internal control over financial reporting.</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16A.AUDIT COMMITTEE FINANCIAL EXPERT</w:t>
      </w:r>
    </w:p>
    <w:p>
      <w:pPr>
        <w:spacing w:after="0" w:line="123" w:lineRule="exact"/>
        <w:rPr>
          <w:sz w:val="20"/>
          <w:szCs w:val="20"/>
          <w:color w:val="auto"/>
        </w:rPr>
      </w:pPr>
    </w:p>
    <w:p>
      <w:pPr>
        <w:ind w:right="60" w:firstLine="532"/>
        <w:spacing w:after="0" w:line="270" w:lineRule="auto"/>
        <w:rPr>
          <w:sz w:val="20"/>
          <w:szCs w:val="20"/>
          <w:color w:val="auto"/>
        </w:rPr>
      </w:pPr>
      <w:r>
        <w:rPr>
          <w:rFonts w:ascii="Arial" w:cs="Arial" w:eastAsia="Arial" w:hAnsi="Arial"/>
          <w:sz w:val="17"/>
          <w:szCs w:val="17"/>
          <w:color w:val="auto"/>
        </w:rPr>
        <w:t>Our board of directors has determined that Honnus Cheung, an independent director, is our audit committee financial expert. Honnus Cheung satisfies the independent requirements of the Rule 5605(c)(2) of the Listing Rules of the NASDAQ Stock Market and meet the independence standards under Rule 10A-3 under the Exchange Act.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16B.CODE OF ETHICS</w:t>
      </w:r>
    </w:p>
    <w:p>
      <w:pPr>
        <w:spacing w:after="0" w:line="123" w:lineRule="exact"/>
        <w:rPr>
          <w:sz w:val="20"/>
          <w:szCs w:val="20"/>
          <w:color w:val="auto"/>
        </w:rPr>
      </w:pPr>
    </w:p>
    <w:p>
      <w:pPr>
        <w:ind w:right="260" w:firstLine="532"/>
        <w:spacing w:after="0" w:line="270" w:lineRule="auto"/>
        <w:rPr>
          <w:sz w:val="20"/>
          <w:szCs w:val="20"/>
          <w:color w:val="auto"/>
        </w:rPr>
      </w:pPr>
      <w:r>
        <w:rPr>
          <w:rFonts w:ascii="Arial" w:cs="Arial" w:eastAsia="Arial" w:hAnsi="Arial"/>
          <w:sz w:val="17"/>
          <w:szCs w:val="17"/>
          <w:color w:val="auto"/>
        </w:rPr>
        <w:t>Our board of directors adopted a code of business conduct and ethics that applies to our directors, officers and employees. We have filed our code of business conduct and ethics as an exhibit to our registration statement on Form F-1(File No. 333-221034), as amended, initially filed with the SEC on October 20, 2017. We have posted a copy of our code of business conduct and ethics on our website at http://ir.i-click.com.</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16C.PRINCIPAL ACCOUNTANT FEES AND SERVICES</w:t>
      </w:r>
    </w:p>
    <w:p>
      <w:pPr>
        <w:spacing w:after="0" w:line="123" w:lineRule="exact"/>
        <w:rPr>
          <w:sz w:val="20"/>
          <w:szCs w:val="20"/>
          <w:color w:val="auto"/>
        </w:rPr>
      </w:pPr>
    </w:p>
    <w:p>
      <w:pPr>
        <w:ind w:right="700" w:firstLine="511"/>
        <w:spacing w:after="0" w:line="270" w:lineRule="auto"/>
        <w:rPr>
          <w:sz w:val="20"/>
          <w:szCs w:val="20"/>
          <w:color w:val="auto"/>
        </w:rPr>
      </w:pPr>
      <w:r>
        <w:rPr>
          <w:rFonts w:ascii="Arial" w:cs="Arial" w:eastAsia="Arial" w:hAnsi="Arial"/>
          <w:sz w:val="17"/>
          <w:szCs w:val="17"/>
          <w:color w:val="auto"/>
        </w:rPr>
        <w:t>The following table sets forth the aggregate fees by categories specified below in connection with certain professional services rendered by PricewaterhouseCoopers, our independent registered public accounting firm, for the periods indicated. We did not pay any other fees to our independent registered public accounting firm during the periods indicated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340" w:type="dxa"/>
            <w:vAlign w:val="bottom"/>
          </w:tcPr>
          <w:p>
            <w:pPr>
              <w:spacing w:after="0"/>
              <w:rPr>
                <w:sz w:val="14"/>
                <w:szCs w:val="14"/>
                <w:color w:val="auto"/>
              </w:rPr>
            </w:pPr>
          </w:p>
        </w:tc>
        <w:tc>
          <w:tcPr>
            <w:tcW w:w="1020" w:type="dxa"/>
            <w:vAlign w:val="bottom"/>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6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18"/>
              <w:spacing w:after="0" w:line="149" w:lineRule="exact"/>
              <w:rPr>
                <w:sz w:val="20"/>
                <w:szCs w:val="20"/>
                <w:color w:val="auto"/>
              </w:rPr>
            </w:pPr>
            <w:r>
              <w:rPr>
                <w:rFonts w:ascii="Arial" w:cs="Arial" w:eastAsia="Arial" w:hAnsi="Arial"/>
                <w:sz w:val="14"/>
                <w:szCs w:val="14"/>
                <w:b w:val="1"/>
                <w:bCs w:val="1"/>
                <w:color w:val="auto"/>
                <w:w w:val="95"/>
              </w:rPr>
              <w:t>(US$ in thousands)</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1"/>
        </w:trPr>
        <w:tc>
          <w:tcPr>
            <w:tcW w:w="87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 xml:space="preserve">Audit fees </w:t>
            </w:r>
            <w:r>
              <w:rPr>
                <w:rFonts w:ascii="Arial" w:cs="Arial" w:eastAsia="Arial" w:hAnsi="Arial"/>
                <w:sz w:val="14"/>
                <w:szCs w:val="14"/>
                <w:color w:val="auto"/>
              </w:rPr>
              <w:t>(1)</w:t>
            </w:r>
          </w:p>
        </w:tc>
        <w:tc>
          <w:tcPr>
            <w:tcW w:w="1340" w:type="dxa"/>
            <w:vAlign w:val="bottom"/>
            <w:shd w:val="clear" w:color="auto" w:fill="CFF0FC"/>
          </w:tcPr>
          <w:p>
            <w:pPr>
              <w:jc w:val="right"/>
              <w:ind w:right="738"/>
              <w:spacing w:after="0"/>
              <w:rPr>
                <w:sz w:val="20"/>
                <w:szCs w:val="20"/>
                <w:color w:val="auto"/>
              </w:rPr>
            </w:pPr>
            <w:r>
              <w:rPr>
                <w:rFonts w:ascii="Arial" w:cs="Arial" w:eastAsia="Arial" w:hAnsi="Arial"/>
                <w:sz w:val="17"/>
                <w:szCs w:val="17"/>
                <w:color w:val="auto"/>
              </w:rPr>
              <w:t>1,050</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8760" w:type="dxa"/>
            <w:vAlign w:val="bottom"/>
            <w:gridSpan w:val="3"/>
          </w:tcPr>
          <w:p>
            <w:pPr>
              <w:spacing w:after="0"/>
              <w:rPr>
                <w:sz w:val="20"/>
                <w:szCs w:val="20"/>
                <w:color w:val="auto"/>
              </w:rPr>
            </w:pPr>
            <w:r>
              <w:rPr>
                <w:rFonts w:ascii="Arial" w:cs="Arial" w:eastAsia="Arial" w:hAnsi="Arial"/>
                <w:sz w:val="17"/>
                <w:szCs w:val="17"/>
                <w:color w:val="auto"/>
              </w:rPr>
              <w:t xml:space="preserve">Tax fees </w:t>
            </w:r>
            <w:r>
              <w:rPr>
                <w:rFonts w:ascii="Arial" w:cs="Arial" w:eastAsia="Arial" w:hAnsi="Arial"/>
                <w:sz w:val="14"/>
                <w:szCs w:val="14"/>
                <w:color w:val="auto"/>
              </w:rPr>
              <w:t>(2)</w:t>
            </w:r>
          </w:p>
        </w:tc>
        <w:tc>
          <w:tcPr>
            <w:tcW w:w="1340" w:type="dxa"/>
            <w:vAlign w:val="bottom"/>
          </w:tcPr>
          <w:p>
            <w:pPr>
              <w:jc w:val="right"/>
              <w:ind w:right="738"/>
              <w:spacing w:after="0"/>
              <w:rPr>
                <w:sz w:val="20"/>
                <w:szCs w:val="20"/>
                <w:color w:val="auto"/>
              </w:rPr>
            </w:pPr>
            <w:r>
              <w:rPr>
                <w:rFonts w:ascii="Arial" w:cs="Arial" w:eastAsia="Arial" w:hAnsi="Arial"/>
                <w:sz w:val="17"/>
                <w:szCs w:val="17"/>
                <w:color w:val="auto"/>
              </w:rPr>
              <w:t>14</w:t>
            </w: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87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 xml:space="preserve">Audit related fees </w:t>
            </w:r>
            <w:r>
              <w:rPr>
                <w:rFonts w:ascii="Arial" w:cs="Arial" w:eastAsia="Arial" w:hAnsi="Arial"/>
                <w:sz w:val="14"/>
                <w:szCs w:val="14"/>
                <w:color w:val="auto"/>
              </w:rPr>
              <w:t>(3)</w:t>
            </w:r>
          </w:p>
        </w:tc>
        <w:tc>
          <w:tcPr>
            <w:tcW w:w="1340" w:type="dxa"/>
            <w:vAlign w:val="bottom"/>
            <w:shd w:val="clear" w:color="auto" w:fill="CFF0FC"/>
          </w:tcPr>
          <w:p>
            <w:pPr>
              <w:jc w:val="right"/>
              <w:ind w:right="738"/>
              <w:spacing w:after="0"/>
              <w:rPr>
                <w:sz w:val="20"/>
                <w:szCs w:val="20"/>
                <w:color w:val="auto"/>
              </w:rPr>
            </w:pPr>
            <w:r>
              <w:rPr>
                <w:rFonts w:ascii="Arial" w:cs="Arial" w:eastAsia="Arial" w:hAnsi="Arial"/>
                <w:sz w:val="17"/>
                <w:szCs w:val="17"/>
                <w:color w:val="auto"/>
              </w:rPr>
              <w:t>260</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130"/>
        </w:trPr>
        <w:tc>
          <w:tcPr>
            <w:tcW w:w="264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630"/>
        </w:trPr>
        <w:tc>
          <w:tcPr>
            <w:tcW w:w="7740" w:type="dxa"/>
            <w:vAlign w:val="bottom"/>
            <w:gridSpan w:val="2"/>
          </w:tcPr>
          <w:p>
            <w:pPr>
              <w:jc w:val="right"/>
              <w:ind w:right="1980"/>
              <w:spacing w:after="0"/>
              <w:rPr>
                <w:sz w:val="20"/>
                <w:szCs w:val="20"/>
                <w:color w:val="auto"/>
              </w:rPr>
            </w:pPr>
            <w:r>
              <w:rPr>
                <w:rFonts w:ascii="Arial" w:cs="Arial" w:eastAsia="Arial" w:hAnsi="Arial"/>
                <w:sz w:val="17"/>
                <w:szCs w:val="17"/>
                <w:color w:val="auto"/>
              </w:rPr>
              <w:t>129</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2640" w:type="dxa"/>
            <w:vAlign w:val="bottom"/>
            <w:tcBorders>
              <w:bottom w:val="single" w:sz="8" w:color="9A9A9A"/>
            </w:tcBorders>
          </w:tcPr>
          <w:p>
            <w:pPr>
              <w:spacing w:after="0"/>
              <w:rPr>
                <w:sz w:val="9"/>
                <w:szCs w:val="9"/>
                <w:color w:val="auto"/>
              </w:rPr>
            </w:pPr>
          </w:p>
        </w:tc>
        <w:tc>
          <w:tcPr>
            <w:tcW w:w="5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556" w:right="319" w:bottom="1440" w:gutter="0" w:footer="0" w:header="0"/>
        </w:sectPr>
      </w:pPr>
    </w:p>
    <w:bookmarkStart w:id="131" w:name="page132"/>
    <w:bookmarkEnd w:id="131"/>
    <w:p>
      <w:pPr>
        <w:ind w:left="560" w:right="20" w:hanging="556"/>
        <w:spacing w:after="0" w:line="286" w:lineRule="auto"/>
        <w:tabs>
          <w:tab w:leader="none" w:pos="5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“Audit fees” means the aggregate fees billed for professional services rendered by our principal auditors for the audit of our annual financial statements and the review of our comparative interim financial statements.</w:t>
      </w:r>
    </w:p>
    <w:p>
      <w:pPr>
        <w:spacing w:after="0" w:line="54" w:lineRule="exact"/>
        <w:rPr>
          <w:rFonts w:ascii="Arial" w:cs="Arial" w:eastAsia="Arial" w:hAnsi="Arial"/>
          <w:sz w:val="17"/>
          <w:szCs w:val="17"/>
          <w:color w:val="auto"/>
        </w:rPr>
      </w:pPr>
    </w:p>
    <w:p>
      <w:pPr>
        <w:ind w:left="560" w:hanging="556"/>
        <w:spacing w:after="0"/>
        <w:tabs>
          <w:tab w:leader="none" w:pos="5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“Tax fees” include fees billed for tax compliance and tax consultations.</w:t>
      </w:r>
    </w:p>
    <w:p>
      <w:pPr>
        <w:spacing w:after="0" w:line="116" w:lineRule="exact"/>
        <w:rPr>
          <w:rFonts w:ascii="Arial" w:cs="Arial" w:eastAsia="Arial" w:hAnsi="Arial"/>
          <w:sz w:val="17"/>
          <w:szCs w:val="17"/>
          <w:color w:val="auto"/>
        </w:rPr>
      </w:pPr>
    </w:p>
    <w:p>
      <w:pPr>
        <w:ind w:left="560" w:right="360" w:hanging="556"/>
        <w:spacing w:after="0" w:line="356" w:lineRule="auto"/>
        <w:tabs>
          <w:tab w:leader="none" w:pos="5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“Audit-related fees” represent the aggregate fees billed in each of the fiscal years listed for the assurance and related services rendered by our principal auditors that are reasonably related to the performance of the audit or review of our financial statements and not reported under “Audit fees.”</w:t>
      </w:r>
    </w:p>
    <w:p>
      <w:pPr>
        <w:spacing w:after="0" w:line="113" w:lineRule="exact"/>
        <w:rPr>
          <w:sz w:val="20"/>
          <w:szCs w:val="20"/>
          <w:color w:val="auto"/>
        </w:rPr>
      </w:pPr>
    </w:p>
    <w:p>
      <w:pPr>
        <w:ind w:right="80" w:firstLine="532"/>
        <w:spacing w:after="0" w:line="286" w:lineRule="auto"/>
        <w:rPr>
          <w:sz w:val="20"/>
          <w:szCs w:val="20"/>
          <w:color w:val="auto"/>
        </w:rPr>
      </w:pPr>
      <w:r>
        <w:rPr>
          <w:rFonts w:ascii="Arial" w:cs="Arial" w:eastAsia="Arial" w:hAnsi="Arial"/>
          <w:sz w:val="17"/>
          <w:szCs w:val="17"/>
          <w:color w:val="auto"/>
        </w:rPr>
        <w:t xml:space="preserve">The policy of our audit committee is to pre-approve all audit and other service provided by PricewaterhouseCoopers as described above, other than those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services which are approved by the Audit Committee prior to the completion of the audit.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16D.EXEMPTIONS FROM THE LISTING STANDARDS FOR AUDIT COMMITTEES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16E.PURCHASES OF EQUITY SECURITIES BY THE ISSUER AND AFFILIATED PURCHASERS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sets forth information about our purchases of outstanding ADSs in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(c) Total Number</w:t>
            </w: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 Approximately</w:t>
            </w:r>
          </w:p>
        </w:tc>
        <w:tc>
          <w:tcPr>
            <w:tcW w:w="0" w:type="dxa"/>
            <w:vAlign w:val="bottom"/>
          </w:tcPr>
          <w:p>
            <w:pPr>
              <w:spacing w:after="0"/>
              <w:rPr>
                <w:sz w:val="1"/>
                <w:szCs w:val="1"/>
                <w:color w:val="auto"/>
              </w:rPr>
            </w:pPr>
          </w:p>
        </w:tc>
      </w:tr>
      <w:tr>
        <w:trPr>
          <w:trHeight w:val="143"/>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2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9"/>
              </w:rPr>
              <w:t>Dollar Value of ADSs</w:t>
            </w:r>
          </w:p>
        </w:tc>
        <w:tc>
          <w:tcPr>
            <w:tcW w:w="0" w:type="dxa"/>
            <w:vAlign w:val="bottom"/>
          </w:tcPr>
          <w:p>
            <w:pPr>
              <w:spacing w:after="0"/>
              <w:rPr>
                <w:sz w:val="1"/>
                <w:szCs w:val="1"/>
                <w:color w:val="auto"/>
              </w:rPr>
            </w:pPr>
          </w:p>
        </w:tc>
      </w:tr>
      <w:tr>
        <w:trPr>
          <w:trHeight w:val="143"/>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of ADSs Purchased</w:t>
            </w:r>
          </w:p>
        </w:tc>
        <w:tc>
          <w:tcPr>
            <w:tcW w:w="22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3"/>
        </w:trPr>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(a)Total Number of</w:t>
            </w:r>
          </w:p>
        </w:tc>
        <w:tc>
          <w:tcPr>
            <w:tcW w:w="23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(b)Average Price Paid</w:t>
            </w:r>
          </w:p>
        </w:tc>
        <w:tc>
          <w:tcPr>
            <w:tcW w:w="2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8"/>
              </w:rPr>
              <w:t>as Part of Publicly</w:t>
            </w:r>
          </w:p>
        </w:tc>
        <w:tc>
          <w:tcPr>
            <w:tcW w:w="22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Purchased Under the</w:t>
            </w:r>
          </w:p>
        </w:tc>
        <w:tc>
          <w:tcPr>
            <w:tcW w:w="0" w:type="dxa"/>
            <w:vAlign w:val="bottom"/>
          </w:tcPr>
          <w:p>
            <w:pPr>
              <w:spacing w:after="0"/>
              <w:rPr>
                <w:sz w:val="1"/>
                <w:szCs w:val="1"/>
                <w:color w:val="auto"/>
              </w:rPr>
            </w:pPr>
          </w:p>
        </w:tc>
      </w:tr>
      <w:tr>
        <w:trPr>
          <w:trHeight w:val="143"/>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7"/>
              </w:rPr>
              <w:t>Announced Plans</w:t>
            </w:r>
          </w:p>
        </w:tc>
        <w:tc>
          <w:tcPr>
            <w:tcW w:w="22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9"/>
              </w:rPr>
              <w:t>Plans or Programs</w:t>
            </w:r>
          </w:p>
        </w:tc>
        <w:tc>
          <w:tcPr>
            <w:tcW w:w="0" w:type="dxa"/>
            <w:vAlign w:val="bottom"/>
          </w:tcPr>
          <w:p>
            <w:pPr>
              <w:spacing w:after="0"/>
              <w:rPr>
                <w:sz w:val="1"/>
                <w:szCs w:val="1"/>
                <w:color w:val="auto"/>
              </w:rPr>
            </w:pPr>
          </w:p>
        </w:tc>
      </w:tr>
      <w:tr>
        <w:trPr>
          <w:trHeight w:val="166"/>
        </w:trPr>
        <w:tc>
          <w:tcPr>
            <w:tcW w:w="1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210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4"/>
                <w:szCs w:val="14"/>
                <w:b w:val="1"/>
                <w:bCs w:val="1"/>
                <w:color w:val="auto"/>
              </w:rPr>
              <w:t>ADSs Purchased</w:t>
            </w:r>
          </w:p>
        </w:tc>
        <w:tc>
          <w:tcPr>
            <w:tcW w:w="260" w:type="dxa"/>
            <w:vAlign w:val="bottom"/>
            <w:tcBorders>
              <w:bottom w:val="single" w:sz="8" w:color="CFF0FC"/>
            </w:tcBorders>
          </w:tcPr>
          <w:p>
            <w:pPr>
              <w:spacing w:after="0"/>
              <w:rPr>
                <w:sz w:val="14"/>
                <w:szCs w:val="14"/>
                <w:color w:val="auto"/>
              </w:rPr>
            </w:pPr>
          </w:p>
        </w:tc>
        <w:tc>
          <w:tcPr>
            <w:tcW w:w="2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per ADS (US$)</w:t>
            </w:r>
            <w:r>
              <w:rPr>
                <w:rFonts w:ascii="Arial" w:cs="Arial" w:eastAsia="Arial" w:hAnsi="Arial"/>
                <w:sz w:val="11"/>
                <w:szCs w:val="11"/>
                <w:b w:val="1"/>
                <w:bCs w:val="1"/>
                <w:color w:val="auto"/>
              </w:rPr>
              <w:t>(1)</w:t>
            </w:r>
          </w:p>
        </w:tc>
        <w:tc>
          <w:tcPr>
            <w:tcW w:w="260" w:type="dxa"/>
            <w:vAlign w:val="bottom"/>
            <w:tcBorders>
              <w:bottom w:val="single" w:sz="8" w:color="CFF0FC"/>
            </w:tcBorders>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Programs</w:t>
            </w:r>
            <w:r>
              <w:rPr>
                <w:rFonts w:ascii="Arial" w:cs="Arial" w:eastAsia="Arial" w:hAnsi="Arial"/>
                <w:sz w:val="11"/>
                <w:szCs w:val="11"/>
                <w:b w:val="1"/>
                <w:bCs w:val="1"/>
                <w:color w:val="auto"/>
                <w:w w:val="90"/>
              </w:rPr>
              <w:t>(2)</w:t>
            </w:r>
          </w:p>
        </w:tc>
        <w:tc>
          <w:tcPr>
            <w:tcW w:w="240" w:type="dxa"/>
            <w:vAlign w:val="bottom"/>
            <w:tcBorders>
              <w:bottom w:val="single" w:sz="8" w:color="CFF0FC"/>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US$ million)</w:t>
            </w:r>
            <w:r>
              <w:rPr>
                <w:rFonts w:ascii="Arial" w:cs="Arial" w:eastAsia="Arial" w:hAnsi="Arial"/>
                <w:sz w:val="11"/>
                <w:szCs w:val="11"/>
                <w:b w:val="1"/>
                <w:bCs w:val="1"/>
                <w:color w:val="auto"/>
                <w:w w:val="93"/>
              </w:rPr>
              <w:t>(2)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January 2019</w:t>
            </w:r>
          </w:p>
        </w:tc>
        <w:tc>
          <w:tcPr>
            <w:tcW w:w="7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3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February 2019</w:t>
            </w:r>
          </w:p>
        </w:tc>
        <w:tc>
          <w:tcPr>
            <w:tcW w:w="70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120" w:type="dxa"/>
            <w:vAlign w:val="bottom"/>
          </w:tcPr>
          <w:p>
            <w:pPr>
              <w:jc w:val="right"/>
              <w:spacing w:after="0"/>
              <w:rPr>
                <w:sz w:val="20"/>
                <w:szCs w:val="20"/>
                <w:color w:val="auto"/>
              </w:rPr>
            </w:pPr>
            <w:r>
              <w:rPr>
                <w:rFonts w:ascii="Arial" w:cs="Arial" w:eastAsia="Arial" w:hAnsi="Arial"/>
                <w:sz w:val="17"/>
                <w:szCs w:val="17"/>
                <w:color w:val="auto"/>
              </w:rPr>
              <w:t>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March 2019</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13,240</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3.7210</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13,240</w:t>
            </w: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April 2019</w:t>
            </w:r>
          </w:p>
        </w:tc>
        <w:tc>
          <w:tcPr>
            <w:tcW w:w="70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120" w:type="dxa"/>
            <w:vAlign w:val="bottom"/>
          </w:tcPr>
          <w:p>
            <w:pPr>
              <w:jc w:val="right"/>
              <w:spacing w:after="0"/>
              <w:rPr>
                <w:sz w:val="20"/>
                <w:szCs w:val="20"/>
                <w:color w:val="auto"/>
              </w:rPr>
            </w:pPr>
            <w:r>
              <w:rPr>
                <w:rFonts w:ascii="Arial" w:cs="Arial" w:eastAsia="Arial" w:hAnsi="Arial"/>
                <w:sz w:val="17"/>
                <w:szCs w:val="17"/>
                <w:color w:val="auto"/>
              </w:rPr>
              <w:t>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May 2019</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5,300</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3.8348</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5,300</w:t>
            </w: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June 2019</w:t>
            </w:r>
          </w:p>
        </w:tc>
        <w:tc>
          <w:tcPr>
            <w:tcW w:w="2100" w:type="dxa"/>
            <w:vAlign w:val="bottom"/>
            <w:gridSpan w:val="2"/>
          </w:tcPr>
          <w:p>
            <w:pPr>
              <w:jc w:val="right"/>
              <w:spacing w:after="0"/>
              <w:rPr>
                <w:sz w:val="20"/>
                <w:szCs w:val="20"/>
                <w:color w:val="auto"/>
              </w:rPr>
            </w:pPr>
            <w:r>
              <w:rPr>
                <w:rFonts w:ascii="Arial" w:cs="Arial" w:eastAsia="Arial" w:hAnsi="Arial"/>
                <w:sz w:val="17"/>
                <w:szCs w:val="17"/>
                <w:color w:val="auto"/>
              </w:rPr>
              <w:t>9,471</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3.8113</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9,471</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July 2019</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356,882</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3.7382</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356,882</w:t>
            </w: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August 2019</w:t>
            </w:r>
          </w:p>
        </w:tc>
        <w:tc>
          <w:tcPr>
            <w:tcW w:w="2100" w:type="dxa"/>
            <w:vAlign w:val="bottom"/>
            <w:gridSpan w:val="2"/>
          </w:tcPr>
          <w:p>
            <w:pPr>
              <w:jc w:val="right"/>
              <w:spacing w:after="0"/>
              <w:rPr>
                <w:sz w:val="20"/>
                <w:szCs w:val="20"/>
                <w:color w:val="auto"/>
              </w:rPr>
            </w:pPr>
            <w:r>
              <w:rPr>
                <w:rFonts w:ascii="Arial" w:cs="Arial" w:eastAsia="Arial" w:hAnsi="Arial"/>
                <w:sz w:val="17"/>
                <w:szCs w:val="17"/>
                <w:color w:val="auto"/>
              </w:rPr>
              <w:t>273,099</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3.3297</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273,099</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September 2019</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66,018</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3.0233</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66,018</w:t>
            </w: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October 2019</w:t>
            </w:r>
          </w:p>
        </w:tc>
        <w:tc>
          <w:tcPr>
            <w:tcW w:w="2100" w:type="dxa"/>
            <w:vAlign w:val="bottom"/>
            <w:gridSpan w:val="2"/>
          </w:tcPr>
          <w:p>
            <w:pPr>
              <w:jc w:val="right"/>
              <w:spacing w:after="0"/>
              <w:rPr>
                <w:sz w:val="20"/>
                <w:szCs w:val="20"/>
                <w:color w:val="auto"/>
              </w:rPr>
            </w:pPr>
            <w:r>
              <w:rPr>
                <w:rFonts w:ascii="Arial" w:cs="Arial" w:eastAsia="Arial" w:hAnsi="Arial"/>
                <w:sz w:val="17"/>
                <w:szCs w:val="17"/>
                <w:color w:val="auto"/>
              </w:rPr>
              <w:t>244,376</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3.0684</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244,376</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November 2019</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333,526</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3.2336</w:t>
            </w:r>
          </w:p>
        </w:tc>
        <w:tc>
          <w:tcPr>
            <w:tcW w:w="26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333,526</w:t>
            </w: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December 2019</w:t>
            </w:r>
          </w:p>
        </w:tc>
        <w:tc>
          <w:tcPr>
            <w:tcW w:w="70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120" w:type="dxa"/>
            <w:vAlign w:val="bottom"/>
          </w:tcPr>
          <w:p>
            <w:pPr>
              <w:jc w:val="right"/>
              <w:spacing w:after="0"/>
              <w:rPr>
                <w:sz w:val="20"/>
                <w:szCs w:val="20"/>
                <w:color w:val="auto"/>
              </w:rPr>
            </w:pPr>
            <w:r>
              <w:rPr>
                <w:rFonts w:ascii="Arial" w:cs="Arial" w:eastAsia="Arial" w:hAnsi="Arial"/>
                <w:sz w:val="17"/>
                <w:szCs w:val="17"/>
                <w:color w:val="auto"/>
              </w:rPr>
              <w:t>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2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1,301,912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3.3711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1,301,912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20" w:right="720" w:hanging="516"/>
        <w:spacing w:after="0" w:line="286" w:lineRule="auto"/>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of our ADSs represents one Class A ordinary share. The average price per ADS is calculated using the execution price for each repurchase excluding commissions paid to brokers.</w:t>
      </w:r>
    </w:p>
    <w:p>
      <w:pPr>
        <w:spacing w:after="0" w:line="54" w:lineRule="exact"/>
        <w:rPr>
          <w:rFonts w:ascii="Arial" w:cs="Arial" w:eastAsia="Arial" w:hAnsi="Arial"/>
          <w:sz w:val="17"/>
          <w:szCs w:val="17"/>
          <w:color w:val="auto"/>
        </w:rPr>
      </w:pPr>
    </w:p>
    <w:p>
      <w:pPr>
        <w:ind w:left="520" w:right="60" w:hanging="516"/>
        <w:spacing w:after="0" w:line="263" w:lineRule="auto"/>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On November 28, 2018, we announced a share repurchase program in which we may purchase our own ADSs with an aggregate value of up to US$10 million over the next 12-month period, ending November 27, 2019. On March 27, 2019, we entered into a trading plan with an authorized brokerage firm in the U.S. for the purpose of repurchasing our issued and outstanding ADSs in accordance with Rule 10b5-1 under the U.S. Securities Exchange Act of 1934, as amended, and has been established pursuant to, and as part of, the US$10 million share buyback program that was previously authorized by our board of directors on November 28, 2018.</w:t>
      </w:r>
    </w:p>
    <w:p>
      <w:pPr>
        <w:spacing w:after="0" w:line="73" w:lineRule="exact"/>
        <w:rPr>
          <w:rFonts w:ascii="Arial" w:cs="Arial" w:eastAsia="Arial" w:hAnsi="Arial"/>
          <w:sz w:val="17"/>
          <w:szCs w:val="17"/>
          <w:color w:val="auto"/>
        </w:rPr>
      </w:pPr>
    </w:p>
    <w:p>
      <w:pPr>
        <w:ind w:left="520" w:right="140" w:hanging="516"/>
        <w:spacing w:after="0" w:line="281" w:lineRule="auto"/>
        <w:tabs>
          <w:tab w:leader="none" w:pos="5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On January 15, 2020, we further announced a share repurchase program in which we may purchase our own ADSs with an aggregate value of up to US$10 million over the 12-month period ending on December 29, 2020.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The share repurchase program does not obligate us to acquire any particular number of ADSs and may be suspended, terminated or extended at any time at our discretion without prior notice.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32" w:name="page133"/>
    <w:bookmarkEnd w:id="132"/>
    <w:p>
      <w:pPr>
        <w:spacing w:after="0"/>
        <w:tabs>
          <w:tab w:leader="none" w:pos="1420" w:val="left"/>
        </w:tabs>
        <w:rPr>
          <w:sz w:val="20"/>
          <w:szCs w:val="20"/>
          <w:color w:val="auto"/>
        </w:rPr>
      </w:pPr>
      <w:r>
        <w:rPr>
          <w:rFonts w:ascii="Arial" w:cs="Arial" w:eastAsia="Arial" w:hAnsi="Arial"/>
          <w:sz w:val="17"/>
          <w:szCs w:val="17"/>
          <w:b w:val="1"/>
          <w:bCs w:val="1"/>
          <w:color w:val="auto"/>
        </w:rPr>
        <w:t>ITEM 16F.</w:t>
      </w:r>
      <w:r>
        <w:rPr>
          <w:sz w:val="20"/>
          <w:szCs w:val="20"/>
          <w:color w:val="auto"/>
        </w:rPr>
        <w:tab/>
      </w:r>
      <w:r>
        <w:rPr>
          <w:rFonts w:ascii="Arial" w:cs="Arial" w:eastAsia="Arial" w:hAnsi="Arial"/>
          <w:sz w:val="17"/>
          <w:szCs w:val="17"/>
          <w:b w:val="1"/>
          <w:bCs w:val="1"/>
          <w:color w:val="auto"/>
        </w:rPr>
        <w:t>CHANGE IN REGISTRANT’S CERTIFYINGACCOUNTANT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319"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123" w:lineRule="exact"/>
        <w:rPr>
          <w:sz w:val="20"/>
          <w:szCs w:val="20"/>
          <w:color w:val="auto"/>
        </w:rPr>
      </w:pPr>
    </w:p>
    <w:p>
      <w:pPr>
        <w:ind w:right="160" w:firstLine="532"/>
        <w:spacing w:after="0" w:line="263" w:lineRule="auto"/>
        <w:rPr>
          <w:sz w:val="20"/>
          <w:szCs w:val="20"/>
          <w:color w:val="auto"/>
        </w:rPr>
      </w:pPr>
      <w:r>
        <w:rPr>
          <w:rFonts w:ascii="Arial" w:cs="Arial" w:eastAsia="Arial" w:hAnsi="Arial"/>
          <w:sz w:val="17"/>
          <w:szCs w:val="17"/>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74" w:lineRule="exact"/>
        <w:rPr>
          <w:sz w:val="20"/>
          <w:szCs w:val="20"/>
          <w:color w:val="auto"/>
        </w:rPr>
      </w:pPr>
    </w:p>
    <w:p>
      <w:pPr>
        <w:ind w:left="1040" w:right="160" w:hanging="516"/>
        <w:spacing w:after="0" w:line="286" w:lineRule="auto"/>
        <w:tabs>
          <w:tab w:leader="none" w:pos="10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shareholder approval for certain events, including the establishment or amendment of certain equity based compensation plans and arrangements and certain transactions involving issuances of a 20% or more interest in our company;</w:t>
      </w:r>
    </w:p>
    <w:p>
      <w:pPr>
        <w:spacing w:after="0" w:line="54" w:lineRule="exact"/>
        <w:rPr>
          <w:rFonts w:ascii="Arial" w:cs="Arial" w:eastAsia="Arial" w:hAnsi="Arial"/>
          <w:sz w:val="17"/>
          <w:szCs w:val="17"/>
          <w:color w:val="auto"/>
        </w:rPr>
      </w:pPr>
    </w:p>
    <w:p>
      <w:pPr>
        <w:ind w:left="1040" w:hanging="516"/>
        <w:spacing w:after="0"/>
        <w:tabs>
          <w:tab w:leader="none" w:pos="10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majority of independent directors on our board of directors;</w:t>
      </w:r>
    </w:p>
    <w:p>
      <w:pPr>
        <w:spacing w:after="0" w:line="116" w:lineRule="exact"/>
        <w:rPr>
          <w:rFonts w:ascii="Arial" w:cs="Arial" w:eastAsia="Arial" w:hAnsi="Arial"/>
          <w:sz w:val="17"/>
          <w:szCs w:val="17"/>
          <w:color w:val="auto"/>
        </w:rPr>
      </w:pPr>
    </w:p>
    <w:p>
      <w:pPr>
        <w:ind w:left="1040" w:hanging="516"/>
        <w:spacing w:after="0"/>
        <w:tabs>
          <w:tab w:leader="none" w:pos="10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only independent directors being involved in the selection of director nominees and determination of executive officer compensation; and</w:t>
      </w:r>
    </w:p>
    <w:p>
      <w:pPr>
        <w:spacing w:after="0" w:line="128" w:lineRule="exact"/>
        <w:rPr>
          <w:rFonts w:ascii="Arial" w:cs="Arial" w:eastAsia="Arial" w:hAnsi="Arial"/>
          <w:sz w:val="16"/>
          <w:szCs w:val="16"/>
          <w:color w:val="auto"/>
        </w:rPr>
      </w:pPr>
    </w:p>
    <w:p>
      <w:pPr>
        <w:ind w:left="1040" w:hanging="516"/>
        <w:spacing w:after="0"/>
        <w:tabs>
          <w:tab w:leader="none" w:pos="10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regularly scheduled executive sessions of independent directors.</w:t>
      </w:r>
    </w:p>
    <w:p>
      <w:pPr>
        <w:spacing w:after="0" w:line="221" w:lineRule="exact"/>
        <w:rPr>
          <w:sz w:val="20"/>
          <w:szCs w:val="20"/>
          <w:color w:val="auto"/>
        </w:rPr>
      </w:pPr>
    </w:p>
    <w:p>
      <w:pPr>
        <w:ind w:firstLine="532"/>
        <w:spacing w:after="0" w:line="265" w:lineRule="auto"/>
        <w:rPr>
          <w:sz w:val="20"/>
          <w:szCs w:val="20"/>
          <w:color w:val="auto"/>
        </w:rPr>
      </w:pPr>
      <w:r>
        <w:rPr>
          <w:rFonts w:ascii="Arial" w:cs="Arial" w:eastAsia="Arial" w:hAnsi="Arial"/>
          <w:sz w:val="17"/>
          <w:szCs w:val="17"/>
          <w:color w:val="auto"/>
        </w:rPr>
        <w:t>As a result of our reliance on the corporate governance exemptions available to foreign private issuers, you will not have the same protection afforded to shareholders of companies that are subject to all of Nasdaq’s corporate governance requirements. See “Item 3. Key Information—D. Risk Factors—Risks Related to Our American Depositary Shares—We are a foreign private issuer within the meaning of the rules under the Exchange Act, and as such we are exempt from certain provisions applicable to U.S. domestic public companies.”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16H.MINE SAFETY DISCLOSURE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7"/>
          <w:szCs w:val="17"/>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17.FINANCIAL STATEMENTS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have elected to provide financial statements pursuant to Item 18.</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18.FINANCIAL STATEMENTS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See pages beginning on page F-1 in this annual report.</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19.EXHIBITS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80" w:type="dxa"/>
            <w:vAlign w:val="bottom"/>
            <w:gridSpan w:val="16"/>
            <w:vMerge w:val="restart"/>
          </w:tcPr>
          <w:p>
            <w:pPr>
              <w:ind w:left="240"/>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80" w:type="dxa"/>
            <w:vAlign w:val="bottom"/>
            <w:gridSpan w:val="16"/>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80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24"/>
                <w:szCs w:val="24"/>
                <w:color w:val="auto"/>
              </w:rPr>
            </w:pPr>
          </w:p>
        </w:tc>
        <w:tc>
          <w:tcPr>
            <w:tcW w:w="9820" w:type="dxa"/>
            <w:vAlign w:val="bottom"/>
            <w:tcBorders>
              <w:top w:val="single" w:sz="8" w:color="auto"/>
              <w:bottom w:val="single" w:sz="8" w:color="0000EE"/>
            </w:tcBorders>
            <w:gridSpan w:val="11"/>
          </w:tcPr>
          <w:p>
            <w:pPr>
              <w:spacing w:after="0"/>
              <w:rPr>
                <w:rFonts w:ascii="Arial" w:cs="Arial" w:eastAsia="Arial" w:hAnsi="Arial"/>
                <w:sz w:val="17"/>
                <w:szCs w:val="17"/>
                <w:color w:val="0000EE"/>
                <w:w w:val="93"/>
              </w:rPr>
            </w:pPr>
            <w:hyperlink r:id="rId174">
              <w:r>
                <w:rPr>
                  <w:rFonts w:ascii="Arial" w:cs="Arial" w:eastAsia="Arial" w:hAnsi="Arial"/>
                  <w:sz w:val="17"/>
                  <w:szCs w:val="17"/>
                  <w:color w:val="0000EE"/>
                  <w:w w:val="93"/>
                </w:rPr>
                <w:t>Ninth Amended and Restated Memorandum and Articles of Association, as currently in effect (incorporated by reference to Exhibit 1.1 of our</w:t>
              </w:r>
            </w:hyperlink>
          </w:p>
        </w:tc>
        <w:tc>
          <w:tcPr>
            <w:tcW w:w="400" w:type="dxa"/>
            <w:vAlign w:val="bottom"/>
            <w:tcBorders>
              <w:top w:val="single" w:sz="8" w:color="auto"/>
            </w:tcBorders>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20" w:type="dxa"/>
            <w:vAlign w:val="bottom"/>
            <w:gridSpan w:val="20"/>
          </w:tcPr>
          <w:p>
            <w:pPr>
              <w:spacing w:after="0"/>
              <w:rPr>
                <w:rFonts w:ascii="Arial" w:cs="Arial" w:eastAsia="Arial" w:hAnsi="Arial"/>
                <w:sz w:val="17"/>
                <w:szCs w:val="17"/>
                <w:u w:val="single" w:color="auto"/>
                <w:color w:val="0000EE"/>
              </w:rPr>
            </w:pPr>
            <w:hyperlink r:id="rId174">
              <w:r>
                <w:rPr>
                  <w:rFonts w:ascii="Arial" w:cs="Arial" w:eastAsia="Arial" w:hAnsi="Arial"/>
                  <w:sz w:val="17"/>
                  <w:szCs w:val="17"/>
                  <w:u w:val="single" w:color="auto"/>
                  <w:color w:val="0000EE"/>
                </w:rPr>
                <w:t>annual report on Form 20-F (file No. 001-38313) filed with the Securities and Exchange Commission on April 25, 2019)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800" w:type="dxa"/>
            <w:vAlign w:val="bottom"/>
          </w:tcPr>
          <w:p>
            <w:pPr>
              <w:ind w:left="180"/>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7"/>
                <w:szCs w:val="17"/>
                <w:u w:val="single" w:color="auto"/>
                <w:color w:val="0000EE"/>
              </w:rPr>
            </w:pPr>
            <w:hyperlink r:id="rId175">
              <w:r>
                <w:rPr>
                  <w:rFonts w:ascii="Arial" w:cs="Arial" w:eastAsia="Arial" w:hAnsi="Arial"/>
                  <w:sz w:val="17"/>
                  <w:szCs w:val="17"/>
                  <w:u w:val="single" w:color="auto"/>
                  <w:color w:val="0000EE"/>
                </w:rPr>
                <w:t>Registrant’s Specimen American Depositary Receipt (included in Exhibit 2.3)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00" w:type="dxa"/>
            <w:vAlign w:val="bottom"/>
          </w:tcPr>
          <w:p>
            <w:pPr>
              <w:ind w:left="180"/>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24"/>
                <w:szCs w:val="24"/>
                <w:color w:val="auto"/>
              </w:rPr>
            </w:pPr>
          </w:p>
        </w:tc>
        <w:tc>
          <w:tcPr>
            <w:tcW w:w="10220" w:type="dxa"/>
            <w:vAlign w:val="bottom"/>
            <w:tcBorders>
              <w:bottom w:val="single" w:sz="8" w:color="0000EE"/>
            </w:tcBorders>
            <w:gridSpan w:val="20"/>
          </w:tcPr>
          <w:p>
            <w:pPr>
              <w:spacing w:after="0"/>
              <w:rPr>
                <w:rFonts w:ascii="Arial" w:cs="Arial" w:eastAsia="Arial" w:hAnsi="Arial"/>
                <w:sz w:val="17"/>
                <w:szCs w:val="17"/>
                <w:color w:val="0000EE"/>
                <w:w w:val="92"/>
              </w:rPr>
            </w:pPr>
            <w:hyperlink r:id="rId176">
              <w:r>
                <w:rPr>
                  <w:rFonts w:ascii="Arial" w:cs="Arial" w:eastAsia="Arial" w:hAnsi="Arial"/>
                  <w:sz w:val="17"/>
                  <w:szCs w:val="17"/>
                  <w:color w:val="0000EE"/>
                  <w:w w:val="92"/>
                </w:rPr>
                <w:t>Registrant’s Specimen Certificate for Class A Ordinary Shares (incorporated by reference to Exhibit 4.2 of our Registration Statement on Form F-1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20" w:type="dxa"/>
            <w:vAlign w:val="bottom"/>
            <w:gridSpan w:val="20"/>
          </w:tcPr>
          <w:p>
            <w:pPr>
              <w:spacing w:after="0" w:line="189" w:lineRule="exact"/>
              <w:rPr>
                <w:rFonts w:ascii="Arial" w:cs="Arial" w:eastAsia="Arial" w:hAnsi="Arial"/>
                <w:sz w:val="17"/>
                <w:szCs w:val="17"/>
                <w:color w:val="0000EE"/>
              </w:rPr>
            </w:pPr>
            <w:hyperlink r:id="rId176">
              <w:r>
                <w:rPr>
                  <w:rFonts w:ascii="Arial" w:cs="Arial" w:eastAsia="Arial" w:hAnsi="Arial"/>
                  <w:sz w:val="17"/>
                  <w:szCs w:val="17"/>
                  <w:color w:val="0000EE"/>
                </w:rPr>
                <w:t>(file No. 333-221034) filed with the Securities and Exchange Commission on October 20, 2017)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00" w:type="dxa"/>
            <w:vAlign w:val="bottom"/>
          </w:tcPr>
          <w:p>
            <w:pPr>
              <w:ind w:left="180"/>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7"/>
                <w:szCs w:val="17"/>
                <w:color w:val="0000EE"/>
              </w:rPr>
            </w:pPr>
            <w:hyperlink r:id="rId175">
              <w:r>
                <w:rPr>
                  <w:rFonts w:ascii="Arial" w:cs="Arial" w:eastAsia="Arial" w:hAnsi="Arial"/>
                  <w:sz w:val="17"/>
                  <w:szCs w:val="17"/>
                  <w:color w:val="0000EE"/>
                </w:rPr>
                <w:t>Form of Deposit Agreement among the Registrant, the depositary and holder of the American Depositary Receipts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20" w:type="dxa"/>
            <w:vAlign w:val="bottom"/>
            <w:gridSpan w:val="20"/>
          </w:tcPr>
          <w:p>
            <w:pPr>
              <w:spacing w:after="0" w:line="189" w:lineRule="exact"/>
              <w:rPr>
                <w:rFonts w:ascii="Arial" w:cs="Arial" w:eastAsia="Arial" w:hAnsi="Arial"/>
                <w:sz w:val="17"/>
                <w:szCs w:val="17"/>
                <w:color w:val="0000EE"/>
              </w:rPr>
            </w:pPr>
            <w:hyperlink r:id="rId175">
              <w:r>
                <w:rPr>
                  <w:rFonts w:ascii="Arial" w:cs="Arial" w:eastAsia="Arial" w:hAnsi="Arial"/>
                  <w:sz w:val="17"/>
                  <w:szCs w:val="17"/>
                  <w:color w:val="0000EE"/>
                </w:rPr>
                <w:t>reference to Exhibit 4.3 of our Registration Statement on Form F-1/A (file No. 333-221034) filed with the Securities and Exchange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1"/>
              </w:rPr>
            </w:pPr>
            <w:hyperlink r:id="rId175">
              <w:r>
                <w:rPr>
                  <w:rFonts w:ascii="Arial" w:cs="Arial" w:eastAsia="Arial" w:hAnsi="Arial"/>
                  <w:sz w:val="17"/>
                  <w:szCs w:val="17"/>
                  <w:color w:val="0000EE"/>
                  <w:w w:val="91"/>
                </w:rPr>
                <w:t>Commission on December 1, 2017)</w:t>
              </w:r>
            </w:hyperlink>
          </w:p>
        </w:tc>
        <w:tc>
          <w:tcPr>
            <w:tcW w:w="7300" w:type="dxa"/>
            <w:vAlign w:val="bottom"/>
            <w:tcBorders>
              <w:top w:val="single" w:sz="8" w:color="0000EE"/>
            </w:tcBorders>
            <w:gridSpan w:val="7"/>
          </w:tcPr>
          <w:p>
            <w:pPr>
              <w:spacing w:after="0"/>
              <w:rPr>
                <w:sz w:val="16"/>
                <w:szCs w:val="16"/>
                <w:color w:val="auto"/>
              </w:rPr>
            </w:pPr>
          </w:p>
        </w:tc>
        <w:tc>
          <w:tcPr>
            <w:tcW w:w="46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800" w:type="dxa"/>
            <w:vAlign w:val="bottom"/>
          </w:tcPr>
          <w:p>
            <w:pPr>
              <w:ind w:left="180"/>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7"/>
                <w:szCs w:val="17"/>
                <w:u w:val="single" w:color="auto"/>
                <w:color w:val="0000EE"/>
              </w:rPr>
            </w:pPr>
            <w:hyperlink w:anchor="page223">
              <w:r>
                <w:rPr>
                  <w:rFonts w:ascii="Arial" w:cs="Arial" w:eastAsia="Arial" w:hAnsi="Arial"/>
                  <w:sz w:val="17"/>
                  <w:szCs w:val="17"/>
                  <w:u w:val="single" w:color="auto"/>
                  <w:color w:val="0000EE"/>
                </w:rPr>
                <w:t>Description of Securities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00" w:type="dxa"/>
            <w:vAlign w:val="bottom"/>
          </w:tcPr>
          <w:p>
            <w:pPr>
              <w:ind w:left="180"/>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7"/>
                <w:szCs w:val="17"/>
                <w:color w:val="0000EE"/>
                <w:w w:val="93"/>
              </w:rPr>
            </w:pPr>
            <w:hyperlink r:id="rId177">
              <w:r>
                <w:rPr>
                  <w:rFonts w:ascii="Arial" w:cs="Arial" w:eastAsia="Arial" w:hAnsi="Arial"/>
                  <w:sz w:val="17"/>
                  <w:szCs w:val="17"/>
                  <w:color w:val="0000EE"/>
                  <w:w w:val="93"/>
                </w:rPr>
                <w:t>Fourth Amended and Restated Shareholders Agreement dated December 28, 2016 (incorporated by reference to Exhibit 10.2 of our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940" w:type="dxa"/>
            <w:vAlign w:val="bottom"/>
            <w:tcBorders>
              <w:top w:val="single" w:sz="8" w:color="0000EE"/>
            </w:tcBorders>
            <w:gridSpan w:val="13"/>
          </w:tcPr>
          <w:p>
            <w:pPr>
              <w:spacing w:after="0"/>
              <w:rPr>
                <w:rFonts w:ascii="Arial" w:cs="Arial" w:eastAsia="Arial" w:hAnsi="Arial"/>
                <w:sz w:val="17"/>
                <w:szCs w:val="17"/>
                <w:u w:val="single" w:color="auto"/>
                <w:color w:val="0000EE"/>
              </w:rPr>
            </w:pPr>
            <w:hyperlink r:id="rId177">
              <w:r>
                <w:rPr>
                  <w:rFonts w:ascii="Arial" w:cs="Arial" w:eastAsia="Arial" w:hAnsi="Arial"/>
                  <w:sz w:val="17"/>
                  <w:szCs w:val="17"/>
                  <w:u w:val="single" w:color="auto"/>
                  <w:color w:val="0000EE"/>
                </w:rPr>
                <w:t>Statement on Form F-1 (file No. 333-221034) filed with the Securities and Exchange Commission on October 20, 2017)</w:t>
              </w:r>
            </w:hyperlink>
          </w:p>
        </w:tc>
        <w:tc>
          <w:tcPr>
            <w:tcW w:w="28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800" w:type="dxa"/>
            <w:vAlign w:val="bottom"/>
          </w:tcPr>
          <w:p>
            <w:pPr>
              <w:ind w:left="180"/>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7"/>
                <w:szCs w:val="17"/>
                <w:color w:val="0000EE"/>
                <w:w w:val="93"/>
              </w:rPr>
            </w:pPr>
            <w:hyperlink r:id="rId178">
              <w:r>
                <w:rPr>
                  <w:rFonts w:ascii="Arial" w:cs="Arial" w:eastAsia="Arial" w:hAnsi="Arial"/>
                  <w:sz w:val="17"/>
                  <w:szCs w:val="17"/>
                  <w:color w:val="0000EE"/>
                  <w:w w:val="93"/>
                </w:rPr>
                <w:t>English translation of Exclusive Business Cooperation Agreement between OptAim Beijing, OptAim Network and Zhiyunzhong dated January 16,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0" w:type="dxa"/>
            <w:vAlign w:val="bottom"/>
            <w:tcBorders>
              <w:top w:val="single" w:sz="8" w:color="0000EE"/>
            </w:tcBorders>
            <w:gridSpan w:val="19"/>
          </w:tcPr>
          <w:p>
            <w:pPr>
              <w:spacing w:after="0" w:line="189" w:lineRule="exact"/>
              <w:rPr>
                <w:rFonts w:ascii="Arial" w:cs="Arial" w:eastAsia="Arial" w:hAnsi="Arial"/>
                <w:sz w:val="17"/>
                <w:szCs w:val="17"/>
                <w:color w:val="0000EE"/>
                <w:w w:val="96"/>
              </w:rPr>
            </w:pPr>
            <w:hyperlink r:id="rId178">
              <w:r>
                <w:rPr>
                  <w:rFonts w:ascii="Arial" w:cs="Arial" w:eastAsia="Arial" w:hAnsi="Arial"/>
                  <w:sz w:val="17"/>
                  <w:szCs w:val="17"/>
                  <w:color w:val="0000EE"/>
                  <w:w w:val="96"/>
                </w:rPr>
                <w:t>2015 (incorporated by reference to Exhibit 10.3 of our Registration Statement on Form F-1 (file No. 333-221034) filed with the Securities and</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1"/>
              </w:rPr>
            </w:pPr>
            <w:hyperlink r:id="rId178">
              <w:r>
                <w:rPr>
                  <w:rFonts w:ascii="Arial" w:cs="Arial" w:eastAsia="Arial" w:hAnsi="Arial"/>
                  <w:sz w:val="17"/>
                  <w:szCs w:val="17"/>
                  <w:color w:val="0000EE"/>
                  <w:w w:val="91"/>
                </w:rPr>
                <w:t>Exchange Commission on October 20, 2017)</w:t>
              </w:r>
            </w:hyperlink>
          </w:p>
        </w:tc>
        <w:tc>
          <w:tcPr>
            <w:tcW w:w="6720" w:type="dxa"/>
            <w:vAlign w:val="bottom"/>
            <w:tcBorders>
              <w:top w:val="single" w:sz="8" w:color="0000EE"/>
            </w:tcBorders>
            <w:gridSpan w:val="9"/>
          </w:tcPr>
          <w:p>
            <w:pPr>
              <w:spacing w:after="0"/>
              <w:rPr>
                <w:sz w:val="16"/>
                <w:szCs w:val="16"/>
                <w:color w:val="auto"/>
              </w:rPr>
            </w:pPr>
          </w:p>
        </w:tc>
        <w:tc>
          <w:tcPr>
            <w:tcW w:w="38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800" w:type="dxa"/>
            <w:vAlign w:val="bottom"/>
          </w:tcPr>
          <w:p>
            <w:pPr>
              <w:ind w:left="180"/>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7"/>
                <w:szCs w:val="17"/>
                <w:color w:val="0000EE"/>
                <w:w w:val="99"/>
              </w:rPr>
            </w:pPr>
            <w:hyperlink r:id="rId179">
              <w:r>
                <w:rPr>
                  <w:rFonts w:ascii="Arial" w:cs="Arial" w:eastAsia="Arial" w:hAnsi="Arial"/>
                  <w:sz w:val="17"/>
                  <w:szCs w:val="17"/>
                  <w:color w:val="0000EE"/>
                  <w:w w:val="99"/>
                </w:rPr>
                <w:t>English translation of Second Amended and Restated Exclusive Call Option Agreement among OptAim Beijing, OptAim Network and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20" w:type="dxa"/>
            <w:vAlign w:val="bottom"/>
            <w:gridSpan w:val="20"/>
          </w:tcPr>
          <w:p>
            <w:pPr>
              <w:spacing w:after="0" w:line="189" w:lineRule="exact"/>
              <w:rPr>
                <w:rFonts w:ascii="Arial" w:cs="Arial" w:eastAsia="Arial" w:hAnsi="Arial"/>
                <w:sz w:val="17"/>
                <w:szCs w:val="17"/>
                <w:color w:val="0000EE"/>
                <w:w w:val="95"/>
              </w:rPr>
            </w:pPr>
            <w:hyperlink r:id="rId179">
              <w:r>
                <w:rPr>
                  <w:rFonts w:ascii="Arial" w:cs="Arial" w:eastAsia="Arial" w:hAnsi="Arial"/>
                  <w:sz w:val="17"/>
                  <w:szCs w:val="17"/>
                  <w:color w:val="0000EE"/>
                  <w:w w:val="95"/>
                </w:rPr>
                <w:t>shareholders of OptAim Network dated May 26, 2017 (incorporated by reference to Exhibit 10.4 of our Registration Statement on Form F-1 (file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20" w:type="dxa"/>
            <w:vAlign w:val="bottom"/>
            <w:tcBorders>
              <w:top w:val="single" w:sz="8" w:color="0000EE"/>
              <w:bottom w:val="single" w:sz="8" w:color="0000EE"/>
            </w:tcBorders>
            <w:gridSpan w:val="6"/>
          </w:tcPr>
          <w:p>
            <w:pPr>
              <w:spacing w:after="0" w:line="189" w:lineRule="exact"/>
              <w:rPr>
                <w:rFonts w:ascii="Arial" w:cs="Arial" w:eastAsia="Arial" w:hAnsi="Arial"/>
                <w:sz w:val="17"/>
                <w:szCs w:val="17"/>
                <w:color w:val="0000EE"/>
                <w:w w:val="92"/>
              </w:rPr>
            </w:pPr>
            <w:hyperlink r:id="rId179">
              <w:r>
                <w:rPr>
                  <w:rFonts w:ascii="Arial" w:cs="Arial" w:eastAsia="Arial" w:hAnsi="Arial"/>
                  <w:sz w:val="17"/>
                  <w:szCs w:val="17"/>
                  <w:color w:val="0000EE"/>
                  <w:w w:val="92"/>
                </w:rPr>
                <w:t>No. 333-221034) filed with the Securities and Exchange Commission on October 20, 2017)</w:t>
              </w:r>
            </w:hyperlink>
          </w:p>
        </w:tc>
        <w:tc>
          <w:tcPr>
            <w:tcW w:w="3700" w:type="dxa"/>
            <w:vAlign w:val="bottom"/>
            <w:tcBorders>
              <w:top w:val="single" w:sz="8" w:color="0000EE"/>
            </w:tcBorders>
            <w:gridSpan w:val="8"/>
          </w:tcPr>
          <w:p>
            <w:pPr>
              <w:spacing w:after="0"/>
              <w:rPr>
                <w:sz w:val="16"/>
                <w:szCs w:val="16"/>
                <w:color w:val="auto"/>
              </w:rPr>
            </w:pPr>
          </w:p>
        </w:tc>
        <w:tc>
          <w:tcPr>
            <w:tcW w:w="20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800" w:type="dxa"/>
            <w:vAlign w:val="bottom"/>
          </w:tcPr>
          <w:p>
            <w:pPr>
              <w:ind w:left="180"/>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24"/>
                <w:szCs w:val="24"/>
                <w:color w:val="auto"/>
              </w:rPr>
            </w:pPr>
          </w:p>
        </w:tc>
        <w:tc>
          <w:tcPr>
            <w:tcW w:w="10180" w:type="dxa"/>
            <w:vAlign w:val="bottom"/>
            <w:tcBorders>
              <w:bottom w:val="single" w:sz="8" w:color="0000EE"/>
            </w:tcBorders>
            <w:gridSpan w:val="18"/>
          </w:tcPr>
          <w:p>
            <w:pPr>
              <w:spacing w:after="0"/>
              <w:rPr>
                <w:rFonts w:ascii="Arial" w:cs="Arial" w:eastAsia="Arial" w:hAnsi="Arial"/>
                <w:sz w:val="17"/>
                <w:szCs w:val="17"/>
                <w:color w:val="0000EE"/>
                <w:w w:val="93"/>
              </w:rPr>
            </w:pPr>
            <w:hyperlink r:id="rId180">
              <w:r>
                <w:rPr>
                  <w:rFonts w:ascii="Arial" w:cs="Arial" w:eastAsia="Arial" w:hAnsi="Arial"/>
                  <w:sz w:val="17"/>
                  <w:szCs w:val="17"/>
                  <w:color w:val="0000EE"/>
                  <w:w w:val="93"/>
                </w:rPr>
                <w:t>English translation of Second Amended and Restated Equity Pledge Agreement among OptAim Beijing, OptAim Network and the shareholders of</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60" w:type="dxa"/>
            <w:vAlign w:val="bottom"/>
            <w:tcBorders>
              <w:bottom w:val="single" w:sz="8" w:color="0000EE"/>
            </w:tcBorders>
            <w:gridSpan w:val="17"/>
          </w:tcPr>
          <w:p>
            <w:pPr>
              <w:spacing w:after="0" w:line="189" w:lineRule="exact"/>
              <w:rPr>
                <w:rFonts w:ascii="Arial" w:cs="Arial" w:eastAsia="Arial" w:hAnsi="Arial"/>
                <w:sz w:val="17"/>
                <w:szCs w:val="17"/>
                <w:color w:val="0000EE"/>
                <w:w w:val="93"/>
              </w:rPr>
            </w:pPr>
            <w:hyperlink r:id="rId180">
              <w:r>
                <w:rPr>
                  <w:rFonts w:ascii="Arial" w:cs="Arial" w:eastAsia="Arial" w:hAnsi="Arial"/>
                  <w:sz w:val="17"/>
                  <w:szCs w:val="17"/>
                  <w:color w:val="0000EE"/>
                  <w:w w:val="93"/>
                </w:rPr>
                <w:t>OptAim Network dated May 26, 2017 (incorporated by reference to Exhibit 10.5 of our Registration Statement on Form F-1 (file No. 333-221034)</w:t>
              </w:r>
            </w:hyperlink>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20" w:type="dxa"/>
            <w:vAlign w:val="bottom"/>
            <w:gridSpan w:val="20"/>
          </w:tcPr>
          <w:p>
            <w:pPr>
              <w:spacing w:after="0" w:line="189" w:lineRule="exact"/>
              <w:rPr>
                <w:rFonts w:ascii="Arial" w:cs="Arial" w:eastAsia="Arial" w:hAnsi="Arial"/>
                <w:sz w:val="17"/>
                <w:szCs w:val="17"/>
                <w:color w:val="0000EE"/>
              </w:rPr>
            </w:pPr>
            <w:hyperlink r:id="rId180">
              <w:r>
                <w:rPr>
                  <w:rFonts w:ascii="Arial" w:cs="Arial" w:eastAsia="Arial" w:hAnsi="Arial"/>
                  <w:sz w:val="17"/>
                  <w:szCs w:val="17"/>
                  <w:color w:val="0000EE"/>
                </w:rPr>
                <w:t>filed with the Securities and Exchange Commission on October 20, 2017)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00" w:type="dxa"/>
            <w:vAlign w:val="bottom"/>
          </w:tcPr>
          <w:p>
            <w:pPr>
              <w:ind w:left="180"/>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7"/>
                <w:szCs w:val="17"/>
                <w:color w:val="0000EE"/>
                <w:w w:val="96"/>
              </w:rPr>
            </w:pPr>
            <w:hyperlink r:id="rId181">
              <w:r>
                <w:rPr>
                  <w:rFonts w:ascii="Arial" w:cs="Arial" w:eastAsia="Arial" w:hAnsi="Arial"/>
                  <w:sz w:val="17"/>
                  <w:szCs w:val="17"/>
                  <w:color w:val="0000EE"/>
                  <w:w w:val="96"/>
                </w:rPr>
                <w:t>English translation of Irrevocable Powers of Attorney granted by the Jian Tang and Jie Jiao dated May 26, 2017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5660" w:type="dxa"/>
            <w:vAlign w:val="bottom"/>
            <w:gridSpan w:val="6"/>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20" w:type="dxa"/>
            <w:vAlign w:val="bottom"/>
            <w:gridSpan w:val="20"/>
          </w:tcPr>
          <w:p>
            <w:pPr>
              <w:spacing w:after="0" w:line="189" w:lineRule="exact"/>
              <w:rPr>
                <w:rFonts w:ascii="Arial" w:cs="Arial" w:eastAsia="Arial" w:hAnsi="Arial"/>
                <w:sz w:val="17"/>
                <w:szCs w:val="17"/>
                <w:color w:val="0000EE"/>
                <w:w w:val="94"/>
              </w:rPr>
            </w:pPr>
            <w:hyperlink r:id="rId181">
              <w:r>
                <w:rPr>
                  <w:rFonts w:ascii="Arial" w:cs="Arial" w:eastAsia="Arial" w:hAnsi="Arial"/>
                  <w:sz w:val="17"/>
                  <w:szCs w:val="17"/>
                  <w:color w:val="0000EE"/>
                  <w:w w:val="94"/>
                </w:rPr>
                <w:t>Exhibit 10.6 of our Registration Statement on Form F-1 (file No. 333-221034) filed with the Securities and Exchange Commission on October 20,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7"/>
              </w:rPr>
            </w:pPr>
            <w:hyperlink r:id="rId181">
              <w:r>
                <w:rPr>
                  <w:rFonts w:ascii="Arial" w:cs="Arial" w:eastAsia="Arial" w:hAnsi="Arial"/>
                  <w:sz w:val="17"/>
                  <w:szCs w:val="17"/>
                  <w:color w:val="0000EE"/>
                  <w:w w:val="87"/>
                </w:rPr>
                <w:t>2017)</w:t>
              </w:r>
            </w:hyperlink>
          </w:p>
        </w:tc>
        <w:tc>
          <w:tcPr>
            <w:tcW w:w="20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940" w:type="dxa"/>
            <w:vAlign w:val="bottom"/>
            <w:tcBorders>
              <w:top w:val="single" w:sz="8" w:color="0000EE"/>
            </w:tcBorders>
          </w:tcPr>
          <w:p>
            <w:pPr>
              <w:spacing w:after="0"/>
              <w:rPr>
                <w:sz w:val="16"/>
                <w:szCs w:val="16"/>
                <w:color w:val="auto"/>
              </w:rPr>
            </w:pPr>
          </w:p>
        </w:tc>
        <w:tc>
          <w:tcPr>
            <w:tcW w:w="12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9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800" w:type="dxa"/>
            <w:vAlign w:val="bottom"/>
          </w:tcPr>
          <w:p>
            <w:pPr>
              <w:ind w:left="180"/>
              <w:spacing w:after="0"/>
              <w:rPr>
                <w:sz w:val="20"/>
                <w:szCs w:val="20"/>
                <w:color w:val="auto"/>
              </w:rPr>
            </w:pPr>
            <w:r>
              <w:rPr>
                <w:rFonts w:ascii="Arial" w:cs="Arial" w:eastAsia="Arial" w:hAnsi="Arial"/>
                <w:sz w:val="17"/>
                <w:szCs w:val="17"/>
                <w:color w:val="auto"/>
              </w:rPr>
              <w:t>4.5</w:t>
            </w:r>
          </w:p>
        </w:tc>
        <w:tc>
          <w:tcPr>
            <w:tcW w:w="220" w:type="dxa"/>
            <w:vAlign w:val="bottom"/>
          </w:tcPr>
          <w:p>
            <w:pPr>
              <w:spacing w:after="0"/>
              <w:rPr>
                <w:sz w:val="24"/>
                <w:szCs w:val="24"/>
                <w:color w:val="auto"/>
              </w:rPr>
            </w:pPr>
          </w:p>
        </w:tc>
        <w:tc>
          <w:tcPr>
            <w:tcW w:w="10060" w:type="dxa"/>
            <w:vAlign w:val="bottom"/>
            <w:tcBorders>
              <w:bottom w:val="single" w:sz="8" w:color="0000EE"/>
            </w:tcBorders>
            <w:gridSpan w:val="15"/>
          </w:tcPr>
          <w:p>
            <w:pPr>
              <w:spacing w:after="0"/>
              <w:rPr>
                <w:rFonts w:ascii="Arial" w:cs="Arial" w:eastAsia="Arial" w:hAnsi="Arial"/>
                <w:sz w:val="17"/>
                <w:szCs w:val="17"/>
                <w:color w:val="0000EE"/>
                <w:w w:val="92"/>
              </w:rPr>
            </w:pPr>
            <w:hyperlink r:id="rId182">
              <w:r>
                <w:rPr>
                  <w:rFonts w:ascii="Arial" w:cs="Arial" w:eastAsia="Arial" w:hAnsi="Arial"/>
                  <w:sz w:val="17"/>
                  <w:szCs w:val="17"/>
                  <w:color w:val="0000EE"/>
                  <w:w w:val="92"/>
                </w:rPr>
                <w:t>English translation of Spousal Consents granted by Xinyu Fan dated May 26, 2017 (incorporated by reference to Exhibit 10.7 of our Registration</w:t>
              </w:r>
            </w:hyperlink>
          </w:p>
        </w:tc>
        <w:tc>
          <w:tcPr>
            <w:tcW w:w="1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20" w:type="dxa"/>
            <w:vAlign w:val="bottom"/>
            <w:gridSpan w:val="20"/>
          </w:tcPr>
          <w:p>
            <w:pPr>
              <w:spacing w:after="0"/>
              <w:rPr>
                <w:rFonts w:ascii="Arial" w:cs="Arial" w:eastAsia="Arial" w:hAnsi="Arial"/>
                <w:sz w:val="17"/>
                <w:szCs w:val="17"/>
                <w:u w:val="single" w:color="auto"/>
                <w:color w:val="0000EE"/>
              </w:rPr>
            </w:pPr>
            <w:hyperlink r:id="rId182">
              <w:r>
                <w:rPr>
                  <w:rFonts w:ascii="Arial" w:cs="Arial" w:eastAsia="Arial" w:hAnsi="Arial"/>
                  <w:sz w:val="17"/>
                  <w:szCs w:val="17"/>
                  <w:u w:val="single" w:color="auto"/>
                  <w:color w:val="0000EE"/>
                </w:rPr>
                <w:t>Statement on Form F-1 (file No. 333-221034) filed with the Securities and Exchange Commission on October 20, 2017)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800" w:type="dxa"/>
            <w:vAlign w:val="bottom"/>
          </w:tcPr>
          <w:p>
            <w:pPr>
              <w:ind w:left="180"/>
              <w:spacing w:after="0"/>
              <w:rPr>
                <w:sz w:val="20"/>
                <w:szCs w:val="20"/>
                <w:color w:val="auto"/>
              </w:rPr>
            </w:pPr>
            <w:r>
              <w:rPr>
                <w:rFonts w:ascii="Arial" w:cs="Arial" w:eastAsia="Arial" w:hAnsi="Arial"/>
                <w:sz w:val="17"/>
                <w:szCs w:val="17"/>
                <w:color w:val="auto"/>
              </w:rPr>
              <w:t>4.6</w:t>
            </w:r>
          </w:p>
        </w:tc>
        <w:tc>
          <w:tcPr>
            <w:tcW w:w="22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7"/>
                <w:szCs w:val="17"/>
                <w:color w:val="0000EE"/>
                <w:w w:val="94"/>
              </w:rPr>
            </w:pPr>
            <w:hyperlink r:id="rId183">
              <w:r>
                <w:rPr>
                  <w:rFonts w:ascii="Arial" w:cs="Arial" w:eastAsia="Arial" w:hAnsi="Arial"/>
                  <w:sz w:val="17"/>
                  <w:szCs w:val="17"/>
                  <w:color w:val="0000EE"/>
                  <w:w w:val="94"/>
                </w:rPr>
                <w:t>2018 Share Incentive Plan (incorporated by reference to Exhibit 10.2 of our Registration Statement on Form S-8 (file No. 333-225568) filed with</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4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0"/>
              </w:rPr>
            </w:pPr>
            <w:hyperlink r:id="rId183">
              <w:r>
                <w:rPr>
                  <w:rFonts w:ascii="Arial" w:cs="Arial" w:eastAsia="Arial" w:hAnsi="Arial"/>
                  <w:sz w:val="17"/>
                  <w:szCs w:val="17"/>
                  <w:color w:val="0000EE"/>
                  <w:w w:val="90"/>
                </w:rPr>
                <w:t>the Securities and Exchange Commission on June 12, 2018)</w:t>
              </w:r>
            </w:hyperlink>
          </w:p>
        </w:tc>
        <w:tc>
          <w:tcPr>
            <w:tcW w:w="5920" w:type="dxa"/>
            <w:vAlign w:val="bottom"/>
            <w:tcBorders>
              <w:top w:val="single" w:sz="8" w:color="0000EE"/>
            </w:tcBorders>
            <w:gridSpan w:val="11"/>
          </w:tcPr>
          <w:p>
            <w:pPr>
              <w:spacing w:after="0"/>
              <w:rPr>
                <w:sz w:val="16"/>
                <w:szCs w:val="16"/>
                <w:color w:val="auto"/>
              </w:rPr>
            </w:pPr>
          </w:p>
        </w:tc>
        <w:tc>
          <w:tcPr>
            <w:tcW w:w="16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6"/>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gridSpan w:val="5"/>
          </w:tcPr>
          <w:p>
            <w:pPr>
              <w:ind w:left="4480"/>
              <w:spacing w:after="0"/>
              <w:rPr>
                <w:sz w:val="20"/>
                <w:szCs w:val="20"/>
                <w:color w:val="auto"/>
              </w:rPr>
            </w:pPr>
            <w:r>
              <w:rPr>
                <w:rFonts w:ascii="Arial" w:cs="Arial" w:eastAsia="Arial" w:hAnsi="Arial"/>
                <w:sz w:val="17"/>
                <w:szCs w:val="17"/>
                <w:color w:val="auto"/>
              </w:rPr>
              <w:t>132</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95"/>
        </w:trPr>
        <w:tc>
          <w:tcPr>
            <w:tcW w:w="1020" w:type="dxa"/>
            <w:vAlign w:val="bottom"/>
          </w:tcPr>
          <w:p>
            <w:pPr>
              <w:jc w:val="right"/>
              <w:ind w:right="533"/>
              <w:spacing w:after="0"/>
              <w:rPr>
                <w:sz w:val="20"/>
                <w:szCs w:val="20"/>
                <w:color w:val="auto"/>
              </w:rPr>
            </w:pPr>
            <w:r>
              <w:rPr>
                <w:rFonts w:ascii="Arial" w:cs="Arial" w:eastAsia="Arial" w:hAnsi="Arial"/>
                <w:sz w:val="17"/>
                <w:szCs w:val="17"/>
                <w:color w:val="auto"/>
              </w:rPr>
              <w:t>4.7</w:t>
            </w:r>
          </w:p>
        </w:tc>
        <w:tc>
          <w:tcPr>
            <w:tcW w:w="9520" w:type="dxa"/>
            <w:vAlign w:val="bottom"/>
            <w:tcBorders>
              <w:bottom w:val="single" w:sz="8" w:color="0000EE"/>
            </w:tcBorders>
            <w:gridSpan w:val="2"/>
          </w:tcPr>
          <w:p>
            <w:pPr>
              <w:spacing w:after="0"/>
              <w:rPr>
                <w:rFonts w:ascii="Arial" w:cs="Arial" w:eastAsia="Arial" w:hAnsi="Arial"/>
                <w:sz w:val="17"/>
                <w:szCs w:val="17"/>
                <w:color w:val="0000EE"/>
                <w:w w:val="94"/>
              </w:rPr>
            </w:pPr>
            <w:hyperlink r:id="rId186">
              <w:r>
                <w:rPr>
                  <w:rFonts w:ascii="Arial" w:cs="Arial" w:eastAsia="Arial" w:hAnsi="Arial"/>
                  <w:sz w:val="17"/>
                  <w:szCs w:val="17"/>
                  <w:color w:val="0000EE"/>
                  <w:w w:val="94"/>
                </w:rPr>
                <w:t>Form of Indemnification Agreement with Executive Officers and Directors (incorporated by reference to Exhibit 10.9 of our Registration</w:t>
              </w:r>
            </w:hyperlink>
          </w:p>
        </w:tc>
        <w:tc>
          <w:tcPr>
            <w:tcW w:w="580" w:type="dxa"/>
            <w:vAlign w:val="bottom"/>
            <w:gridSpan w:val="3"/>
          </w:tcPr>
          <w:p>
            <w:pPr>
              <w:spacing w:after="0"/>
              <w:rPr>
                <w:sz w:val="16"/>
                <w:szCs w:val="16"/>
                <w:color w:val="auto"/>
              </w:rPr>
            </w:pPr>
          </w:p>
        </w:tc>
      </w:tr>
      <w:tr>
        <w:trPr>
          <w:trHeight w:val="227"/>
        </w:trPr>
        <w:tc>
          <w:tcPr>
            <w:tcW w:w="1020" w:type="dxa"/>
            <w:vAlign w:val="bottom"/>
          </w:tcPr>
          <w:p>
            <w:pPr>
              <w:spacing w:after="0"/>
              <w:rPr>
                <w:sz w:val="19"/>
                <w:szCs w:val="19"/>
                <w:color w:val="auto"/>
              </w:rPr>
            </w:pPr>
          </w:p>
        </w:tc>
        <w:tc>
          <w:tcPr>
            <w:tcW w:w="10100" w:type="dxa"/>
            <w:vAlign w:val="bottom"/>
            <w:gridSpan w:val="5"/>
          </w:tcPr>
          <w:p>
            <w:pPr>
              <w:spacing w:after="0"/>
              <w:rPr>
                <w:rFonts w:ascii="Arial" w:cs="Arial" w:eastAsia="Arial" w:hAnsi="Arial"/>
                <w:sz w:val="17"/>
                <w:szCs w:val="17"/>
                <w:u w:val="single" w:color="auto"/>
                <w:color w:val="0000EE"/>
              </w:rPr>
            </w:pPr>
            <w:hyperlink r:id="rId186">
              <w:r>
                <w:rPr>
                  <w:rFonts w:ascii="Arial" w:cs="Arial" w:eastAsia="Arial" w:hAnsi="Arial"/>
                  <w:sz w:val="17"/>
                  <w:szCs w:val="17"/>
                  <w:u w:val="single" w:color="auto"/>
                  <w:color w:val="0000EE"/>
                </w:rPr>
                <w:t>Statement on Form F-1 (file No. 333-221034) filed with the Securities and Exchange Commission on October 20, 2017)</w:t>
              </w:r>
            </w:hyperlink>
          </w:p>
        </w:tc>
      </w:tr>
      <w:tr>
        <w:trPr>
          <w:trHeight w:val="286"/>
        </w:trPr>
        <w:tc>
          <w:tcPr>
            <w:tcW w:w="1020" w:type="dxa"/>
            <w:vAlign w:val="bottom"/>
          </w:tcPr>
          <w:p>
            <w:pPr>
              <w:jc w:val="right"/>
              <w:ind w:right="533"/>
              <w:spacing w:after="0"/>
              <w:rPr>
                <w:sz w:val="20"/>
                <w:szCs w:val="20"/>
                <w:color w:val="auto"/>
              </w:rPr>
            </w:pPr>
            <w:r>
              <w:rPr>
                <w:rFonts w:ascii="Arial" w:cs="Arial" w:eastAsia="Arial" w:hAnsi="Arial"/>
                <w:sz w:val="17"/>
                <w:szCs w:val="17"/>
                <w:color w:val="auto"/>
              </w:rPr>
              <w:t>4.8</w:t>
            </w:r>
          </w:p>
        </w:tc>
        <w:tc>
          <w:tcPr>
            <w:tcW w:w="10100" w:type="dxa"/>
            <w:vAlign w:val="bottom"/>
            <w:tcBorders>
              <w:bottom w:val="single" w:sz="8" w:color="0000EE"/>
            </w:tcBorders>
            <w:gridSpan w:val="5"/>
          </w:tcPr>
          <w:p>
            <w:pPr>
              <w:spacing w:after="0"/>
              <w:rPr>
                <w:rFonts w:ascii="Arial" w:cs="Arial" w:eastAsia="Arial" w:hAnsi="Arial"/>
                <w:sz w:val="17"/>
                <w:szCs w:val="17"/>
                <w:color w:val="0000EE"/>
                <w:w w:val="93"/>
              </w:rPr>
            </w:pPr>
            <w:hyperlink r:id="rId187">
              <w:r>
                <w:rPr>
                  <w:rFonts w:ascii="Arial" w:cs="Arial" w:eastAsia="Arial" w:hAnsi="Arial"/>
                  <w:sz w:val="17"/>
                  <w:szCs w:val="17"/>
                  <w:color w:val="0000EE"/>
                  <w:w w:val="93"/>
                </w:rPr>
                <w:t>Form of Employment Agreement and One Way Non-disclosure Agreement with Executive Officers (incorporated by reference to Exhibit 10.10 of</w:t>
              </w:r>
            </w:hyperlink>
          </w:p>
        </w:tc>
      </w:tr>
      <w:tr>
        <w:trPr>
          <w:trHeight w:val="227"/>
        </w:trPr>
        <w:tc>
          <w:tcPr>
            <w:tcW w:w="1020" w:type="dxa"/>
            <w:vAlign w:val="bottom"/>
          </w:tcPr>
          <w:p>
            <w:pPr>
              <w:spacing w:after="0"/>
              <w:rPr>
                <w:sz w:val="19"/>
                <w:szCs w:val="19"/>
                <w:color w:val="auto"/>
              </w:rPr>
            </w:pPr>
          </w:p>
        </w:tc>
        <w:tc>
          <w:tcPr>
            <w:tcW w:w="10100" w:type="dxa"/>
            <w:vAlign w:val="bottom"/>
            <w:gridSpan w:val="5"/>
          </w:tcPr>
          <w:p>
            <w:pPr>
              <w:spacing w:after="0"/>
              <w:rPr>
                <w:rFonts w:ascii="Arial" w:cs="Arial" w:eastAsia="Arial" w:hAnsi="Arial"/>
                <w:sz w:val="17"/>
                <w:szCs w:val="17"/>
                <w:u w:val="single" w:color="auto"/>
                <w:color w:val="0000EE"/>
                <w:w w:val="98"/>
              </w:rPr>
            </w:pPr>
            <w:hyperlink r:id="rId187">
              <w:r>
                <w:rPr>
                  <w:rFonts w:ascii="Arial" w:cs="Arial" w:eastAsia="Arial" w:hAnsi="Arial"/>
                  <w:sz w:val="17"/>
                  <w:szCs w:val="17"/>
                  <w:u w:val="single" w:color="auto"/>
                  <w:color w:val="0000EE"/>
                  <w:w w:val="98"/>
                </w:rPr>
                <w:t>our Registration Statement on Form F-1 (file No. 333-221034) filed with the Securities and Exchange Commission on October 20, 2017)</w:t>
              </w:r>
            </w:hyperlink>
          </w:p>
        </w:tc>
      </w:tr>
      <w:tr>
        <w:trPr>
          <w:trHeight w:val="286"/>
        </w:trPr>
        <w:tc>
          <w:tcPr>
            <w:tcW w:w="1020" w:type="dxa"/>
            <w:vAlign w:val="bottom"/>
          </w:tcPr>
          <w:p>
            <w:pPr>
              <w:jc w:val="right"/>
              <w:ind w:right="533"/>
              <w:spacing w:after="0"/>
              <w:rPr>
                <w:sz w:val="20"/>
                <w:szCs w:val="20"/>
                <w:color w:val="auto"/>
              </w:rPr>
            </w:pPr>
            <w:r>
              <w:rPr>
                <w:rFonts w:ascii="Arial" w:cs="Arial" w:eastAsia="Arial" w:hAnsi="Arial"/>
                <w:sz w:val="17"/>
                <w:szCs w:val="17"/>
                <w:color w:val="auto"/>
              </w:rPr>
              <w:t>4.9</w:t>
            </w:r>
          </w:p>
        </w:tc>
        <w:tc>
          <w:tcPr>
            <w:tcW w:w="10100" w:type="dxa"/>
            <w:vAlign w:val="bottom"/>
            <w:gridSpan w:val="5"/>
          </w:tcPr>
          <w:p>
            <w:pPr>
              <w:spacing w:after="0"/>
              <w:rPr>
                <w:rFonts w:ascii="Arial" w:cs="Arial" w:eastAsia="Arial" w:hAnsi="Arial"/>
                <w:sz w:val="17"/>
                <w:szCs w:val="17"/>
                <w:color w:val="0000EE"/>
                <w:w w:val="93"/>
              </w:rPr>
            </w:pPr>
            <w:hyperlink r:id="rId188">
              <w:r>
                <w:rPr>
                  <w:rFonts w:ascii="Arial" w:cs="Arial" w:eastAsia="Arial" w:hAnsi="Arial"/>
                  <w:sz w:val="17"/>
                  <w:szCs w:val="17"/>
                  <w:color w:val="0000EE"/>
                  <w:w w:val="93"/>
                </w:rPr>
                <w:t>Post-IPO Share Incentive Plan, as amended and restated on September 22, 2018 (incorporated by reference to Exhibit 10.1 of our Registration</w:t>
              </w:r>
            </w:hyperlink>
          </w:p>
        </w:tc>
      </w:tr>
      <w:tr>
        <w:trPr>
          <w:trHeight w:val="227"/>
        </w:trPr>
        <w:tc>
          <w:tcPr>
            <w:tcW w:w="1020" w:type="dxa"/>
            <w:vAlign w:val="bottom"/>
          </w:tcPr>
          <w:p>
            <w:pPr>
              <w:spacing w:after="0"/>
              <w:rPr>
                <w:sz w:val="19"/>
                <w:szCs w:val="19"/>
                <w:color w:val="auto"/>
              </w:rPr>
            </w:pPr>
          </w:p>
        </w:tc>
        <w:tc>
          <w:tcPr>
            <w:tcW w:w="9840" w:type="dxa"/>
            <w:vAlign w:val="bottom"/>
            <w:tcBorders>
              <w:top w:val="single" w:sz="8" w:color="0000EE"/>
            </w:tcBorders>
            <w:gridSpan w:val="3"/>
          </w:tcPr>
          <w:p>
            <w:pPr>
              <w:spacing w:after="0"/>
              <w:rPr>
                <w:rFonts w:ascii="Arial" w:cs="Arial" w:eastAsia="Arial" w:hAnsi="Arial"/>
                <w:sz w:val="17"/>
                <w:szCs w:val="17"/>
                <w:u w:val="single" w:color="auto"/>
                <w:color w:val="0000EE"/>
              </w:rPr>
            </w:pPr>
            <w:hyperlink r:id="rId188">
              <w:r>
                <w:rPr>
                  <w:rFonts w:ascii="Arial" w:cs="Arial" w:eastAsia="Arial" w:hAnsi="Arial"/>
                  <w:sz w:val="17"/>
                  <w:szCs w:val="17"/>
                  <w:u w:val="single" w:color="auto"/>
                  <w:color w:val="0000EE"/>
                </w:rPr>
                <w:t>Statement on Form S-8 (file No. 333-227747) filed with the Securities and Exchange Commission on October 9, 2018)</w:t>
              </w:r>
            </w:hyperlink>
          </w:p>
        </w:tc>
        <w:tc>
          <w:tcPr>
            <w:tcW w:w="260" w:type="dxa"/>
            <w:vAlign w:val="bottom"/>
            <w:gridSpan w:val="2"/>
          </w:tcPr>
          <w:p>
            <w:pPr>
              <w:spacing w:after="0"/>
              <w:rPr>
                <w:sz w:val="19"/>
                <w:szCs w:val="19"/>
                <w:color w:val="auto"/>
              </w:rPr>
            </w:pPr>
          </w:p>
        </w:tc>
      </w:tr>
      <w:tr>
        <w:trPr>
          <w:trHeight w:val="325"/>
        </w:trPr>
        <w:tc>
          <w:tcPr>
            <w:tcW w:w="1020" w:type="dxa"/>
            <w:vAlign w:val="bottom"/>
          </w:tcPr>
          <w:p>
            <w:pPr>
              <w:jc w:val="right"/>
              <w:ind w:right="453"/>
              <w:spacing w:after="0"/>
              <w:rPr>
                <w:sz w:val="20"/>
                <w:szCs w:val="20"/>
                <w:color w:val="auto"/>
              </w:rPr>
            </w:pPr>
            <w:r>
              <w:rPr>
                <w:rFonts w:ascii="Arial" w:cs="Arial" w:eastAsia="Arial" w:hAnsi="Arial"/>
                <w:sz w:val="17"/>
                <w:szCs w:val="17"/>
                <w:color w:val="auto"/>
              </w:rPr>
              <w:t>8.1*</w:t>
            </w:r>
          </w:p>
        </w:tc>
        <w:tc>
          <w:tcPr>
            <w:tcW w:w="10100" w:type="dxa"/>
            <w:vAlign w:val="bottom"/>
            <w:gridSpan w:val="5"/>
          </w:tcPr>
          <w:p>
            <w:pPr>
              <w:spacing w:after="0"/>
              <w:rPr>
                <w:rFonts w:ascii="Arial" w:cs="Arial" w:eastAsia="Arial" w:hAnsi="Arial"/>
                <w:sz w:val="17"/>
                <w:szCs w:val="17"/>
                <w:u w:val="single" w:color="auto"/>
                <w:color w:val="0000EE"/>
              </w:rPr>
            </w:pPr>
            <w:hyperlink w:anchor="page234">
              <w:r>
                <w:rPr>
                  <w:rFonts w:ascii="Arial" w:cs="Arial" w:eastAsia="Arial" w:hAnsi="Arial"/>
                  <w:sz w:val="17"/>
                  <w:szCs w:val="17"/>
                  <w:u w:val="single" w:color="auto"/>
                  <w:color w:val="0000EE"/>
                </w:rPr>
                <w:t>Subsidiaries of the Registrant</w:t>
              </w:r>
            </w:hyperlink>
          </w:p>
        </w:tc>
      </w:tr>
      <w:tr>
        <w:trPr>
          <w:trHeight w:val="299"/>
        </w:trPr>
        <w:tc>
          <w:tcPr>
            <w:tcW w:w="1020" w:type="dxa"/>
            <w:vAlign w:val="bottom"/>
          </w:tcPr>
          <w:p>
            <w:pPr>
              <w:jc w:val="right"/>
              <w:ind w:right="553"/>
              <w:spacing w:after="0"/>
              <w:rPr>
                <w:sz w:val="20"/>
                <w:szCs w:val="20"/>
                <w:color w:val="auto"/>
              </w:rPr>
            </w:pPr>
            <w:r>
              <w:rPr>
                <w:rFonts w:ascii="Arial" w:cs="Arial" w:eastAsia="Arial" w:hAnsi="Arial"/>
                <w:sz w:val="17"/>
                <w:szCs w:val="17"/>
                <w:color w:val="auto"/>
              </w:rPr>
              <w:t>11.1</w:t>
            </w:r>
          </w:p>
        </w:tc>
        <w:tc>
          <w:tcPr>
            <w:tcW w:w="10100" w:type="dxa"/>
            <w:vAlign w:val="bottom"/>
            <w:gridSpan w:val="5"/>
          </w:tcPr>
          <w:p>
            <w:pPr>
              <w:spacing w:after="0"/>
              <w:rPr>
                <w:rFonts w:ascii="Arial" w:cs="Arial" w:eastAsia="Arial" w:hAnsi="Arial"/>
                <w:sz w:val="17"/>
                <w:szCs w:val="17"/>
                <w:color w:val="0000EE"/>
                <w:w w:val="92"/>
              </w:rPr>
            </w:pPr>
            <w:hyperlink r:id="rId189">
              <w:r>
                <w:rPr>
                  <w:rFonts w:ascii="Arial" w:cs="Arial" w:eastAsia="Arial" w:hAnsi="Arial"/>
                  <w:sz w:val="17"/>
                  <w:szCs w:val="17"/>
                  <w:color w:val="0000EE"/>
                  <w:w w:val="92"/>
                </w:rPr>
                <w:t>Code of Business Conduct and Ethics of the Registrant (incorporated by reference to Exhibit 99.1 of our Registration Statement on Form F-1 (file</w:t>
              </w:r>
            </w:hyperlink>
          </w:p>
        </w:tc>
      </w:tr>
      <w:tr>
        <w:trPr>
          <w:trHeight w:val="188"/>
        </w:trPr>
        <w:tc>
          <w:tcPr>
            <w:tcW w:w="1020" w:type="dxa"/>
            <w:vAlign w:val="bottom"/>
          </w:tcPr>
          <w:p>
            <w:pPr>
              <w:spacing w:after="0"/>
              <w:rPr>
                <w:sz w:val="16"/>
                <w:szCs w:val="16"/>
                <w:color w:val="auto"/>
              </w:rPr>
            </w:pPr>
          </w:p>
        </w:tc>
        <w:tc>
          <w:tcPr>
            <w:tcW w:w="636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2"/>
              </w:rPr>
            </w:pPr>
            <w:hyperlink r:id="rId189">
              <w:r>
                <w:rPr>
                  <w:rFonts w:ascii="Arial" w:cs="Arial" w:eastAsia="Arial" w:hAnsi="Arial"/>
                  <w:sz w:val="17"/>
                  <w:szCs w:val="17"/>
                  <w:color w:val="0000EE"/>
                  <w:w w:val="92"/>
                </w:rPr>
                <w:t>No. 333-221034) filed with the Securities and Exchange Commission on October 20, 2017)</w:t>
              </w:r>
            </w:hyperlink>
          </w:p>
        </w:tc>
        <w:tc>
          <w:tcPr>
            <w:tcW w:w="3700" w:type="dxa"/>
            <w:vAlign w:val="bottom"/>
            <w:tcBorders>
              <w:top w:val="single" w:sz="8" w:color="0000EE"/>
            </w:tcBorders>
            <w:gridSpan w:val="3"/>
          </w:tcPr>
          <w:p>
            <w:pPr>
              <w:spacing w:after="0"/>
              <w:rPr>
                <w:sz w:val="16"/>
                <w:szCs w:val="16"/>
                <w:color w:val="auto"/>
              </w:rPr>
            </w:pPr>
          </w:p>
        </w:tc>
        <w:tc>
          <w:tcPr>
            <w:tcW w:w="40" w:type="dxa"/>
            <w:vAlign w:val="bottom"/>
          </w:tcPr>
          <w:p>
            <w:pPr>
              <w:spacing w:after="0"/>
              <w:rPr>
                <w:sz w:val="16"/>
                <w:szCs w:val="16"/>
                <w:color w:val="auto"/>
              </w:rPr>
            </w:pPr>
          </w:p>
        </w:tc>
      </w:tr>
      <w:tr>
        <w:trPr>
          <w:trHeight w:val="344"/>
        </w:trPr>
        <w:tc>
          <w:tcPr>
            <w:tcW w:w="1020" w:type="dxa"/>
            <w:vAlign w:val="bottom"/>
          </w:tcPr>
          <w:p>
            <w:pPr>
              <w:jc w:val="right"/>
              <w:ind w:right="453"/>
              <w:spacing w:after="0"/>
              <w:rPr>
                <w:sz w:val="20"/>
                <w:szCs w:val="20"/>
                <w:color w:val="auto"/>
              </w:rPr>
            </w:pPr>
            <w:r>
              <w:rPr>
                <w:rFonts w:ascii="Arial" w:cs="Arial" w:eastAsia="Arial" w:hAnsi="Arial"/>
                <w:sz w:val="17"/>
                <w:szCs w:val="17"/>
                <w:color w:val="auto"/>
              </w:rPr>
              <w:t>12.1*</w:t>
            </w:r>
          </w:p>
        </w:tc>
        <w:tc>
          <w:tcPr>
            <w:tcW w:w="10100" w:type="dxa"/>
            <w:vAlign w:val="bottom"/>
            <w:gridSpan w:val="5"/>
          </w:tcPr>
          <w:p>
            <w:pPr>
              <w:spacing w:after="0"/>
              <w:rPr>
                <w:rFonts w:ascii="Arial" w:cs="Arial" w:eastAsia="Arial" w:hAnsi="Arial"/>
                <w:sz w:val="17"/>
                <w:szCs w:val="17"/>
                <w:u w:val="single" w:color="auto"/>
                <w:color w:val="0000EE"/>
              </w:rPr>
            </w:pPr>
            <w:hyperlink w:anchor="page235">
              <w:r>
                <w:rPr>
                  <w:rFonts w:ascii="Arial" w:cs="Arial" w:eastAsia="Arial" w:hAnsi="Arial"/>
                  <w:sz w:val="17"/>
                  <w:szCs w:val="17"/>
                  <w:u w:val="single" w:color="auto"/>
                  <w:color w:val="0000EE"/>
                </w:rPr>
                <w:t>CEO Certification Pursuant to Section 302 of the Sarbanes-Oxley Act of 2002</w:t>
              </w:r>
            </w:hyperlink>
          </w:p>
        </w:tc>
      </w:tr>
      <w:tr>
        <w:trPr>
          <w:trHeight w:val="338"/>
        </w:trPr>
        <w:tc>
          <w:tcPr>
            <w:tcW w:w="1020" w:type="dxa"/>
            <w:vAlign w:val="bottom"/>
          </w:tcPr>
          <w:p>
            <w:pPr>
              <w:jc w:val="right"/>
              <w:ind w:right="453"/>
              <w:spacing w:after="0"/>
              <w:rPr>
                <w:sz w:val="20"/>
                <w:szCs w:val="20"/>
                <w:color w:val="auto"/>
              </w:rPr>
            </w:pPr>
            <w:r>
              <w:rPr>
                <w:rFonts w:ascii="Arial" w:cs="Arial" w:eastAsia="Arial" w:hAnsi="Arial"/>
                <w:sz w:val="17"/>
                <w:szCs w:val="17"/>
                <w:color w:val="auto"/>
              </w:rPr>
              <w:t>12.2*</w:t>
            </w:r>
          </w:p>
        </w:tc>
        <w:tc>
          <w:tcPr>
            <w:tcW w:w="10100" w:type="dxa"/>
            <w:vAlign w:val="bottom"/>
            <w:gridSpan w:val="5"/>
          </w:tcPr>
          <w:p>
            <w:pPr>
              <w:spacing w:after="0"/>
              <w:rPr>
                <w:rFonts w:ascii="Arial" w:cs="Arial" w:eastAsia="Arial" w:hAnsi="Arial"/>
                <w:sz w:val="17"/>
                <w:szCs w:val="17"/>
                <w:u w:val="single" w:color="auto"/>
                <w:color w:val="0000EE"/>
              </w:rPr>
            </w:pPr>
            <w:hyperlink w:anchor="page236">
              <w:r>
                <w:rPr>
                  <w:rFonts w:ascii="Arial" w:cs="Arial" w:eastAsia="Arial" w:hAnsi="Arial"/>
                  <w:sz w:val="17"/>
                  <w:szCs w:val="17"/>
                  <w:u w:val="single" w:color="auto"/>
                  <w:color w:val="0000EE"/>
                </w:rPr>
                <w:t>CFO Certification Pursuant to Section 302 of the Sarbanes-Oxley Act of 2002</w:t>
              </w:r>
            </w:hyperlink>
          </w:p>
        </w:tc>
      </w:tr>
      <w:tr>
        <w:trPr>
          <w:trHeight w:val="338"/>
        </w:trPr>
        <w:tc>
          <w:tcPr>
            <w:tcW w:w="1020" w:type="dxa"/>
            <w:vAlign w:val="bottom"/>
          </w:tcPr>
          <w:p>
            <w:pPr>
              <w:jc w:val="right"/>
              <w:ind w:right="373"/>
              <w:spacing w:after="0"/>
              <w:rPr>
                <w:sz w:val="20"/>
                <w:szCs w:val="20"/>
                <w:color w:val="auto"/>
              </w:rPr>
            </w:pPr>
            <w:r>
              <w:rPr>
                <w:rFonts w:ascii="Arial" w:cs="Arial" w:eastAsia="Arial" w:hAnsi="Arial"/>
                <w:sz w:val="17"/>
                <w:szCs w:val="17"/>
                <w:color w:val="auto"/>
              </w:rPr>
              <w:t>13.1**</w:t>
            </w:r>
          </w:p>
        </w:tc>
        <w:tc>
          <w:tcPr>
            <w:tcW w:w="10100" w:type="dxa"/>
            <w:vAlign w:val="bottom"/>
            <w:gridSpan w:val="5"/>
          </w:tcPr>
          <w:p>
            <w:pPr>
              <w:spacing w:after="0"/>
              <w:rPr>
                <w:rFonts w:ascii="Arial" w:cs="Arial" w:eastAsia="Arial" w:hAnsi="Arial"/>
                <w:sz w:val="17"/>
                <w:szCs w:val="17"/>
                <w:u w:val="single" w:color="auto"/>
                <w:color w:val="0000EE"/>
              </w:rPr>
            </w:pPr>
            <w:hyperlink w:anchor="page237">
              <w:r>
                <w:rPr>
                  <w:rFonts w:ascii="Arial" w:cs="Arial" w:eastAsia="Arial" w:hAnsi="Arial"/>
                  <w:sz w:val="17"/>
                  <w:szCs w:val="17"/>
                  <w:u w:val="single" w:color="auto"/>
                  <w:color w:val="0000EE"/>
                </w:rPr>
                <w:t>CEO Certification Pursuant to Section 906 of the Sarbanes-Oxley Act of 2002</w:t>
              </w:r>
            </w:hyperlink>
          </w:p>
        </w:tc>
      </w:tr>
      <w:tr>
        <w:trPr>
          <w:trHeight w:val="338"/>
        </w:trPr>
        <w:tc>
          <w:tcPr>
            <w:tcW w:w="1020" w:type="dxa"/>
            <w:vAlign w:val="bottom"/>
          </w:tcPr>
          <w:p>
            <w:pPr>
              <w:jc w:val="right"/>
              <w:ind w:right="373"/>
              <w:spacing w:after="0"/>
              <w:rPr>
                <w:sz w:val="20"/>
                <w:szCs w:val="20"/>
                <w:color w:val="auto"/>
              </w:rPr>
            </w:pPr>
            <w:r>
              <w:rPr>
                <w:rFonts w:ascii="Arial" w:cs="Arial" w:eastAsia="Arial" w:hAnsi="Arial"/>
                <w:sz w:val="17"/>
                <w:szCs w:val="17"/>
                <w:color w:val="auto"/>
              </w:rPr>
              <w:t>13.2**</w:t>
            </w:r>
          </w:p>
        </w:tc>
        <w:tc>
          <w:tcPr>
            <w:tcW w:w="10100" w:type="dxa"/>
            <w:vAlign w:val="bottom"/>
            <w:gridSpan w:val="5"/>
          </w:tcPr>
          <w:p>
            <w:pPr>
              <w:spacing w:after="0"/>
              <w:rPr>
                <w:rFonts w:ascii="Arial" w:cs="Arial" w:eastAsia="Arial" w:hAnsi="Arial"/>
                <w:sz w:val="17"/>
                <w:szCs w:val="17"/>
                <w:u w:val="single" w:color="auto"/>
                <w:color w:val="0000EE"/>
              </w:rPr>
            </w:pPr>
            <w:hyperlink w:anchor="page238">
              <w:r>
                <w:rPr>
                  <w:rFonts w:ascii="Arial" w:cs="Arial" w:eastAsia="Arial" w:hAnsi="Arial"/>
                  <w:sz w:val="17"/>
                  <w:szCs w:val="17"/>
                  <w:u w:val="single" w:color="auto"/>
                  <w:color w:val="0000EE"/>
                </w:rPr>
                <w:t>CFO Certification Pursuant to Section 906 of the Sarbanes-Oxley Act of 2002</w:t>
              </w:r>
            </w:hyperlink>
          </w:p>
        </w:tc>
      </w:tr>
      <w:tr>
        <w:trPr>
          <w:trHeight w:val="338"/>
        </w:trPr>
        <w:tc>
          <w:tcPr>
            <w:tcW w:w="1020" w:type="dxa"/>
            <w:vAlign w:val="bottom"/>
          </w:tcPr>
          <w:p>
            <w:pPr>
              <w:jc w:val="right"/>
              <w:ind w:right="453"/>
              <w:spacing w:after="0"/>
              <w:rPr>
                <w:sz w:val="20"/>
                <w:szCs w:val="20"/>
                <w:color w:val="auto"/>
              </w:rPr>
            </w:pPr>
            <w:r>
              <w:rPr>
                <w:rFonts w:ascii="Arial" w:cs="Arial" w:eastAsia="Arial" w:hAnsi="Arial"/>
                <w:sz w:val="17"/>
                <w:szCs w:val="17"/>
                <w:color w:val="auto"/>
              </w:rPr>
              <w:t>15.1*</w:t>
            </w:r>
          </w:p>
        </w:tc>
        <w:tc>
          <w:tcPr>
            <w:tcW w:w="10100" w:type="dxa"/>
            <w:vAlign w:val="bottom"/>
            <w:gridSpan w:val="5"/>
          </w:tcPr>
          <w:p>
            <w:pPr>
              <w:spacing w:after="0"/>
              <w:rPr>
                <w:rFonts w:ascii="Arial" w:cs="Arial" w:eastAsia="Arial" w:hAnsi="Arial"/>
                <w:sz w:val="17"/>
                <w:szCs w:val="17"/>
                <w:u w:val="single" w:color="auto"/>
                <w:color w:val="0000EE"/>
              </w:rPr>
            </w:pPr>
            <w:hyperlink w:anchor="page239">
              <w:r>
                <w:rPr>
                  <w:rFonts w:ascii="Arial" w:cs="Arial" w:eastAsia="Arial" w:hAnsi="Arial"/>
                  <w:sz w:val="17"/>
                  <w:szCs w:val="17"/>
                  <w:u w:val="single" w:color="auto"/>
                  <w:color w:val="0000EE"/>
                </w:rPr>
                <w:t>Consent of Travers Thorp Alberga</w:t>
              </w:r>
            </w:hyperlink>
          </w:p>
        </w:tc>
      </w:tr>
      <w:tr>
        <w:trPr>
          <w:trHeight w:val="338"/>
        </w:trPr>
        <w:tc>
          <w:tcPr>
            <w:tcW w:w="1020" w:type="dxa"/>
            <w:vAlign w:val="bottom"/>
          </w:tcPr>
          <w:p>
            <w:pPr>
              <w:jc w:val="right"/>
              <w:ind w:right="453"/>
              <w:spacing w:after="0"/>
              <w:rPr>
                <w:sz w:val="20"/>
                <w:szCs w:val="20"/>
                <w:color w:val="auto"/>
              </w:rPr>
            </w:pPr>
            <w:r>
              <w:rPr>
                <w:rFonts w:ascii="Arial" w:cs="Arial" w:eastAsia="Arial" w:hAnsi="Arial"/>
                <w:sz w:val="17"/>
                <w:szCs w:val="17"/>
                <w:color w:val="auto"/>
              </w:rPr>
              <w:t>15.2*</w:t>
            </w:r>
          </w:p>
        </w:tc>
        <w:tc>
          <w:tcPr>
            <w:tcW w:w="10100" w:type="dxa"/>
            <w:vAlign w:val="bottom"/>
            <w:gridSpan w:val="5"/>
          </w:tcPr>
          <w:p>
            <w:pPr>
              <w:spacing w:after="0"/>
              <w:rPr>
                <w:rFonts w:ascii="Arial" w:cs="Arial" w:eastAsia="Arial" w:hAnsi="Arial"/>
                <w:sz w:val="17"/>
                <w:szCs w:val="17"/>
                <w:u w:val="single" w:color="auto"/>
                <w:color w:val="0000EE"/>
              </w:rPr>
            </w:pPr>
            <w:hyperlink w:anchor="page240">
              <w:r>
                <w:rPr>
                  <w:rFonts w:ascii="Arial" w:cs="Arial" w:eastAsia="Arial" w:hAnsi="Arial"/>
                  <w:sz w:val="17"/>
                  <w:szCs w:val="17"/>
                  <w:u w:val="single" w:color="auto"/>
                  <w:color w:val="0000EE"/>
                </w:rPr>
                <w:t>Consent of Jingtian &amp; Gongcheng</w:t>
              </w:r>
            </w:hyperlink>
          </w:p>
        </w:tc>
      </w:tr>
      <w:tr>
        <w:trPr>
          <w:trHeight w:val="338"/>
        </w:trPr>
        <w:tc>
          <w:tcPr>
            <w:tcW w:w="1020" w:type="dxa"/>
            <w:vAlign w:val="bottom"/>
          </w:tcPr>
          <w:p>
            <w:pPr>
              <w:jc w:val="right"/>
              <w:ind w:right="453"/>
              <w:spacing w:after="0"/>
              <w:rPr>
                <w:sz w:val="20"/>
                <w:szCs w:val="20"/>
                <w:color w:val="auto"/>
              </w:rPr>
            </w:pPr>
            <w:r>
              <w:rPr>
                <w:rFonts w:ascii="Arial" w:cs="Arial" w:eastAsia="Arial" w:hAnsi="Arial"/>
                <w:sz w:val="17"/>
                <w:szCs w:val="17"/>
                <w:color w:val="auto"/>
              </w:rPr>
              <w:t>15.3*</w:t>
            </w:r>
          </w:p>
        </w:tc>
        <w:tc>
          <w:tcPr>
            <w:tcW w:w="10100" w:type="dxa"/>
            <w:vAlign w:val="bottom"/>
            <w:gridSpan w:val="5"/>
          </w:tcPr>
          <w:p>
            <w:pPr>
              <w:spacing w:after="0"/>
              <w:rPr>
                <w:rFonts w:ascii="Arial" w:cs="Arial" w:eastAsia="Arial" w:hAnsi="Arial"/>
                <w:sz w:val="17"/>
                <w:szCs w:val="17"/>
                <w:u w:val="single" w:color="auto"/>
                <w:color w:val="0000EE"/>
              </w:rPr>
            </w:pPr>
            <w:hyperlink w:anchor="page241">
              <w:r>
                <w:rPr>
                  <w:rFonts w:ascii="Arial" w:cs="Arial" w:eastAsia="Arial" w:hAnsi="Arial"/>
                  <w:sz w:val="17"/>
                  <w:szCs w:val="17"/>
                  <w:u w:val="single" w:color="auto"/>
                  <w:color w:val="0000EE"/>
                </w:rPr>
                <w:t>Consent of PricewaterhouseCoopers</w:t>
              </w:r>
            </w:hyperlink>
          </w:p>
        </w:tc>
      </w:tr>
      <w:tr>
        <w:trPr>
          <w:trHeight w:val="338"/>
        </w:trPr>
        <w:tc>
          <w:tcPr>
            <w:tcW w:w="1020" w:type="dxa"/>
            <w:vAlign w:val="bottom"/>
          </w:tcPr>
          <w:p>
            <w:pPr>
              <w:spacing w:after="0"/>
              <w:rPr>
                <w:sz w:val="20"/>
                <w:szCs w:val="20"/>
                <w:color w:val="auto"/>
              </w:rPr>
            </w:pPr>
            <w:r>
              <w:rPr>
                <w:rFonts w:ascii="Arial" w:cs="Arial" w:eastAsia="Arial" w:hAnsi="Arial"/>
                <w:sz w:val="17"/>
                <w:szCs w:val="17"/>
                <w:color w:val="auto"/>
              </w:rPr>
              <w:t>101.INS*</w:t>
            </w:r>
          </w:p>
        </w:tc>
        <w:tc>
          <w:tcPr>
            <w:tcW w:w="10100" w:type="dxa"/>
            <w:vAlign w:val="bottom"/>
            <w:gridSpan w:val="5"/>
          </w:tcPr>
          <w:p>
            <w:pPr>
              <w:spacing w:after="0"/>
              <w:rPr>
                <w:sz w:val="20"/>
                <w:szCs w:val="20"/>
                <w:color w:val="auto"/>
              </w:rPr>
            </w:pPr>
            <w:r>
              <w:rPr>
                <w:rFonts w:ascii="Arial" w:cs="Arial" w:eastAsia="Arial" w:hAnsi="Arial"/>
                <w:sz w:val="17"/>
                <w:szCs w:val="17"/>
                <w:color w:val="auto"/>
              </w:rPr>
              <w:t>XBRL Instance Document</w:t>
            </w:r>
          </w:p>
        </w:tc>
      </w:tr>
      <w:tr>
        <w:trPr>
          <w:trHeight w:val="338"/>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10100" w:type="dxa"/>
            <w:vAlign w:val="bottom"/>
            <w:gridSpan w:val="5"/>
          </w:tcPr>
          <w:p>
            <w:pPr>
              <w:spacing w:after="0"/>
              <w:rPr>
                <w:sz w:val="20"/>
                <w:szCs w:val="20"/>
                <w:color w:val="auto"/>
              </w:rPr>
            </w:pPr>
            <w:r>
              <w:rPr>
                <w:rFonts w:ascii="Arial" w:cs="Arial" w:eastAsia="Arial" w:hAnsi="Arial"/>
                <w:sz w:val="17"/>
                <w:szCs w:val="17"/>
                <w:color w:val="auto"/>
              </w:rPr>
              <w:t>XBRL Taxonomy Extension Schema Document</w:t>
            </w:r>
          </w:p>
        </w:tc>
      </w:tr>
      <w:tr>
        <w:trPr>
          <w:trHeight w:val="338"/>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10100" w:type="dxa"/>
            <w:vAlign w:val="bottom"/>
            <w:gridSpan w:val="5"/>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38"/>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10100" w:type="dxa"/>
            <w:vAlign w:val="bottom"/>
            <w:gridSpan w:val="5"/>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338"/>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10100" w:type="dxa"/>
            <w:vAlign w:val="bottom"/>
            <w:gridSpan w:val="5"/>
          </w:tcPr>
          <w:p>
            <w:pPr>
              <w:spacing w:after="0"/>
              <w:rPr>
                <w:sz w:val="20"/>
                <w:szCs w:val="20"/>
                <w:color w:val="auto"/>
              </w:rPr>
            </w:pPr>
            <w:r>
              <w:rPr>
                <w:rFonts w:ascii="Arial" w:cs="Arial" w:eastAsia="Arial" w:hAnsi="Arial"/>
                <w:sz w:val="17"/>
                <w:szCs w:val="17"/>
                <w:color w:val="auto"/>
              </w:rPr>
              <w:t>XBRL Taxonomy Extension Labels Linkbase Document</w:t>
            </w:r>
          </w:p>
        </w:tc>
      </w:tr>
      <w:tr>
        <w:trPr>
          <w:trHeight w:val="338"/>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10100" w:type="dxa"/>
            <w:vAlign w:val="bottom"/>
            <w:gridSpan w:val="5"/>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79" w:lineRule="exact"/>
        <w:rPr>
          <w:sz w:val="20"/>
          <w:szCs w:val="20"/>
          <w:color w:val="auto"/>
        </w:rPr>
      </w:pPr>
    </w:p>
    <w:p>
      <w:pPr>
        <w:ind w:left="520" w:hanging="516"/>
        <w:spacing w:after="0"/>
        <w:tabs>
          <w:tab w:leader="none" w:pos="5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Filed with this annual report on Form 20-F</w:t>
      </w:r>
    </w:p>
    <w:p>
      <w:pPr>
        <w:spacing w:after="0" w:line="25" w:lineRule="exact"/>
        <w:rPr>
          <w:sz w:val="20"/>
          <w:szCs w:val="20"/>
          <w:color w:val="auto"/>
        </w:rPr>
      </w:pPr>
    </w:p>
    <w:p>
      <w:pPr>
        <w:ind w:left="520" w:hanging="516"/>
        <w:spacing w:after="0"/>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Furnished with this annual report on Form 20-F</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120"/>
          </w:cols>
          <w:pgMar w:left="320" w:top="451" w:right="45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7"/>
          <w:szCs w:val="17"/>
          <w:b w:val="1"/>
          <w:bCs w:val="1"/>
          <w:color w:val="auto"/>
        </w:rPr>
        <w:t>SIGNATURES</w:t>
      </w:r>
    </w:p>
    <w:p>
      <w:pPr>
        <w:spacing w:after="0" w:line="253" w:lineRule="exact"/>
        <w:rPr>
          <w:sz w:val="20"/>
          <w:szCs w:val="20"/>
          <w:color w:val="auto"/>
        </w:rPr>
      </w:pPr>
    </w:p>
    <w:p>
      <w:pPr>
        <w:ind w:right="180" w:firstLine="532"/>
        <w:spacing w:after="0" w:line="286"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to sign this annual report on this Form 20-F on its behalf.</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53" w:lineRule="exact"/>
        <w:rPr>
          <w:sz w:val="20"/>
          <w:szCs w:val="20"/>
          <w:color w:val="auto"/>
        </w:rPr>
      </w:pPr>
    </w:p>
    <w:tbl>
      <w:tblPr>
        <w:tblLayout w:type="fixed"/>
        <w:tblInd w:w="564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Jian Tang</w:t>
            </w:r>
          </w:p>
        </w:tc>
      </w:tr>
      <w:tr>
        <w:trPr>
          <w:trHeight w:val="209"/>
        </w:trPr>
        <w:tc>
          <w:tcPr>
            <w:tcW w:w="560" w:type="dxa"/>
            <w:vAlign w:val="bottom"/>
          </w:tcPr>
          <w:p>
            <w:pPr>
              <w:spacing w:after="0"/>
              <w:rPr>
                <w:sz w:val="20"/>
                <w:szCs w:val="20"/>
                <w:color w:val="auto"/>
              </w:rPr>
            </w:pPr>
            <w:r>
              <w:rPr>
                <w:rFonts w:ascii="Arial" w:cs="Arial" w:eastAsia="Arial" w:hAnsi="Arial"/>
                <w:sz w:val="17"/>
                <w:szCs w:val="17"/>
                <w:color w:val="auto"/>
              </w:rPr>
              <w:t>Name:</w:t>
            </w:r>
          </w:p>
        </w:tc>
        <w:tc>
          <w:tcPr>
            <w:tcW w:w="5040" w:type="dxa"/>
            <w:vAlign w:val="bottom"/>
          </w:tcPr>
          <w:p>
            <w:pPr>
              <w:spacing w:after="0"/>
              <w:rPr>
                <w:sz w:val="20"/>
                <w:szCs w:val="20"/>
                <w:color w:val="auto"/>
              </w:rPr>
            </w:pPr>
            <w:r>
              <w:rPr>
                <w:rFonts w:ascii="Arial" w:cs="Arial" w:eastAsia="Arial" w:hAnsi="Arial"/>
                <w:sz w:val="17"/>
                <w:szCs w:val="17"/>
                <w:color w:val="auto"/>
              </w:rPr>
              <w:t>Jian Tang</w:t>
            </w:r>
          </w:p>
        </w:tc>
      </w:tr>
      <w:tr>
        <w:trPr>
          <w:trHeight w:val="221"/>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504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2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Date: April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27"/>
        </w:trPr>
        <w:tc>
          <w:tcPr>
            <w:tcW w:w="9800" w:type="dxa"/>
            <w:vAlign w:val="bottom"/>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9800" w:type="dxa"/>
            <w:vAlign w:val="bottom"/>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800" w:type="dxa"/>
            <w:vAlign w:val="bottom"/>
            <w:vMerge w:val="restart"/>
          </w:tcPr>
          <w:p>
            <w:pPr>
              <w:spacing w:after="0"/>
              <w:rPr>
                <w:sz w:val="20"/>
                <w:szCs w:val="20"/>
                <w:color w:val="auto"/>
              </w:rPr>
            </w:pPr>
            <w:r>
              <w:rPr>
                <w:rFonts w:ascii="Arial" w:cs="Arial" w:eastAsia="Arial" w:hAnsi="Arial"/>
                <w:sz w:val="17"/>
                <w:szCs w:val="17"/>
                <w:b w:val="1"/>
                <w:bCs w:val="1"/>
                <w:color w:val="auto"/>
              </w:rPr>
              <w:t>Audited Consolidated Financial Statements</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Pages</w:t>
            </w:r>
          </w:p>
        </w:tc>
        <w:tc>
          <w:tcPr>
            <w:tcW w:w="0" w:type="dxa"/>
            <w:vAlign w:val="bottom"/>
          </w:tcPr>
          <w:p>
            <w:pPr>
              <w:spacing w:after="0"/>
              <w:rPr>
                <w:sz w:val="1"/>
                <w:szCs w:val="1"/>
                <w:color w:val="auto"/>
              </w:rPr>
            </w:pPr>
          </w:p>
        </w:tc>
      </w:tr>
      <w:tr>
        <w:trPr>
          <w:trHeight w:val="196"/>
        </w:trPr>
        <w:tc>
          <w:tcPr>
            <w:tcW w:w="980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0" w:type="dxa"/>
            <w:vAlign w:val="bottom"/>
          </w:tcPr>
          <w:p>
            <w:pPr>
              <w:spacing w:after="0"/>
              <w:rPr>
                <w:rFonts w:ascii="Arial" w:cs="Arial" w:eastAsia="Arial" w:hAnsi="Arial"/>
                <w:sz w:val="17"/>
                <w:szCs w:val="17"/>
                <w:u w:val="single" w:color="auto"/>
                <w:color w:val="0000EE"/>
              </w:rPr>
            </w:pPr>
            <w:hyperlink w:anchor="page138">
              <w:r>
                <w:rPr>
                  <w:rFonts w:ascii="Arial" w:cs="Arial" w:eastAsia="Arial" w:hAnsi="Arial"/>
                  <w:sz w:val="17"/>
                  <w:szCs w:val="17"/>
                  <w:u w:val="single" w:color="auto"/>
                  <w:color w:val="0000EE"/>
                </w:rPr>
                <w:t>Report of Independent Registered Public Accounting Firm</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8"/>
        </w:trPr>
        <w:tc>
          <w:tcPr>
            <w:tcW w:w="9800" w:type="dxa"/>
            <w:vAlign w:val="bottom"/>
          </w:tcPr>
          <w:p>
            <w:pPr>
              <w:spacing w:after="0"/>
              <w:rPr>
                <w:rFonts w:ascii="Arial" w:cs="Arial" w:eastAsia="Arial" w:hAnsi="Arial"/>
                <w:sz w:val="17"/>
                <w:szCs w:val="17"/>
                <w:u w:val="single" w:color="auto"/>
                <w:color w:val="0000EE"/>
              </w:rPr>
            </w:pPr>
            <w:hyperlink w:anchor="page139">
              <w:r>
                <w:rPr>
                  <w:rFonts w:ascii="Arial" w:cs="Arial" w:eastAsia="Arial" w:hAnsi="Arial"/>
                  <w:sz w:val="17"/>
                  <w:szCs w:val="17"/>
                  <w:u w:val="single" w:color="auto"/>
                  <w:color w:val="0000EE"/>
                </w:rPr>
                <w:t>Consolidated Balance Sheets as of December 31, 2018 and 2019</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2 - 4</w:t>
            </w:r>
          </w:p>
        </w:tc>
        <w:tc>
          <w:tcPr>
            <w:tcW w:w="0" w:type="dxa"/>
            <w:vAlign w:val="bottom"/>
          </w:tcPr>
          <w:p>
            <w:pPr>
              <w:spacing w:after="0"/>
              <w:rPr>
                <w:sz w:val="1"/>
                <w:szCs w:val="1"/>
                <w:color w:val="auto"/>
              </w:rPr>
            </w:pPr>
          </w:p>
        </w:tc>
      </w:tr>
      <w:tr>
        <w:trPr>
          <w:trHeight w:val="208"/>
        </w:trPr>
        <w:tc>
          <w:tcPr>
            <w:tcW w:w="9800" w:type="dxa"/>
            <w:vAlign w:val="bottom"/>
          </w:tcPr>
          <w:p>
            <w:pPr>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Consolidated Statements of Comprehensive Loss for the Years Ended December 31, 2017, 2018 and 2019</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8"/>
        </w:trPr>
        <w:tc>
          <w:tcPr>
            <w:tcW w:w="9800" w:type="dxa"/>
            <w:vAlign w:val="bottom"/>
          </w:tcPr>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Consolidated Statements of Changes in Shareholders’ (Deficit)/Equity for the Years Ended December 31, 2017, 2018 and 2019</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6 - 8</w:t>
            </w:r>
          </w:p>
        </w:tc>
        <w:tc>
          <w:tcPr>
            <w:tcW w:w="0" w:type="dxa"/>
            <w:vAlign w:val="bottom"/>
          </w:tcPr>
          <w:p>
            <w:pPr>
              <w:spacing w:after="0"/>
              <w:rPr>
                <w:sz w:val="1"/>
                <w:szCs w:val="1"/>
                <w:color w:val="auto"/>
              </w:rPr>
            </w:pPr>
          </w:p>
        </w:tc>
      </w:tr>
      <w:tr>
        <w:trPr>
          <w:trHeight w:val="208"/>
        </w:trPr>
        <w:tc>
          <w:tcPr>
            <w:tcW w:w="9800" w:type="dxa"/>
            <w:vAlign w:val="bottom"/>
          </w:tcPr>
          <w:p>
            <w:pPr>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Consolidated Statements of Cash Flows for the Years Ended December 31, 2017, 2018 and 2019</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9-10</w:t>
            </w:r>
          </w:p>
        </w:tc>
        <w:tc>
          <w:tcPr>
            <w:tcW w:w="0" w:type="dxa"/>
            <w:vAlign w:val="bottom"/>
          </w:tcPr>
          <w:p>
            <w:pPr>
              <w:spacing w:after="0"/>
              <w:rPr>
                <w:sz w:val="1"/>
                <w:szCs w:val="1"/>
                <w:color w:val="auto"/>
              </w:rPr>
            </w:pPr>
          </w:p>
        </w:tc>
      </w:tr>
      <w:tr>
        <w:trPr>
          <w:trHeight w:val="221"/>
        </w:trPr>
        <w:tc>
          <w:tcPr>
            <w:tcW w:w="9800" w:type="dxa"/>
            <w:vAlign w:val="bottom"/>
          </w:tcPr>
          <w:p>
            <w:pPr>
              <w:spacing w:after="0"/>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Notes to the Consolidated Financial Statements</w:t>
              </w:r>
            </w:hyperlink>
          </w:p>
        </w:tc>
        <w:tc>
          <w:tcPr>
            <w:tcW w:w="1460" w:type="dxa"/>
            <w:vAlign w:val="bottom"/>
          </w:tcPr>
          <w:p>
            <w:pPr>
              <w:jc w:val="right"/>
              <w:spacing w:after="0"/>
              <w:rPr>
                <w:sz w:val="20"/>
                <w:szCs w:val="20"/>
                <w:color w:val="auto"/>
              </w:rPr>
            </w:pPr>
            <w:r>
              <w:rPr>
                <w:rFonts w:ascii="Arial" w:cs="Arial" w:eastAsia="Arial" w:hAnsi="Arial"/>
                <w:sz w:val="17"/>
                <w:szCs w:val="17"/>
                <w:color w:val="auto"/>
              </w:rPr>
              <w:t>11-85</w:t>
            </w:r>
          </w:p>
        </w:tc>
        <w:tc>
          <w:tcPr>
            <w:tcW w:w="0" w:type="dxa"/>
            <w:vAlign w:val="bottom"/>
          </w:tcPr>
          <w:p>
            <w:pPr>
              <w:spacing w:after="0"/>
              <w:rPr>
                <w:sz w:val="1"/>
                <w:szCs w:val="1"/>
                <w:color w:val="auto"/>
              </w:rPr>
            </w:pPr>
          </w:p>
        </w:tc>
      </w:tr>
      <w:tr>
        <w:trPr>
          <w:trHeight w:val="1385"/>
        </w:trPr>
        <w:tc>
          <w:tcPr>
            <w:tcW w:w="98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iClick Interactive Asia Group Limited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audited the accompanying consolidated balance sheets of iClick Interactive Asia Group Limited and its subsidiaries (the “Company”) as of December 31, 2019 and 2018, and the related consolidated statements of comprehensive loss, of changes in shareholders’ (deficit)/equity and of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Accounting Principles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/s/PricewaterhouseCoopers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April 30, 2020</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7"/>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CONSOLIDATED BALANCE SHEETS</w:t>
            </w: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AS OF DECEMBER 31, 2018 AND 2019</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(US$’000, except share data and per share data, or otherwise noted)</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20" w:type="dxa"/>
            <w:vAlign w:val="bottom"/>
            <w:gridSpan w:val="3"/>
          </w:tcPr>
          <w:p>
            <w:pPr>
              <w:ind w:left="740"/>
              <w:spacing w:after="0"/>
              <w:rPr>
                <w:sz w:val="20"/>
                <w:szCs w:val="20"/>
                <w:color w:val="auto"/>
              </w:rPr>
            </w:pPr>
            <w:r>
              <w:rPr>
                <w:rFonts w:ascii="Arial" w:cs="Arial" w:eastAsia="Arial" w:hAnsi="Arial"/>
                <w:sz w:val="17"/>
                <w:szCs w:val="17"/>
                <w:color w:val="auto"/>
                <w:w w:val="97"/>
              </w:rPr>
              <w:t>As of 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Note</w:t>
            </w:r>
          </w:p>
        </w:tc>
        <w:tc>
          <w:tcPr>
            <w:tcW w:w="1300" w:type="dxa"/>
            <w:vAlign w:val="bottom"/>
          </w:tcPr>
          <w:p>
            <w:pPr>
              <w:jc w:val="right"/>
              <w:spacing w:after="0"/>
              <w:rPr>
                <w:sz w:val="20"/>
                <w:szCs w:val="20"/>
                <w:color w:val="auto"/>
              </w:rPr>
            </w:pPr>
            <w:r>
              <w:rPr>
                <w:rFonts w:ascii="Arial" w:cs="Arial" w:eastAsia="Arial" w:hAnsi="Arial"/>
                <w:sz w:val="17"/>
                <w:szCs w:val="17"/>
                <w:color w:val="auto"/>
              </w:rPr>
              <w:t>2018</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2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5</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39,828</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Time deposits</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5</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6</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Short-term investments</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2(j)</w:t>
            </w:r>
          </w:p>
        </w:tc>
        <w:tc>
          <w:tcPr>
            <w:tcW w:w="1300" w:type="dxa"/>
            <w:vAlign w:val="bottom"/>
          </w:tcPr>
          <w:p>
            <w:pPr>
              <w:jc w:val="right"/>
              <w:spacing w:after="0"/>
              <w:rPr>
                <w:sz w:val="20"/>
                <w:szCs w:val="20"/>
                <w:color w:val="auto"/>
              </w:rPr>
            </w:pPr>
            <w:r>
              <w:rPr>
                <w:rFonts w:ascii="Arial" w:cs="Arial" w:eastAsia="Arial" w:hAnsi="Arial"/>
                <w:sz w:val="17"/>
                <w:szCs w:val="17"/>
                <w:color w:val="auto"/>
              </w:rPr>
              <w:t>17,427</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Amount due from an equity investee</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7(b)</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60" w:type="dxa"/>
            <w:vAlign w:val="bottom"/>
            <w:gridSpan w:val="2"/>
          </w:tcPr>
          <w:p>
            <w:pPr>
              <w:spacing w:after="0"/>
              <w:rPr>
                <w:sz w:val="20"/>
                <w:szCs w:val="20"/>
                <w:color w:val="auto"/>
              </w:rPr>
            </w:pPr>
            <w:r>
              <w:rPr>
                <w:rFonts w:ascii="Arial" w:cs="Arial" w:eastAsia="Arial" w:hAnsi="Arial"/>
                <w:sz w:val="17"/>
                <w:szCs w:val="17"/>
                <w:color w:val="auto"/>
              </w:rPr>
              <w:t>Accounts receivable, net of allowance for doubtful receivables of</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US$1,507 and US$3,469 as of December 31, 2018 and 2019,</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respectively</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9</w:t>
            </w:r>
          </w:p>
        </w:tc>
        <w:tc>
          <w:tcPr>
            <w:tcW w:w="1300" w:type="dxa"/>
            <w:vAlign w:val="bottom"/>
          </w:tcPr>
          <w:p>
            <w:pPr>
              <w:jc w:val="right"/>
              <w:spacing w:after="0"/>
              <w:rPr>
                <w:sz w:val="20"/>
                <w:szCs w:val="20"/>
                <w:color w:val="auto"/>
              </w:rPr>
            </w:pPr>
            <w:r>
              <w:rPr>
                <w:rFonts w:ascii="Arial" w:cs="Arial" w:eastAsia="Arial" w:hAnsi="Arial"/>
                <w:sz w:val="17"/>
                <w:szCs w:val="17"/>
                <w:color w:val="auto"/>
              </w:rPr>
              <w:t>65,627</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143,971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Rebates receivable</w:t>
            </w:r>
          </w:p>
        </w:tc>
        <w:tc>
          <w:tcPr>
            <w:tcW w:w="2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4,067</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Prepaid media costs</w:t>
            </w:r>
          </w:p>
        </w:tc>
        <w:tc>
          <w:tcPr>
            <w:tcW w:w="2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19,107</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Other current assets</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10</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3,242</w:t>
            </w:r>
          </w:p>
        </w:tc>
        <w:tc>
          <w:tcPr>
            <w:tcW w:w="2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Total current assets</w:t>
            </w:r>
          </w:p>
        </w:tc>
        <w:tc>
          <w:tcPr>
            <w:tcW w:w="210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149,298</w:t>
            </w:r>
          </w:p>
        </w:tc>
        <w:tc>
          <w:tcPr>
            <w:tcW w:w="26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245,393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14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b w:val="1"/>
                <w:bCs w:val="1"/>
                <w:color w:val="auto"/>
              </w:rPr>
              <w:t>Non-current assets</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25(e)</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1,153</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11</w:t>
            </w:r>
          </w:p>
        </w:tc>
        <w:tc>
          <w:tcPr>
            <w:tcW w:w="1300" w:type="dxa"/>
            <w:vAlign w:val="bottom"/>
          </w:tcPr>
          <w:p>
            <w:pPr>
              <w:jc w:val="right"/>
              <w:spacing w:after="0"/>
              <w:rPr>
                <w:sz w:val="20"/>
                <w:szCs w:val="20"/>
                <w:color w:val="auto"/>
              </w:rPr>
            </w:pPr>
            <w:r>
              <w:rPr>
                <w:rFonts w:ascii="Arial" w:cs="Arial" w:eastAsia="Arial" w:hAnsi="Arial"/>
                <w:sz w:val="17"/>
                <w:szCs w:val="17"/>
                <w:color w:val="auto"/>
              </w:rPr>
              <w:t>329</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Investment in an equity investee</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7(a)</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Prepayment for a long-term investment</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8</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investments</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8</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503</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Intangible assets, net</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12</w:t>
            </w:r>
          </w:p>
        </w:tc>
        <w:tc>
          <w:tcPr>
            <w:tcW w:w="1300" w:type="dxa"/>
            <w:vAlign w:val="bottom"/>
          </w:tcPr>
          <w:p>
            <w:pPr>
              <w:jc w:val="right"/>
              <w:spacing w:after="0"/>
              <w:rPr>
                <w:sz w:val="20"/>
                <w:szCs w:val="20"/>
                <w:color w:val="auto"/>
              </w:rPr>
            </w:pPr>
            <w:r>
              <w:rPr>
                <w:rFonts w:ascii="Arial" w:cs="Arial" w:eastAsia="Arial" w:hAnsi="Arial"/>
                <w:sz w:val="17"/>
                <w:szCs w:val="17"/>
                <w:color w:val="auto"/>
              </w:rPr>
              <w:t>7,247</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13</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48,496</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Right-of-use assets</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14</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Other assets</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10</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232</w:t>
            </w:r>
          </w:p>
        </w:tc>
        <w:tc>
          <w:tcPr>
            <w:tcW w:w="2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Total non-current assets</w:t>
            </w:r>
          </w:p>
        </w:tc>
        <w:tc>
          <w:tcPr>
            <w:tcW w:w="2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57,960</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76,123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140" w:type="dxa"/>
            <w:vAlign w:val="bottom"/>
            <w:tcBorders>
              <w:top w:val="single" w:sz="8" w:color="CFF0FC"/>
            </w:tcBorders>
            <w:shd w:val="clear" w:color="auto" w:fill="CFF0FC"/>
          </w:tcPr>
          <w:p>
            <w:pPr>
              <w:spacing w:after="0"/>
              <w:rPr>
                <w:sz w:val="18"/>
                <w:szCs w:val="18"/>
                <w:color w:val="auto"/>
              </w:rPr>
            </w:pPr>
          </w:p>
        </w:tc>
        <w:tc>
          <w:tcPr>
            <w:tcW w:w="2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2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207,258</w:t>
            </w: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27"/>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CONSOLIDATED BALANCE SHEETS (CONTINUED)</w:t>
            </w: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AS OF DECEMBER 31, 2018 AND 2019</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(US$’000, except share data and per share data, or otherwise noted)</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20" w:type="dxa"/>
            <w:vAlign w:val="bottom"/>
            <w:gridSpan w:val="3"/>
          </w:tcPr>
          <w:p>
            <w:pPr>
              <w:ind w:left="740"/>
              <w:spacing w:after="0"/>
              <w:rPr>
                <w:sz w:val="20"/>
                <w:szCs w:val="20"/>
                <w:color w:val="auto"/>
              </w:rPr>
            </w:pPr>
            <w:r>
              <w:rPr>
                <w:rFonts w:ascii="Arial" w:cs="Arial" w:eastAsia="Arial" w:hAnsi="Arial"/>
                <w:sz w:val="17"/>
                <w:szCs w:val="17"/>
                <w:color w:val="auto"/>
                <w:w w:val="97"/>
              </w:rPr>
              <w:t>As of 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Note</w:t>
            </w:r>
          </w:p>
        </w:tc>
        <w:tc>
          <w:tcPr>
            <w:tcW w:w="1300" w:type="dxa"/>
            <w:vAlign w:val="bottom"/>
          </w:tcPr>
          <w:p>
            <w:pPr>
              <w:jc w:val="right"/>
              <w:spacing w:after="0"/>
              <w:rPr>
                <w:sz w:val="20"/>
                <w:szCs w:val="20"/>
                <w:color w:val="auto"/>
              </w:rPr>
            </w:pPr>
            <w:r>
              <w:rPr>
                <w:rFonts w:ascii="Arial" w:cs="Arial" w:eastAsia="Arial" w:hAnsi="Arial"/>
                <w:sz w:val="17"/>
                <w:szCs w:val="17"/>
                <w:color w:val="auto"/>
              </w:rPr>
              <w:t>2018</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equity</w:t>
            </w:r>
          </w:p>
        </w:tc>
        <w:tc>
          <w:tcPr>
            <w:tcW w:w="2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(including accounts payable of the consolidated</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variable interest entity (“VIE”) and its subsidiaries without</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recourse to the Company of US$45 and US$27 as of December</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31, 2018 and 2019, respectively)</w:t>
            </w:r>
          </w:p>
        </w:tc>
        <w:tc>
          <w:tcPr>
            <w:tcW w:w="2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6,557</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60" w:type="dxa"/>
            <w:vAlign w:val="bottom"/>
            <w:gridSpan w:val="2"/>
          </w:tcPr>
          <w:p>
            <w:pPr>
              <w:spacing w:after="0"/>
              <w:rPr>
                <w:sz w:val="20"/>
                <w:szCs w:val="20"/>
                <w:color w:val="auto"/>
              </w:rPr>
            </w:pPr>
            <w:r>
              <w:rPr>
                <w:rFonts w:ascii="Arial" w:cs="Arial" w:eastAsia="Arial" w:hAnsi="Arial"/>
                <w:sz w:val="17"/>
                <w:szCs w:val="17"/>
                <w:color w:val="auto"/>
              </w:rPr>
              <w:t>Deferred revenue (including deferred revenue of the consolidated</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VIE and its subsidiaries without recourse to the Company</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of US$1,300 and US$866 as of December 31, 2018 and 2019,</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respectively)</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15</w:t>
            </w:r>
          </w:p>
        </w:tc>
        <w:tc>
          <w:tcPr>
            <w:tcW w:w="1300" w:type="dxa"/>
            <w:vAlign w:val="bottom"/>
          </w:tcPr>
          <w:p>
            <w:pPr>
              <w:jc w:val="right"/>
              <w:spacing w:after="0"/>
              <w:rPr>
                <w:sz w:val="20"/>
                <w:szCs w:val="20"/>
                <w:color w:val="auto"/>
              </w:rPr>
            </w:pPr>
            <w:r>
              <w:rPr>
                <w:rFonts w:ascii="Arial" w:cs="Arial" w:eastAsia="Arial" w:hAnsi="Arial"/>
                <w:sz w:val="17"/>
                <w:szCs w:val="17"/>
                <w:color w:val="auto"/>
              </w:rPr>
              <w:t>27,191</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Accrued liabilities and other current liabilities (including accrued</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liabilities and other current liabilities of the consolidated VIE</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and its subsidiaries without recourse to the Company of</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US$1,776 and US$1,802 as of December 31, 2018 and 2019,</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respectively)</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16</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16,348</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60" w:type="dxa"/>
            <w:vAlign w:val="bottom"/>
            <w:gridSpan w:val="2"/>
          </w:tcPr>
          <w:p>
            <w:pPr>
              <w:spacing w:after="0"/>
              <w:rPr>
                <w:sz w:val="20"/>
                <w:szCs w:val="20"/>
                <w:color w:val="auto"/>
              </w:rPr>
            </w:pPr>
            <w:r>
              <w:rPr>
                <w:rFonts w:ascii="Arial" w:cs="Arial" w:eastAsia="Arial" w:hAnsi="Arial"/>
                <w:sz w:val="17"/>
                <w:szCs w:val="17"/>
                <w:color w:val="auto"/>
              </w:rPr>
              <w:t>Lease liabilities (including lease liabilities of the consolidated</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VIE and its subsidiaries without recourse to the Company</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of US$nil and US$86 as of December 31, 2018 and 2019,</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respectively)</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14</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Bank borrowings</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17</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9,439</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60" w:type="dxa"/>
            <w:vAlign w:val="bottom"/>
            <w:gridSpan w:val="2"/>
          </w:tcPr>
          <w:p>
            <w:pPr>
              <w:spacing w:after="0"/>
              <w:rPr>
                <w:sz w:val="20"/>
                <w:szCs w:val="20"/>
                <w:color w:val="auto"/>
              </w:rPr>
            </w:pPr>
            <w:r>
              <w:rPr>
                <w:rFonts w:ascii="Arial" w:cs="Arial" w:eastAsia="Arial" w:hAnsi="Arial"/>
                <w:sz w:val="17"/>
                <w:szCs w:val="17"/>
                <w:color w:val="auto"/>
              </w:rPr>
              <w:t>Convertible notes at fair value</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18</w:t>
            </w:r>
          </w:p>
        </w:tc>
        <w:tc>
          <w:tcPr>
            <w:tcW w:w="1300" w:type="dxa"/>
            <w:vAlign w:val="bottom"/>
          </w:tcPr>
          <w:p>
            <w:pPr>
              <w:jc w:val="right"/>
              <w:spacing w:after="0"/>
              <w:rPr>
                <w:sz w:val="20"/>
                <w:szCs w:val="20"/>
                <w:color w:val="auto"/>
              </w:rPr>
            </w:pPr>
            <w:r>
              <w:rPr>
                <w:rFonts w:ascii="Arial" w:cs="Arial" w:eastAsia="Arial" w:hAnsi="Arial"/>
                <w:sz w:val="17"/>
                <w:szCs w:val="17"/>
                <w:color w:val="auto"/>
              </w:rPr>
              <w:t>34,837</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Income tax payable</w:t>
            </w:r>
          </w:p>
        </w:tc>
        <w:tc>
          <w:tcPr>
            <w:tcW w:w="210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2,779</w:t>
            </w:r>
          </w:p>
        </w:tc>
        <w:tc>
          <w:tcPr>
            <w:tcW w:w="2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Total current liabilities</w:t>
            </w:r>
          </w:p>
        </w:tc>
        <w:tc>
          <w:tcPr>
            <w:tcW w:w="2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97,151</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203,940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140" w:type="dxa"/>
            <w:vAlign w:val="bottom"/>
            <w:tcBorders>
              <w:top w:val="single" w:sz="8" w:color="CFF0FC"/>
            </w:tcBorders>
            <w:shd w:val="clear" w:color="auto" w:fill="CFF0FC"/>
          </w:tcPr>
          <w:p>
            <w:pPr>
              <w:spacing w:after="0"/>
              <w:rPr>
                <w:sz w:val="18"/>
                <w:szCs w:val="18"/>
                <w:color w:val="auto"/>
              </w:rPr>
            </w:pPr>
          </w:p>
        </w:tc>
        <w:tc>
          <w:tcPr>
            <w:tcW w:w="2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b w:val="1"/>
                <w:bCs w:val="1"/>
                <w:color w:val="auto"/>
              </w:rPr>
              <w:t>Non-current liabilities</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Other liabilities</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16</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60" w:type="dxa"/>
            <w:vAlign w:val="bottom"/>
            <w:gridSpan w:val="2"/>
          </w:tcPr>
          <w:p>
            <w:pPr>
              <w:spacing w:after="0"/>
              <w:rPr>
                <w:sz w:val="20"/>
                <w:szCs w:val="20"/>
                <w:color w:val="auto"/>
              </w:rPr>
            </w:pPr>
            <w:r>
              <w:rPr>
                <w:rFonts w:ascii="Arial" w:cs="Arial" w:eastAsia="Arial" w:hAnsi="Arial"/>
                <w:sz w:val="17"/>
                <w:szCs w:val="17"/>
                <w:color w:val="auto"/>
              </w:rPr>
              <w:t>Lease liabilities (including lease liabilities of the consolidated</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VIE and its subsidiaries without recourse to the Company of</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US$nil and US$25 as of December 31, 2018 and 2019,</w:t>
            </w: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tcPr>
          <w:p>
            <w:pPr>
              <w:ind w:left="120"/>
              <w:spacing w:after="0"/>
              <w:rPr>
                <w:sz w:val="20"/>
                <w:szCs w:val="20"/>
                <w:color w:val="auto"/>
              </w:rPr>
            </w:pPr>
            <w:r>
              <w:rPr>
                <w:rFonts w:ascii="Arial" w:cs="Arial" w:eastAsia="Arial" w:hAnsi="Arial"/>
                <w:sz w:val="17"/>
                <w:szCs w:val="17"/>
                <w:color w:val="auto"/>
              </w:rPr>
              <w:t>respectively)</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14</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 (including deferred liabilities of the</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consolidated VIE and its subsidiaries without recourse to the</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Company of US$238 and US$187 as of December 31, 2018 and</w:t>
            </w: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2019, respectively)</w:t>
            </w:r>
          </w:p>
        </w:tc>
        <w:tc>
          <w:tcPr>
            <w:tcW w:w="210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25(e)</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2,794</w:t>
            </w:r>
          </w:p>
        </w:tc>
        <w:tc>
          <w:tcPr>
            <w:tcW w:w="2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Total non-current liabilities</w:t>
            </w:r>
          </w:p>
        </w:tc>
        <w:tc>
          <w:tcPr>
            <w:tcW w:w="2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3,467</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140" w:type="dxa"/>
            <w:vAlign w:val="bottom"/>
            <w:tcBorders>
              <w:top w:val="single" w:sz="8" w:color="CFF0FC"/>
            </w:tcBorders>
            <w:shd w:val="clear" w:color="auto" w:fill="CFF0FC"/>
          </w:tcPr>
          <w:p>
            <w:pPr>
              <w:spacing w:after="0"/>
              <w:rPr>
                <w:sz w:val="18"/>
                <w:szCs w:val="18"/>
                <w:color w:val="auto"/>
              </w:rPr>
            </w:pPr>
          </w:p>
        </w:tc>
        <w:tc>
          <w:tcPr>
            <w:tcW w:w="21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14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Total liabilities</w:t>
            </w:r>
          </w:p>
        </w:tc>
        <w:tc>
          <w:tcPr>
            <w:tcW w:w="210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100,618</w:t>
            </w:r>
          </w:p>
        </w:tc>
        <w:tc>
          <w:tcPr>
            <w:tcW w:w="2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206,960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14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b w:val="1"/>
                <w:bCs w:val="1"/>
                <w:color w:val="auto"/>
              </w:rPr>
              <w:t>Commitments and contingencies</w:t>
            </w:r>
          </w:p>
        </w:tc>
        <w:tc>
          <w:tcPr>
            <w:tcW w:w="2100" w:type="dxa"/>
            <w:vAlign w:val="bottom"/>
          </w:tcPr>
          <w:p>
            <w:pPr>
              <w:jc w:val="right"/>
              <w:ind w:right="173"/>
              <w:spacing w:after="0"/>
              <w:rPr>
                <w:sz w:val="20"/>
                <w:szCs w:val="20"/>
                <w:color w:val="auto"/>
              </w:rPr>
            </w:pPr>
            <w:r>
              <w:rPr>
                <w:rFonts w:ascii="Arial" w:cs="Arial" w:eastAsia="Arial" w:hAnsi="Arial"/>
                <w:sz w:val="17"/>
                <w:szCs w:val="17"/>
                <w:color w:val="auto"/>
              </w:rPr>
              <w:t>29</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7"/>
        </w:trPr>
        <w:tc>
          <w:tcPr>
            <w:tcW w:w="6180" w:type="dxa"/>
            <w:vAlign w:val="bottom"/>
            <w:gridSpan w:val="2"/>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6180" w:type="dxa"/>
            <w:vAlign w:val="bottom"/>
            <w:gridSpan w:val="2"/>
          </w:tcPr>
          <w:p>
            <w:pPr>
              <w:spacing w:after="0"/>
              <w:rPr>
                <w:sz w:val="20"/>
                <w:szCs w:val="20"/>
                <w:color w:val="auto"/>
              </w:rPr>
            </w:pPr>
            <w:r>
              <w:rPr>
                <w:rFonts w:ascii="Arial" w:cs="Arial" w:eastAsia="Arial" w:hAnsi="Arial"/>
                <w:sz w:val="17"/>
                <w:szCs w:val="17"/>
                <w:b w:val="1"/>
                <w:bCs w:val="1"/>
                <w:color w:val="auto"/>
              </w:rPr>
              <w:t>CONSOLIDATED BALANCE SHEETS (CONTINUED)</w:t>
            </w:r>
          </w:p>
        </w:tc>
        <w:tc>
          <w:tcPr>
            <w:tcW w:w="2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180" w:type="dxa"/>
            <w:vAlign w:val="bottom"/>
            <w:gridSpan w:val="2"/>
          </w:tcPr>
          <w:p>
            <w:pPr>
              <w:spacing w:after="0"/>
              <w:rPr>
                <w:sz w:val="20"/>
                <w:szCs w:val="20"/>
                <w:color w:val="auto"/>
              </w:rPr>
            </w:pPr>
            <w:r>
              <w:rPr>
                <w:rFonts w:ascii="Arial" w:cs="Arial" w:eastAsia="Arial" w:hAnsi="Arial"/>
                <w:sz w:val="17"/>
                <w:szCs w:val="17"/>
                <w:b w:val="1"/>
                <w:bCs w:val="1"/>
                <w:color w:val="auto"/>
              </w:rPr>
              <w:t>AS OF DECEMBER 31, 2018 AND 2019</w:t>
            </w:r>
          </w:p>
        </w:tc>
        <w:tc>
          <w:tcPr>
            <w:tcW w:w="2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80" w:type="dxa"/>
            <w:vAlign w:val="bottom"/>
            <w:gridSpan w:val="2"/>
          </w:tcPr>
          <w:p>
            <w:pPr>
              <w:spacing w:after="0"/>
              <w:rPr>
                <w:sz w:val="20"/>
                <w:szCs w:val="20"/>
                <w:color w:val="auto"/>
              </w:rPr>
            </w:pPr>
            <w:r>
              <w:rPr>
                <w:rFonts w:ascii="Arial" w:cs="Arial" w:eastAsia="Arial" w:hAnsi="Arial"/>
                <w:sz w:val="17"/>
                <w:szCs w:val="17"/>
                <w:color w:val="auto"/>
              </w:rPr>
              <w:t>(US$’000, except share data and per share data, or otherwise noted)</w:t>
            </w:r>
          </w:p>
        </w:tc>
        <w:tc>
          <w:tcPr>
            <w:tcW w:w="2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80" w:type="dxa"/>
            <w:vAlign w:val="bottom"/>
            <w:gridSpan w:val="3"/>
          </w:tcPr>
          <w:p>
            <w:pPr>
              <w:ind w:left="740"/>
              <w:spacing w:after="0"/>
              <w:rPr>
                <w:sz w:val="20"/>
                <w:szCs w:val="20"/>
                <w:color w:val="auto"/>
              </w:rPr>
            </w:pPr>
            <w:r>
              <w:rPr>
                <w:rFonts w:ascii="Arial" w:cs="Arial" w:eastAsia="Arial" w:hAnsi="Arial"/>
                <w:sz w:val="17"/>
                <w:szCs w:val="17"/>
                <w:color w:val="auto"/>
                <w:w w:val="94"/>
              </w:rPr>
              <w:t>As of December 31,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080" w:type="dxa"/>
            <w:vAlign w:val="bottom"/>
          </w:tcPr>
          <w:p>
            <w:pPr>
              <w:jc w:val="right"/>
              <w:ind w:right="173"/>
              <w:spacing w:after="0"/>
              <w:rPr>
                <w:sz w:val="20"/>
                <w:szCs w:val="20"/>
                <w:color w:val="auto"/>
              </w:rPr>
            </w:pPr>
            <w:r>
              <w:rPr>
                <w:rFonts w:ascii="Arial" w:cs="Arial" w:eastAsia="Arial" w:hAnsi="Arial"/>
                <w:sz w:val="17"/>
                <w:szCs w:val="17"/>
                <w:color w:val="auto"/>
              </w:rPr>
              <w:t>Note</w:t>
            </w:r>
          </w:p>
        </w:tc>
        <w:tc>
          <w:tcPr>
            <w:tcW w:w="1300" w:type="dxa"/>
            <w:vAlign w:val="bottom"/>
          </w:tcPr>
          <w:p>
            <w:pPr>
              <w:jc w:val="right"/>
              <w:spacing w:after="0"/>
              <w:rPr>
                <w:sz w:val="20"/>
                <w:szCs w:val="20"/>
                <w:color w:val="auto"/>
              </w:rPr>
            </w:pPr>
            <w:r>
              <w:rPr>
                <w:rFonts w:ascii="Arial" w:cs="Arial" w:eastAsia="Arial" w:hAnsi="Arial"/>
                <w:sz w:val="17"/>
                <w:szCs w:val="17"/>
                <w:color w:val="auto"/>
              </w:rPr>
              <w:t>2018</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Equity</w:t>
            </w:r>
          </w:p>
        </w:tc>
        <w:tc>
          <w:tcPr>
            <w:tcW w:w="20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80" w:type="dxa"/>
            <w:vAlign w:val="bottom"/>
            <w:gridSpan w:val="2"/>
          </w:tcPr>
          <w:p>
            <w:pPr>
              <w:spacing w:after="0"/>
              <w:rPr>
                <w:sz w:val="20"/>
                <w:szCs w:val="20"/>
                <w:color w:val="auto"/>
              </w:rPr>
            </w:pPr>
            <w:r>
              <w:rPr>
                <w:rFonts w:ascii="Arial" w:cs="Arial" w:eastAsia="Arial" w:hAnsi="Arial"/>
                <w:sz w:val="17"/>
                <w:szCs w:val="17"/>
                <w:color w:val="auto"/>
              </w:rPr>
              <w:t>Ordinary shares – Class A (US$0.001 par value; 80,000,000 shares</w:t>
            </w:r>
          </w:p>
        </w:tc>
        <w:tc>
          <w:tcPr>
            <w:tcW w:w="2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authorized as of December 31, 2018 and 2019, respectively;</w:t>
            </w:r>
          </w:p>
        </w:tc>
        <w:tc>
          <w:tcPr>
            <w:tcW w:w="2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23,166,092 and 23,870,027 shares issued and outstanding as of</w:t>
            </w:r>
          </w:p>
        </w:tc>
        <w:tc>
          <w:tcPr>
            <w:tcW w:w="2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December 31, 2018 and 2019, respectively)</w:t>
            </w:r>
          </w:p>
        </w:tc>
        <w:tc>
          <w:tcPr>
            <w:tcW w:w="2080" w:type="dxa"/>
            <w:vAlign w:val="bottom"/>
          </w:tcPr>
          <w:p>
            <w:pPr>
              <w:jc w:val="right"/>
              <w:ind w:right="173"/>
              <w:spacing w:after="0"/>
              <w:rPr>
                <w:sz w:val="20"/>
                <w:szCs w:val="20"/>
                <w:color w:val="auto"/>
              </w:rPr>
            </w:pPr>
            <w:r>
              <w:rPr>
                <w:rFonts w:ascii="Arial" w:cs="Arial" w:eastAsia="Arial" w:hAnsi="Arial"/>
                <w:sz w:val="17"/>
                <w:szCs w:val="17"/>
                <w:color w:val="auto"/>
              </w:rPr>
              <w:t>21</w:t>
            </w:r>
          </w:p>
        </w:tc>
        <w:tc>
          <w:tcPr>
            <w:tcW w:w="1300" w:type="dxa"/>
            <w:vAlign w:val="bottom"/>
          </w:tcPr>
          <w:p>
            <w:pPr>
              <w:jc w:val="right"/>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Ordinary shares – Class B (US$0.001 par value; 20,000,000 shares</w:t>
            </w:r>
          </w:p>
        </w:tc>
        <w:tc>
          <w:tcPr>
            <w:tcW w:w="20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authorized as of December 31, 2018 and 2019, respectively;</w:t>
            </w:r>
          </w:p>
        </w:tc>
        <w:tc>
          <w:tcPr>
            <w:tcW w:w="20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4,820,608 shares issued and outstanding as of December 31,</w:t>
            </w:r>
          </w:p>
        </w:tc>
        <w:tc>
          <w:tcPr>
            <w:tcW w:w="20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2018 and 2019, respectively)</w:t>
            </w:r>
          </w:p>
        </w:tc>
        <w:tc>
          <w:tcPr>
            <w:tcW w:w="208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21</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80" w:type="dxa"/>
            <w:vAlign w:val="bottom"/>
            <w:gridSpan w:val="2"/>
          </w:tcPr>
          <w:p>
            <w:pPr>
              <w:spacing w:after="0"/>
              <w:rPr>
                <w:sz w:val="20"/>
                <w:szCs w:val="20"/>
                <w:color w:val="auto"/>
              </w:rPr>
            </w:pPr>
            <w:r>
              <w:rPr>
                <w:rFonts w:ascii="Arial" w:cs="Arial" w:eastAsia="Arial" w:hAnsi="Arial"/>
                <w:sz w:val="17"/>
                <w:szCs w:val="17"/>
                <w:color w:val="auto"/>
              </w:rPr>
              <w:t>Treasury shares (1,363,860 and 1,744,873 shares as of</w:t>
            </w:r>
          </w:p>
        </w:tc>
        <w:tc>
          <w:tcPr>
            <w:tcW w:w="2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tcPr>
          <w:p>
            <w:pPr>
              <w:ind w:left="120"/>
              <w:spacing w:after="0"/>
              <w:rPr>
                <w:sz w:val="20"/>
                <w:szCs w:val="20"/>
                <w:color w:val="auto"/>
              </w:rPr>
            </w:pPr>
            <w:r>
              <w:rPr>
                <w:rFonts w:ascii="Arial" w:cs="Arial" w:eastAsia="Arial" w:hAnsi="Arial"/>
                <w:sz w:val="17"/>
                <w:szCs w:val="17"/>
                <w:color w:val="auto"/>
              </w:rPr>
              <w:t>December 31, 2018 and 2019, respectively)</w:t>
            </w:r>
          </w:p>
        </w:tc>
        <w:tc>
          <w:tcPr>
            <w:tcW w:w="2080" w:type="dxa"/>
            <w:vAlign w:val="bottom"/>
          </w:tcPr>
          <w:p>
            <w:pPr>
              <w:jc w:val="right"/>
              <w:ind w:right="173"/>
              <w:spacing w:after="0"/>
              <w:rPr>
                <w:sz w:val="20"/>
                <w:szCs w:val="20"/>
                <w:color w:val="auto"/>
              </w:rPr>
            </w:pPr>
            <w:r>
              <w:rPr>
                <w:rFonts w:ascii="Arial" w:cs="Arial" w:eastAsia="Arial" w:hAnsi="Arial"/>
                <w:sz w:val="17"/>
                <w:szCs w:val="17"/>
                <w:color w:val="auto"/>
              </w:rPr>
              <w:t>21</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(576)</w:t>
            </w:r>
          </w:p>
        </w:tc>
        <w:tc>
          <w:tcPr>
            <w:tcW w:w="6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(4,858)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20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293,072</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80" w:type="dxa"/>
            <w:vAlign w:val="bottom"/>
            <w:gridSpan w:val="2"/>
          </w:tcPr>
          <w:p>
            <w:pPr>
              <w:spacing w:after="0"/>
              <w:rPr>
                <w:sz w:val="20"/>
                <w:szCs w:val="20"/>
                <w:color w:val="auto"/>
              </w:rPr>
            </w:pPr>
            <w:r>
              <w:rPr>
                <w:rFonts w:ascii="Arial" w:cs="Arial" w:eastAsia="Arial" w:hAnsi="Arial"/>
                <w:sz w:val="17"/>
                <w:szCs w:val="17"/>
                <w:color w:val="auto"/>
              </w:rPr>
              <w:t>Statutory reserves</w:t>
            </w:r>
          </w:p>
        </w:tc>
        <w:tc>
          <w:tcPr>
            <w:tcW w:w="20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81</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7"/>
                <w:szCs w:val="17"/>
                <w:color w:val="auto"/>
              </w:rPr>
              <w:t>Accumulated other comprehensive losses</w:t>
            </w:r>
          </w:p>
        </w:tc>
        <w:tc>
          <w:tcPr>
            <w:tcW w:w="20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(5,867)</w:t>
            </w:r>
          </w:p>
        </w:tc>
        <w:tc>
          <w:tcPr>
            <w:tcW w:w="6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(7,479)</w:t>
            </w:r>
          </w:p>
        </w:tc>
        <w:tc>
          <w:tcPr>
            <w:tcW w:w="0" w:type="dxa"/>
            <w:vAlign w:val="bottom"/>
          </w:tcPr>
          <w:p>
            <w:pPr>
              <w:spacing w:after="0"/>
              <w:rPr>
                <w:sz w:val="1"/>
                <w:szCs w:val="1"/>
                <w:color w:val="auto"/>
              </w:rPr>
            </w:pPr>
          </w:p>
        </w:tc>
      </w:tr>
      <w:tr>
        <w:trPr>
          <w:trHeight w:val="221"/>
        </w:trPr>
        <w:tc>
          <w:tcPr>
            <w:tcW w:w="6180" w:type="dxa"/>
            <w:vAlign w:val="bottom"/>
            <w:gridSpan w:val="2"/>
          </w:tcPr>
          <w:p>
            <w:pPr>
              <w:spacing w:after="0"/>
              <w:rPr>
                <w:sz w:val="20"/>
                <w:szCs w:val="20"/>
                <w:color w:val="auto"/>
              </w:rPr>
            </w:pPr>
            <w:r>
              <w:rPr>
                <w:rFonts w:ascii="Arial" w:cs="Arial" w:eastAsia="Arial" w:hAnsi="Arial"/>
                <w:sz w:val="17"/>
                <w:szCs w:val="17"/>
                <w:color w:val="auto"/>
              </w:rPr>
              <w:t>Accumulated deficit</w:t>
            </w:r>
          </w:p>
        </w:tc>
        <w:tc>
          <w:tcPr>
            <w:tcW w:w="20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(181,413)</w:t>
            </w:r>
          </w:p>
        </w:tc>
        <w:tc>
          <w:tcPr>
            <w:tcW w:w="6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(191,016)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iClick Interactive Asia Group Limited shareholders’ equity</w:t>
            </w:r>
          </w:p>
        </w:tc>
        <w:tc>
          <w:tcPr>
            <w:tcW w:w="20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105,325</w:t>
            </w:r>
          </w:p>
        </w:tc>
        <w:tc>
          <w:tcPr>
            <w:tcW w:w="2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102,101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80" w:type="dxa"/>
            <w:vAlign w:val="bottom"/>
            <w:gridSpan w:val="2"/>
          </w:tcPr>
          <w:p>
            <w:pPr>
              <w:spacing w:after="0"/>
              <w:rPr>
                <w:sz w:val="20"/>
                <w:szCs w:val="20"/>
                <w:color w:val="auto"/>
              </w:rPr>
            </w:pPr>
            <w:r>
              <w:rPr>
                <w:rFonts w:ascii="Arial" w:cs="Arial" w:eastAsia="Arial" w:hAnsi="Arial"/>
                <w:sz w:val="17"/>
                <w:szCs w:val="17"/>
                <w:color w:val="auto"/>
              </w:rPr>
              <w:t>Non-controlling interests</w:t>
            </w:r>
          </w:p>
        </w:tc>
        <w:tc>
          <w:tcPr>
            <w:tcW w:w="20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1,315</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equity</w:t>
            </w:r>
          </w:p>
        </w:tc>
        <w:tc>
          <w:tcPr>
            <w:tcW w:w="20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106,640</w:t>
            </w:r>
          </w:p>
        </w:tc>
        <w:tc>
          <w:tcPr>
            <w:tcW w:w="2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114,556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liabilities and equity</w:t>
            </w:r>
          </w:p>
        </w:tc>
        <w:tc>
          <w:tcPr>
            <w:tcW w:w="20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207,258</w:t>
            </w:r>
          </w:p>
        </w:tc>
        <w:tc>
          <w:tcPr>
            <w:tcW w:w="2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321,516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27"/>
        </w:trPr>
        <w:tc>
          <w:tcPr>
            <w:tcW w:w="5820" w:type="dxa"/>
            <w:vAlign w:val="bottom"/>
            <w:gridSpan w:val="2"/>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5820" w:type="dxa"/>
            <w:vAlign w:val="bottom"/>
            <w:gridSpan w:val="2"/>
          </w:tcPr>
          <w:p>
            <w:pPr>
              <w:spacing w:after="0"/>
              <w:rPr>
                <w:sz w:val="20"/>
                <w:szCs w:val="20"/>
                <w:color w:val="auto"/>
              </w:rPr>
            </w:pPr>
            <w:r>
              <w:rPr>
                <w:rFonts w:ascii="Arial" w:cs="Arial" w:eastAsia="Arial" w:hAnsi="Arial"/>
                <w:sz w:val="17"/>
                <w:szCs w:val="17"/>
                <w:b w:val="1"/>
                <w:bCs w:val="1"/>
                <w:color w:val="auto"/>
              </w:rPr>
              <w:t>CONSOLIDATED STATEMENTS OF COMPREHENSIVE LOSS</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20" w:type="dxa"/>
            <w:vAlign w:val="bottom"/>
            <w:gridSpan w:val="2"/>
          </w:tcPr>
          <w:p>
            <w:pPr>
              <w:spacing w:after="0"/>
              <w:rPr>
                <w:sz w:val="20"/>
                <w:szCs w:val="20"/>
                <w:color w:val="auto"/>
              </w:rPr>
            </w:pPr>
            <w:r>
              <w:rPr>
                <w:rFonts w:ascii="Arial" w:cs="Arial" w:eastAsia="Arial" w:hAnsi="Arial"/>
                <w:sz w:val="17"/>
                <w:szCs w:val="17"/>
                <w:b w:val="1"/>
                <w:bCs w:val="1"/>
                <w:color w:val="auto"/>
              </w:rPr>
              <w:t>FOR THE YEARS ENDED DECEMBER 31, 2017, 2018 AND 2019</w:t>
            </w: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(US$’000, except share data and per share data, or otherwise noted)</w:t>
            </w: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20" w:type="dxa"/>
            <w:vAlign w:val="bottom"/>
            <w:gridSpan w:val="6"/>
          </w:tcPr>
          <w:p>
            <w:pPr>
              <w:jc w:val="right"/>
              <w:ind w:right="880"/>
              <w:spacing w:after="0"/>
              <w:rPr>
                <w:sz w:val="20"/>
                <w:szCs w:val="20"/>
                <w:color w:val="auto"/>
              </w:rPr>
            </w:pPr>
            <w:r>
              <w:rPr>
                <w:rFonts w:ascii="Arial" w:cs="Arial" w:eastAsia="Arial" w:hAnsi="Arial"/>
                <w:sz w:val="17"/>
                <w:szCs w:val="17"/>
                <w:color w:val="auto"/>
              </w:rPr>
              <w:t>For the years ended 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400" w:type="dxa"/>
            <w:vAlign w:val="bottom"/>
          </w:tcPr>
          <w:p>
            <w:pPr>
              <w:jc w:val="right"/>
              <w:ind w:right="153"/>
              <w:spacing w:after="0"/>
              <w:rPr>
                <w:sz w:val="20"/>
                <w:szCs w:val="20"/>
                <w:color w:val="auto"/>
              </w:rPr>
            </w:pPr>
            <w:r>
              <w:rPr>
                <w:rFonts w:ascii="Arial" w:cs="Arial" w:eastAsia="Arial" w:hAnsi="Arial"/>
                <w:sz w:val="17"/>
                <w:szCs w:val="17"/>
                <w:color w:val="auto"/>
              </w:rPr>
              <w:t>Note</w:t>
            </w:r>
          </w:p>
        </w:tc>
        <w:tc>
          <w:tcPr>
            <w:tcW w:w="1140" w:type="dxa"/>
            <w:vAlign w:val="bottom"/>
          </w:tcPr>
          <w:p>
            <w:pPr>
              <w:jc w:val="right"/>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5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revenues</w:t>
            </w:r>
          </w:p>
        </w:tc>
        <w:tc>
          <w:tcPr>
            <w:tcW w:w="1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125,258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160,017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199,408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Cost of revenues</w:t>
            </w:r>
          </w:p>
        </w:tc>
        <w:tc>
          <w:tcPr>
            <w:tcW w:w="1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(95,733)</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(120,897)</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(142,703)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Gross profit</w:t>
            </w:r>
          </w:p>
        </w:tc>
        <w:tc>
          <w:tcPr>
            <w:tcW w:w="14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29,525</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39,120</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56,705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expenses</w:t>
            </w:r>
          </w:p>
        </w:tc>
        <w:tc>
          <w:tcPr>
            <w:tcW w:w="1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(5,778)</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(10,737)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(5,574)</w:t>
            </w: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Sales and marketing expenses</w:t>
            </w:r>
          </w:p>
        </w:tc>
        <w:tc>
          <w:tcPr>
            <w:tcW w:w="1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(25,935)</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(32,080)</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(42,968)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 expenses</w:t>
            </w:r>
          </w:p>
        </w:tc>
        <w:tc>
          <w:tcPr>
            <w:tcW w:w="1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(12,983)</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(23,757)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(20,304)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operating expenses</w:t>
            </w:r>
          </w:p>
        </w:tc>
        <w:tc>
          <w:tcPr>
            <w:tcW w:w="1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2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(44,696)</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(66,574)</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(68,846)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Operating loss</w:t>
            </w:r>
          </w:p>
        </w:tc>
        <w:tc>
          <w:tcPr>
            <w:tcW w:w="14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(15,171)</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(27,454)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(12,141)</w:t>
            </w: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(551)</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(773)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(1,915)</w:t>
            </w: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Other gains, net</w:t>
            </w:r>
          </w:p>
        </w:tc>
        <w:tc>
          <w:tcPr>
            <w:tcW w:w="1400" w:type="dxa"/>
            <w:vAlign w:val="bottom"/>
          </w:tcPr>
          <w:p>
            <w:pPr>
              <w:jc w:val="right"/>
              <w:ind w:right="153"/>
              <w:spacing w:after="0"/>
              <w:rPr>
                <w:sz w:val="20"/>
                <w:szCs w:val="20"/>
                <w:color w:val="auto"/>
              </w:rPr>
            </w:pPr>
            <w:r>
              <w:rPr>
                <w:rFonts w:ascii="Arial" w:cs="Arial" w:eastAsia="Arial" w:hAnsi="Arial"/>
                <w:sz w:val="17"/>
                <w:szCs w:val="17"/>
                <w:color w:val="auto"/>
              </w:rPr>
              <w:t>24</w:t>
            </w:r>
          </w:p>
        </w:tc>
        <w:tc>
          <w:tcPr>
            <w:tcW w:w="1140" w:type="dxa"/>
            <w:vAlign w:val="bottom"/>
          </w:tcPr>
          <w:p>
            <w:pPr>
              <w:jc w:val="right"/>
              <w:spacing w:after="0"/>
              <w:rPr>
                <w:sz w:val="20"/>
                <w:szCs w:val="20"/>
                <w:color w:val="auto"/>
              </w:rPr>
            </w:pPr>
            <w:r>
              <w:rPr>
                <w:rFonts w:ascii="Arial" w:cs="Arial" w:eastAsia="Arial" w:hAnsi="Arial"/>
                <w:sz w:val="17"/>
                <w:szCs w:val="17"/>
                <w:color w:val="auto"/>
              </w:rPr>
              <w:t>1,841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Fair value losses on derivative liabilities</w:t>
            </w:r>
          </w:p>
        </w:tc>
        <w:tc>
          <w:tcPr>
            <w:tcW w:w="140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rPr>
              <w:t>19</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(10,190)</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Fair value (losses)/gains on convertible notes</w:t>
            </w:r>
          </w:p>
        </w:tc>
        <w:tc>
          <w:tcPr>
            <w:tcW w:w="1400" w:type="dxa"/>
            <w:vAlign w:val="bottom"/>
          </w:tcPr>
          <w:p>
            <w:pPr>
              <w:jc w:val="right"/>
              <w:ind w:right="153"/>
              <w:spacing w:after="0"/>
              <w:rPr>
                <w:sz w:val="20"/>
                <w:szCs w:val="20"/>
                <w:color w:val="auto"/>
              </w:rPr>
            </w:pPr>
            <w:r>
              <w:rPr>
                <w:rFonts w:ascii="Arial" w:cs="Arial" w:eastAsia="Arial" w:hAnsi="Arial"/>
                <w:sz w:val="17"/>
                <w:szCs w:val="17"/>
                <w:color w:val="auto"/>
              </w:rPr>
              <w:t>18</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(4,837)</w:t>
            </w:r>
          </w:p>
        </w:tc>
        <w:tc>
          <w:tcPr>
            <w:tcW w:w="116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Loss before income tax expense</w:t>
            </w:r>
          </w:p>
        </w:tc>
        <w:tc>
          <w:tcPr>
            <w:tcW w:w="14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(24,071)</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(31,956)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(10,394)</w:t>
            </w: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Share of loss from an equity investee</w:t>
            </w:r>
          </w:p>
        </w:tc>
        <w:tc>
          <w:tcPr>
            <w:tcW w:w="1400" w:type="dxa"/>
            <w:vAlign w:val="bottom"/>
          </w:tcPr>
          <w:p>
            <w:pPr>
              <w:jc w:val="right"/>
              <w:ind w:right="153"/>
              <w:spacing w:after="0"/>
              <w:rPr>
                <w:sz w:val="20"/>
                <w:szCs w:val="20"/>
                <w:color w:val="auto"/>
              </w:rPr>
            </w:pPr>
            <w:r>
              <w:rPr>
                <w:rFonts w:ascii="Arial" w:cs="Arial" w:eastAsia="Arial" w:hAnsi="Arial"/>
                <w:sz w:val="17"/>
                <w:szCs w:val="17"/>
                <w:color w:val="auto"/>
              </w:rPr>
              <w:t>7(a)</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w:t>
            </w:r>
          </w:p>
        </w:tc>
        <w:tc>
          <w:tcPr>
            <w:tcW w:w="140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rPr>
              <w:t>25</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(548)</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(655)</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loss</w:t>
            </w:r>
          </w:p>
        </w:tc>
        <w:tc>
          <w:tcPr>
            <w:tcW w:w="1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2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(24,619)</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(32,611)</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(10,849)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Net loss attributable to non-controlling interests</w:t>
            </w:r>
          </w:p>
        </w:tc>
        <w:tc>
          <w:tcPr>
            <w:tcW w:w="14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202</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20" w:type="dxa"/>
            <w:vAlign w:val="bottom"/>
            <w:gridSpan w:val="2"/>
          </w:tcPr>
          <w:p>
            <w:pPr>
              <w:spacing w:after="0"/>
              <w:rPr>
                <w:sz w:val="20"/>
                <w:szCs w:val="20"/>
                <w:color w:val="auto"/>
              </w:rPr>
            </w:pPr>
            <w:r>
              <w:rPr>
                <w:rFonts w:ascii="Arial" w:cs="Arial" w:eastAsia="Arial" w:hAnsi="Arial"/>
                <w:sz w:val="17"/>
                <w:szCs w:val="17"/>
                <w:color w:val="auto"/>
              </w:rPr>
              <w:t>Net loss attributable to iClick Interactive Asia Group</w:t>
            </w: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tcPr>
          <w:p>
            <w:pPr>
              <w:ind w:left="120"/>
              <w:spacing w:after="0"/>
              <w:rPr>
                <w:sz w:val="20"/>
                <w:szCs w:val="20"/>
                <w:color w:val="auto"/>
              </w:rPr>
            </w:pPr>
            <w:r>
              <w:rPr>
                <w:rFonts w:ascii="Arial" w:cs="Arial" w:eastAsia="Arial" w:hAnsi="Arial"/>
                <w:sz w:val="17"/>
                <w:szCs w:val="17"/>
                <w:color w:val="auto"/>
              </w:rPr>
              <w:t>Limited</w:t>
            </w:r>
          </w:p>
        </w:tc>
        <w:tc>
          <w:tcPr>
            <w:tcW w:w="1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(24,619)</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(32,409)</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(9,603)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Accretion to convertible redeemable preferred shares</w:t>
            </w:r>
          </w:p>
        </w:tc>
        <w:tc>
          <w:tcPr>
            <w:tcW w:w="1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redemption value</w:t>
            </w:r>
          </w:p>
        </w:tc>
        <w:tc>
          <w:tcPr>
            <w:tcW w:w="1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(1,662)</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Accretion to redeemable ordinary shares redemption value</w:t>
            </w:r>
          </w:p>
        </w:tc>
        <w:tc>
          <w:tcPr>
            <w:tcW w:w="1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(3,650)</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Net loss attributable to iClick Interactive Asia Group</w:t>
            </w:r>
          </w:p>
        </w:tc>
        <w:tc>
          <w:tcPr>
            <w:tcW w:w="14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Limited’s ordinary shareholders</w:t>
            </w:r>
          </w:p>
        </w:tc>
        <w:tc>
          <w:tcPr>
            <w:tcW w:w="1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(29,931)</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(32,409)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(9,603)</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7"/>
                <w:szCs w:val="17"/>
                <w:color w:val="auto"/>
              </w:rPr>
              <w:t>Net loss</w:t>
            </w:r>
          </w:p>
        </w:tc>
        <w:tc>
          <w:tcPr>
            <w:tcW w:w="1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2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(24,619)</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(32,611)</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(10,849)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w:t>
            </w:r>
          </w:p>
        </w:tc>
        <w:tc>
          <w:tcPr>
            <w:tcW w:w="1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Foreign currency translation adjustment, net of US$nil tax</w:t>
            </w:r>
          </w:p>
        </w:tc>
        <w:tc>
          <w:tcPr>
            <w:tcW w:w="1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(79)</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(2,547)</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Comprehensive loss</w:t>
            </w:r>
          </w:p>
        </w:tc>
        <w:tc>
          <w:tcPr>
            <w:tcW w:w="14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80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(24,698)</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(35,158)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(12,549)</w:t>
            </w:r>
          </w:p>
        </w:tc>
        <w:tc>
          <w:tcPr>
            <w:tcW w:w="0" w:type="dxa"/>
            <w:vAlign w:val="bottom"/>
          </w:tcPr>
          <w:p>
            <w:pPr>
              <w:spacing w:after="0"/>
              <w:rPr>
                <w:sz w:val="1"/>
                <w:szCs w:val="1"/>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7"/>
                <w:szCs w:val="17"/>
                <w:color w:val="auto"/>
              </w:rPr>
              <w:t>Comprehensive loss attributable to non-controlling interests</w:t>
            </w:r>
          </w:p>
        </w:tc>
        <w:tc>
          <w:tcPr>
            <w:tcW w:w="1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Comprehensive loss attributable to iClick Interactive</w:t>
            </w:r>
          </w:p>
        </w:tc>
        <w:tc>
          <w:tcPr>
            <w:tcW w:w="14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Asia Group Limited</w:t>
            </w:r>
          </w:p>
        </w:tc>
        <w:tc>
          <w:tcPr>
            <w:tcW w:w="1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(24,698)</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(34,956)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loss per share attributable to iClick Interactive Asia</w:t>
            </w:r>
          </w:p>
        </w:tc>
        <w:tc>
          <w:tcPr>
            <w:tcW w:w="1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2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tcPr>
          <w:p>
            <w:pPr>
              <w:ind w:left="120"/>
              <w:spacing w:after="0"/>
              <w:rPr>
                <w:sz w:val="20"/>
                <w:szCs w:val="20"/>
                <w:color w:val="auto"/>
              </w:rPr>
            </w:pPr>
            <w:r>
              <w:rPr>
                <w:rFonts w:ascii="Arial" w:cs="Arial" w:eastAsia="Arial" w:hAnsi="Arial"/>
                <w:sz w:val="17"/>
                <w:szCs w:val="17"/>
                <w:b w:val="1"/>
                <w:bCs w:val="1"/>
                <w:color w:val="auto"/>
              </w:rPr>
              <w:t>Group Limited</w:t>
            </w: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 Basic</w:t>
            </w:r>
          </w:p>
        </w:tc>
        <w:tc>
          <w:tcPr>
            <w:tcW w:w="140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rPr>
              <w:t>26</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(2.15)</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tcPr>
          <w:p>
            <w:pPr>
              <w:ind w:left="220"/>
              <w:spacing w:after="0"/>
              <w:rPr>
                <w:sz w:val="20"/>
                <w:szCs w:val="20"/>
                <w:color w:val="auto"/>
              </w:rPr>
            </w:pPr>
            <w:r>
              <w:rPr>
                <w:rFonts w:ascii="Arial" w:cs="Arial" w:eastAsia="Arial" w:hAnsi="Arial"/>
                <w:sz w:val="17"/>
                <w:szCs w:val="17"/>
                <w:color w:val="auto"/>
              </w:rPr>
              <w:t>- Diluted</w:t>
            </w:r>
          </w:p>
        </w:tc>
        <w:tc>
          <w:tcPr>
            <w:tcW w:w="1400" w:type="dxa"/>
            <w:vAlign w:val="bottom"/>
          </w:tcPr>
          <w:p>
            <w:pPr>
              <w:jc w:val="right"/>
              <w:ind w:right="153"/>
              <w:spacing w:after="0"/>
              <w:rPr>
                <w:sz w:val="20"/>
                <w:szCs w:val="20"/>
                <w:color w:val="auto"/>
              </w:rPr>
            </w:pPr>
            <w:r>
              <w:rPr>
                <w:rFonts w:ascii="Arial" w:cs="Arial" w:eastAsia="Arial" w:hAnsi="Arial"/>
                <w:sz w:val="17"/>
                <w:szCs w:val="17"/>
                <w:color w:val="auto"/>
              </w:rPr>
              <w:t>26</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(2.15)</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(1.23)</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Weighted average number of ordinary shares used in per</w:t>
            </w:r>
          </w:p>
        </w:tc>
        <w:tc>
          <w:tcPr>
            <w:tcW w:w="14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share calculation:</w:t>
            </w:r>
          </w:p>
        </w:tc>
        <w:tc>
          <w:tcPr>
            <w:tcW w:w="1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tcPr>
          <w:p>
            <w:pPr>
              <w:ind w:left="220"/>
              <w:spacing w:after="0"/>
              <w:rPr>
                <w:sz w:val="20"/>
                <w:szCs w:val="20"/>
                <w:color w:val="auto"/>
              </w:rPr>
            </w:pPr>
            <w:r>
              <w:rPr>
                <w:rFonts w:ascii="Arial" w:cs="Arial" w:eastAsia="Arial" w:hAnsi="Arial"/>
                <w:sz w:val="17"/>
                <w:szCs w:val="17"/>
                <w:color w:val="auto"/>
              </w:rPr>
              <w:t>- Basic</w:t>
            </w:r>
          </w:p>
        </w:tc>
        <w:tc>
          <w:tcPr>
            <w:tcW w:w="1400" w:type="dxa"/>
            <w:vAlign w:val="bottom"/>
          </w:tcPr>
          <w:p>
            <w:pPr>
              <w:jc w:val="right"/>
              <w:ind w:right="153"/>
              <w:spacing w:after="0"/>
              <w:rPr>
                <w:sz w:val="20"/>
                <w:szCs w:val="20"/>
                <w:color w:val="auto"/>
              </w:rPr>
            </w:pPr>
            <w:r>
              <w:rPr>
                <w:rFonts w:ascii="Arial" w:cs="Arial" w:eastAsia="Arial" w:hAnsi="Arial"/>
                <w:sz w:val="17"/>
                <w:szCs w:val="17"/>
                <w:color w:val="auto"/>
              </w:rPr>
              <w:t>26</w:t>
            </w:r>
          </w:p>
        </w:tc>
        <w:tc>
          <w:tcPr>
            <w:tcW w:w="1140" w:type="dxa"/>
            <w:vAlign w:val="bottom"/>
          </w:tcPr>
          <w:p>
            <w:pPr>
              <w:jc w:val="right"/>
              <w:spacing w:after="0"/>
              <w:rPr>
                <w:sz w:val="20"/>
                <w:szCs w:val="20"/>
                <w:color w:val="auto"/>
              </w:rPr>
            </w:pPr>
            <w:r>
              <w:rPr>
                <w:rFonts w:ascii="Arial" w:cs="Arial" w:eastAsia="Arial" w:hAnsi="Arial"/>
                <w:sz w:val="17"/>
                <w:szCs w:val="17"/>
                <w:color w:val="auto"/>
              </w:rPr>
              <w:t>13,931,503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26,452,409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28,583,548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 Diluted</w:t>
            </w:r>
          </w:p>
        </w:tc>
        <w:tc>
          <w:tcPr>
            <w:tcW w:w="1400" w:type="dxa"/>
            <w:vAlign w:val="bottom"/>
            <w:tcBorders>
              <w:bottom w:val="single" w:sz="8" w:color="CFF0FC"/>
            </w:tcBorders>
            <w:shd w:val="clear" w:color="auto" w:fill="CFF0FC"/>
          </w:tcPr>
          <w:p>
            <w:pPr>
              <w:jc w:val="right"/>
              <w:ind w:right="153"/>
              <w:spacing w:after="0"/>
              <w:rPr>
                <w:sz w:val="20"/>
                <w:szCs w:val="20"/>
                <w:color w:val="auto"/>
              </w:rPr>
            </w:pPr>
            <w:r>
              <w:rPr>
                <w:rFonts w:ascii="Arial" w:cs="Arial" w:eastAsia="Arial" w:hAnsi="Arial"/>
                <w:sz w:val="17"/>
                <w:szCs w:val="17"/>
                <w:color w:val="auto"/>
              </w:rPr>
              <w:t>26</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13,931,503</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26,452,409</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28,583,548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CHANGES IN SHAREHOLDERS’ (DEFICIT)/EQUITY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2018 AND 2019</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60" w:type="dxa"/>
            <w:vAlign w:val="bottom"/>
          </w:tcPr>
          <w:p>
            <w:pPr>
              <w:spacing w:after="0"/>
              <w:rPr>
                <w:sz w:val="19"/>
                <w:szCs w:val="19"/>
                <w:color w:val="auto"/>
              </w:rPr>
            </w:pPr>
          </w:p>
        </w:tc>
        <w:tc>
          <w:tcPr>
            <w:tcW w:w="1880" w:type="dxa"/>
            <w:vAlign w:val="bottom"/>
            <w:gridSpan w:val="4"/>
          </w:tcPr>
          <w:p>
            <w:pPr>
              <w:ind w:left="280"/>
              <w:spacing w:after="0"/>
              <w:rPr>
                <w:sz w:val="20"/>
                <w:szCs w:val="20"/>
                <w:color w:val="auto"/>
              </w:rPr>
            </w:pPr>
            <w:r>
              <w:rPr>
                <w:rFonts w:ascii="Arial" w:cs="Arial" w:eastAsia="Arial" w:hAnsi="Arial"/>
                <w:sz w:val="17"/>
                <w:szCs w:val="17"/>
                <w:color w:val="auto"/>
              </w:rPr>
              <w:t>Ordinary shares</w:t>
            </w:r>
          </w:p>
        </w:tc>
        <w:tc>
          <w:tcPr>
            <w:tcW w:w="1820" w:type="dxa"/>
            <w:vAlign w:val="bottom"/>
            <w:gridSpan w:val="4"/>
          </w:tcPr>
          <w:p>
            <w:pPr>
              <w:jc w:val="right"/>
              <w:ind w:right="480"/>
              <w:spacing w:after="0"/>
              <w:rPr>
                <w:sz w:val="20"/>
                <w:szCs w:val="20"/>
                <w:color w:val="auto"/>
              </w:rPr>
            </w:pPr>
            <w:r>
              <w:rPr>
                <w:rFonts w:ascii="Arial" w:cs="Arial" w:eastAsia="Arial" w:hAnsi="Arial"/>
                <w:sz w:val="17"/>
                <w:szCs w:val="17"/>
                <w:color w:val="auto"/>
              </w:rPr>
              <w:t>Treasury shares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2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Accumulated</w:t>
            </w:r>
          </w:p>
        </w:tc>
        <w:tc>
          <w:tcPr>
            <w:tcW w:w="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Total</w:t>
            </w:r>
          </w:p>
        </w:tc>
      </w:tr>
      <w:tr>
        <w:trPr>
          <w:trHeight w:val="208"/>
        </w:trPr>
        <w:tc>
          <w:tcPr>
            <w:tcW w:w="2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Additional</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other</w:t>
            </w:r>
          </w:p>
        </w:tc>
        <w:tc>
          <w:tcPr>
            <w:tcW w:w="1080" w:type="dxa"/>
            <w:vAlign w:val="bottom"/>
            <w:gridSpan w:val="3"/>
          </w:tcPr>
          <w:p>
            <w:pPr>
              <w:jc w:val="right"/>
              <w:ind w:right="80"/>
              <w:spacing w:after="0"/>
              <w:rPr>
                <w:sz w:val="20"/>
                <w:szCs w:val="20"/>
                <w:color w:val="auto"/>
              </w:rPr>
            </w:pPr>
            <w:r>
              <w:rPr>
                <w:rFonts w:ascii="Arial" w:cs="Arial" w:eastAsia="Arial" w:hAnsi="Arial"/>
                <w:sz w:val="17"/>
                <w:szCs w:val="17"/>
                <w:color w:val="auto"/>
                <w:w w:val="96"/>
              </w:rPr>
              <w:t>shareholders’</w:t>
            </w:r>
          </w:p>
        </w:tc>
      </w:tr>
      <w:tr>
        <w:trPr>
          <w:trHeight w:val="208"/>
        </w:trPr>
        <w:tc>
          <w:tcPr>
            <w:tcW w:w="2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Number of</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w w:val="95"/>
              </w:rPr>
              <w:t>Number of</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paid-in</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Accumulated</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Statutory</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w w:val="90"/>
              </w:rPr>
              <w:t>comprehensive</w:t>
            </w:r>
          </w:p>
        </w:tc>
        <w:tc>
          <w:tcPr>
            <w:tcW w:w="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(deficit)/</w:t>
            </w:r>
          </w:p>
        </w:tc>
      </w:tr>
      <w:tr>
        <w:trPr>
          <w:trHeight w:val="221"/>
        </w:trPr>
        <w:tc>
          <w:tcPr>
            <w:tcW w:w="2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shares</w:t>
            </w:r>
          </w:p>
        </w:tc>
        <w:tc>
          <w:tcPr>
            <w:tcW w:w="820" w:type="dxa"/>
            <w:vAlign w:val="bottom"/>
            <w:gridSpan w:val="2"/>
          </w:tcPr>
          <w:p>
            <w:pPr>
              <w:ind w:left="40"/>
              <w:spacing w:after="0"/>
              <w:rPr>
                <w:sz w:val="20"/>
                <w:szCs w:val="20"/>
                <w:color w:val="auto"/>
              </w:rPr>
            </w:pPr>
            <w:r>
              <w:rPr>
                <w:rFonts w:ascii="Arial" w:cs="Arial" w:eastAsia="Arial" w:hAnsi="Arial"/>
                <w:sz w:val="17"/>
                <w:szCs w:val="17"/>
                <w:color w:val="auto"/>
              </w:rPr>
              <w:t>Amount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shares</w:t>
            </w: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w w:val="98"/>
              </w:rPr>
              <w:t>Amount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capital</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deficit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reserves</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losses</w:t>
            </w:r>
          </w:p>
        </w:tc>
        <w:tc>
          <w:tcPr>
            <w:tcW w:w="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equity</w:t>
            </w:r>
          </w:p>
        </w:tc>
      </w:tr>
      <w:tr>
        <w:trPr>
          <w:trHeight w:val="203"/>
        </w:trPr>
        <w:tc>
          <w:tcPr>
            <w:tcW w:w="2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7"/>
        </w:trPr>
        <w:tc>
          <w:tcPr>
            <w:tcW w:w="2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2016</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13,609,208</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2,149,280</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(2,468)</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65,687</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(124,385)</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(3,241)</w:t>
            </w: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(64,312)</w:t>
            </w:r>
          </w:p>
        </w:tc>
      </w:tr>
      <w:tr>
        <w:trPr>
          <w:trHeight w:val="209"/>
        </w:trPr>
        <w:tc>
          <w:tcPr>
            <w:tcW w:w="2360" w:type="dxa"/>
            <w:vAlign w:val="bottom"/>
          </w:tcPr>
          <w:p>
            <w:pPr>
              <w:spacing w:after="0"/>
              <w:rPr>
                <w:sz w:val="20"/>
                <w:szCs w:val="20"/>
                <w:color w:val="auto"/>
              </w:rPr>
            </w:pPr>
            <w:r>
              <w:rPr>
                <w:rFonts w:ascii="Arial" w:cs="Arial" w:eastAsia="Arial" w:hAnsi="Arial"/>
                <w:sz w:val="17"/>
                <w:szCs w:val="17"/>
                <w:color w:val="auto"/>
              </w:rPr>
              <w:t>Reissuance of treasury shares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360" w:type="dxa"/>
            <w:vAlign w:val="bottom"/>
          </w:tcPr>
          <w:p>
            <w:pPr>
              <w:spacing w:after="0"/>
              <w:rPr>
                <w:sz w:val="20"/>
                <w:szCs w:val="20"/>
                <w:color w:val="auto"/>
              </w:rPr>
            </w:pPr>
            <w:r>
              <w:rPr>
                <w:rFonts w:ascii="Arial" w:cs="Arial" w:eastAsia="Arial" w:hAnsi="Arial"/>
                <w:sz w:val="17"/>
                <w:szCs w:val="17"/>
                <w:color w:val="auto"/>
              </w:rPr>
              <w:t>upon exercise of</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2360" w:type="dxa"/>
            <w:vAlign w:val="bottom"/>
          </w:tcPr>
          <w:p>
            <w:pPr>
              <w:ind w:left="140"/>
              <w:spacing w:after="0"/>
              <w:rPr>
                <w:sz w:val="20"/>
                <w:szCs w:val="20"/>
                <w:color w:val="auto"/>
              </w:rPr>
            </w:pPr>
            <w:r>
              <w:rPr>
                <w:rFonts w:ascii="Arial" w:cs="Arial" w:eastAsia="Arial" w:hAnsi="Arial"/>
                <w:sz w:val="17"/>
                <w:szCs w:val="17"/>
                <w:color w:val="auto"/>
              </w:rPr>
              <w:t>employee share options</w:t>
            </w:r>
          </w:p>
        </w:tc>
        <w:tc>
          <w:tcPr>
            <w:tcW w:w="880" w:type="dxa"/>
            <w:vAlign w:val="bottom"/>
          </w:tcPr>
          <w:p>
            <w:pPr>
              <w:jc w:val="right"/>
              <w:spacing w:after="0"/>
              <w:rPr>
                <w:sz w:val="20"/>
                <w:szCs w:val="20"/>
                <w:color w:val="auto"/>
              </w:rPr>
            </w:pPr>
            <w:r>
              <w:rPr>
                <w:rFonts w:ascii="Arial" w:cs="Arial" w:eastAsia="Arial" w:hAnsi="Arial"/>
                <w:sz w:val="17"/>
                <w:szCs w:val="17"/>
                <w:color w:val="auto"/>
              </w:rPr>
              <w:t>25,898</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(25,898)</w:t>
            </w:r>
          </w:p>
        </w:tc>
        <w:tc>
          <w:tcPr>
            <w:tcW w:w="620" w:type="dxa"/>
            <w:vAlign w:val="bottom"/>
          </w:tcPr>
          <w:p>
            <w:pPr>
              <w:jc w:val="right"/>
              <w:spacing w:after="0"/>
              <w:rPr>
                <w:sz w:val="20"/>
                <w:szCs w:val="20"/>
                <w:color w:val="auto"/>
              </w:rPr>
            </w:pPr>
            <w:r>
              <w:rPr>
                <w:rFonts w:ascii="Arial" w:cs="Arial" w:eastAsia="Arial" w:hAnsi="Arial"/>
                <w:sz w:val="17"/>
                <w:szCs w:val="17"/>
                <w:color w:val="auto"/>
              </w:rPr>
              <w:t>375</w:t>
            </w: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(315)</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9"/>
                <w:szCs w:val="19"/>
                <w:color w:val="auto"/>
              </w:rPr>
            </w:pPr>
          </w:p>
        </w:tc>
      </w:tr>
      <w:tr>
        <w:trPr>
          <w:trHeight w:val="209"/>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expenses</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5,072</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5,072</w:t>
            </w:r>
          </w:p>
        </w:tc>
        <w:tc>
          <w:tcPr>
            <w:tcW w:w="80" w:type="dxa"/>
            <w:vAlign w:val="bottom"/>
            <w:shd w:val="clear" w:color="auto" w:fill="CFF0FC"/>
          </w:tcPr>
          <w:p>
            <w:pPr>
              <w:spacing w:after="0"/>
              <w:rPr>
                <w:sz w:val="19"/>
                <w:szCs w:val="19"/>
                <w:color w:val="auto"/>
              </w:rPr>
            </w:pP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Preferred shares accretion</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(1,662)</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(1,662)</w:t>
            </w:r>
          </w:p>
        </w:tc>
      </w:tr>
      <w:tr>
        <w:trPr>
          <w:trHeight w:val="209"/>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Redeemable ordinary shares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accretion</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(3,650)</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(3,650)</w:t>
            </w:r>
          </w:p>
        </w:tc>
        <w:tc>
          <w:tcPr>
            <w:tcW w:w="80" w:type="dxa"/>
            <w:vAlign w:val="bottom"/>
            <w:shd w:val="clear" w:color="auto" w:fill="CFF0FC"/>
          </w:tcPr>
          <w:p>
            <w:pPr>
              <w:spacing w:after="0"/>
              <w:rPr>
                <w:sz w:val="19"/>
                <w:szCs w:val="19"/>
                <w:color w:val="auto"/>
              </w:rPr>
            </w:pPr>
          </w:p>
        </w:tc>
      </w:tr>
      <w:tr>
        <w:trPr>
          <w:trHeight w:val="209"/>
        </w:trPr>
        <w:tc>
          <w:tcPr>
            <w:tcW w:w="2360" w:type="dxa"/>
            <w:vAlign w:val="bottom"/>
          </w:tcPr>
          <w:p>
            <w:pPr>
              <w:spacing w:after="0"/>
              <w:rPr>
                <w:sz w:val="20"/>
                <w:szCs w:val="20"/>
                <w:color w:val="auto"/>
              </w:rPr>
            </w:pPr>
            <w:r>
              <w:rPr>
                <w:rFonts w:ascii="Arial" w:cs="Arial" w:eastAsia="Arial" w:hAnsi="Arial"/>
                <w:sz w:val="17"/>
                <w:szCs w:val="17"/>
                <w:color w:val="auto"/>
              </w:rPr>
              <w:t>Derecognition of derivative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liabilities</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71,074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71,074</w:t>
            </w:r>
          </w:p>
        </w:tc>
        <w:tc>
          <w:tcPr>
            <w:tcW w:w="80" w:type="dxa"/>
            <w:vAlign w:val="bottom"/>
          </w:tcPr>
          <w:p>
            <w:pPr>
              <w:spacing w:after="0"/>
              <w:rPr>
                <w:sz w:val="19"/>
                <w:szCs w:val="19"/>
                <w:color w:val="auto"/>
              </w:rPr>
            </w:pPr>
          </w:p>
        </w:tc>
      </w:tr>
      <w:tr>
        <w:trPr>
          <w:trHeight w:val="209"/>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Issuance of ordinary shares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upon Initial public</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23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offering (“IPO”)</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2,156,250</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28,403</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28,405</w:t>
            </w:r>
          </w:p>
        </w:tc>
        <w:tc>
          <w:tcPr>
            <w:tcW w:w="80" w:type="dxa"/>
            <w:vAlign w:val="bottom"/>
            <w:shd w:val="clear" w:color="auto" w:fill="CFF0FC"/>
          </w:tcPr>
          <w:p>
            <w:pPr>
              <w:spacing w:after="0"/>
              <w:rPr>
                <w:sz w:val="19"/>
                <w:szCs w:val="19"/>
                <w:color w:val="auto"/>
              </w:rPr>
            </w:pPr>
          </w:p>
        </w:tc>
      </w:tr>
      <w:tr>
        <w:trPr>
          <w:trHeight w:val="209"/>
        </w:trPr>
        <w:tc>
          <w:tcPr>
            <w:tcW w:w="2360" w:type="dxa"/>
            <w:vAlign w:val="bottom"/>
          </w:tcPr>
          <w:p>
            <w:pPr>
              <w:spacing w:after="0"/>
              <w:rPr>
                <w:sz w:val="20"/>
                <w:szCs w:val="20"/>
                <w:color w:val="auto"/>
              </w:rPr>
            </w:pPr>
            <w:r>
              <w:rPr>
                <w:rFonts w:ascii="Arial" w:cs="Arial" w:eastAsia="Arial" w:hAnsi="Arial"/>
                <w:sz w:val="17"/>
                <w:szCs w:val="17"/>
                <w:color w:val="auto"/>
                <w:w w:val="99"/>
              </w:rPr>
              <w:t>Conversion of preferred shares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360" w:type="dxa"/>
            <w:vAlign w:val="bottom"/>
          </w:tcPr>
          <w:p>
            <w:pPr>
              <w:spacing w:after="0"/>
              <w:rPr>
                <w:sz w:val="20"/>
                <w:szCs w:val="20"/>
                <w:color w:val="auto"/>
              </w:rPr>
            </w:pPr>
            <w:r>
              <w:rPr>
                <w:rFonts w:ascii="Arial" w:cs="Arial" w:eastAsia="Arial" w:hAnsi="Arial"/>
                <w:sz w:val="17"/>
                <w:szCs w:val="17"/>
                <w:color w:val="auto"/>
              </w:rPr>
              <w:t>to Class A</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2360" w:type="dxa"/>
            <w:vAlign w:val="bottom"/>
          </w:tcPr>
          <w:p>
            <w:pPr>
              <w:ind w:left="140"/>
              <w:spacing w:after="0"/>
              <w:rPr>
                <w:sz w:val="20"/>
                <w:szCs w:val="20"/>
                <w:color w:val="auto"/>
              </w:rPr>
            </w:pPr>
            <w:r>
              <w:rPr>
                <w:rFonts w:ascii="Arial" w:cs="Arial" w:eastAsia="Arial" w:hAnsi="Arial"/>
                <w:sz w:val="17"/>
                <w:szCs w:val="17"/>
                <w:color w:val="auto"/>
              </w:rPr>
              <w:t>ordinary shares</w:t>
            </w:r>
          </w:p>
        </w:tc>
        <w:tc>
          <w:tcPr>
            <w:tcW w:w="880" w:type="dxa"/>
            <w:vAlign w:val="bottom"/>
          </w:tcPr>
          <w:p>
            <w:pPr>
              <w:jc w:val="right"/>
              <w:spacing w:after="0"/>
              <w:rPr>
                <w:sz w:val="20"/>
                <w:szCs w:val="20"/>
                <w:color w:val="auto"/>
              </w:rPr>
            </w:pPr>
            <w:r>
              <w:rPr>
                <w:rFonts w:ascii="Arial" w:cs="Arial" w:eastAsia="Arial" w:hAnsi="Arial"/>
                <w:sz w:val="17"/>
                <w:szCs w:val="17"/>
                <w:color w:val="auto"/>
              </w:rPr>
              <w:t>10,268,077</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109,685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109,695</w:t>
            </w:r>
          </w:p>
        </w:tc>
        <w:tc>
          <w:tcPr>
            <w:tcW w:w="80" w:type="dxa"/>
            <w:vAlign w:val="bottom"/>
          </w:tcPr>
          <w:p>
            <w:pPr>
              <w:spacing w:after="0"/>
              <w:rPr>
                <w:sz w:val="19"/>
                <w:szCs w:val="19"/>
                <w:color w:val="auto"/>
              </w:rPr>
            </w:pPr>
          </w:p>
        </w:tc>
      </w:tr>
      <w:tr>
        <w:trPr>
          <w:trHeight w:val="221"/>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Net loss for the year</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(24,619)</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(24,619)</w:t>
            </w: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(79)</w:t>
            </w: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(79)</w:t>
            </w:r>
          </w:p>
        </w:tc>
      </w:tr>
      <w:tr>
        <w:trPr>
          <w:trHeight w:val="196"/>
        </w:trPr>
        <w:tc>
          <w:tcPr>
            <w:tcW w:w="2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w:t>
            </w:r>
          </w:p>
        </w:tc>
        <w:tc>
          <w:tcPr>
            <w:tcW w:w="8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7"/>
        </w:trPr>
        <w:tc>
          <w:tcPr>
            <w:tcW w:w="2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2017</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26,059,433</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2,123,382</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(2,093)</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274,294</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(149,004)</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119,984</w:t>
            </w:r>
          </w:p>
        </w:tc>
        <w:tc>
          <w:tcPr>
            <w:tcW w:w="80" w:type="dxa"/>
            <w:vAlign w:val="bottom"/>
            <w:shd w:val="clear" w:color="auto" w:fill="CFF0FC"/>
          </w:tcPr>
          <w:p>
            <w:pPr>
              <w:spacing w:after="0"/>
              <w:rPr>
                <w:sz w:val="19"/>
                <w:szCs w:val="19"/>
                <w:color w:val="auto"/>
              </w:rPr>
            </w:pPr>
          </w:p>
        </w:tc>
      </w:tr>
      <w:tr>
        <w:trPr>
          <w:trHeight w:val="20"/>
        </w:trPr>
        <w:tc>
          <w:tcPr>
            <w:tcW w:w="23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CHANGES IN SHAREHOLDERS’ (DEFICIT)/EQUITY (CONTINUED)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2018 AND 2019</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60" w:type="dxa"/>
            <w:vAlign w:val="bottom"/>
          </w:tcPr>
          <w:p>
            <w:pPr>
              <w:spacing w:after="0"/>
              <w:rPr>
                <w:sz w:val="19"/>
                <w:szCs w:val="19"/>
                <w:color w:val="auto"/>
              </w:rPr>
            </w:pPr>
          </w:p>
        </w:tc>
        <w:tc>
          <w:tcPr>
            <w:tcW w:w="1680" w:type="dxa"/>
            <w:vAlign w:val="bottom"/>
            <w:gridSpan w:val="4"/>
          </w:tcPr>
          <w:p>
            <w:pPr>
              <w:ind w:left="220"/>
              <w:spacing w:after="0"/>
              <w:rPr>
                <w:sz w:val="20"/>
                <w:szCs w:val="20"/>
                <w:color w:val="auto"/>
              </w:rPr>
            </w:pPr>
            <w:r>
              <w:rPr>
                <w:rFonts w:ascii="Arial" w:cs="Arial" w:eastAsia="Arial" w:hAnsi="Arial"/>
                <w:sz w:val="17"/>
                <w:szCs w:val="17"/>
                <w:color w:val="auto"/>
              </w:rPr>
              <w:t>Ordinary shares</w:t>
            </w:r>
          </w:p>
        </w:tc>
        <w:tc>
          <w:tcPr>
            <w:tcW w:w="1660" w:type="dxa"/>
            <w:vAlign w:val="bottom"/>
            <w:gridSpan w:val="4"/>
          </w:tcPr>
          <w:p>
            <w:pPr>
              <w:jc w:val="right"/>
              <w:ind w:right="360"/>
              <w:spacing w:after="0"/>
              <w:rPr>
                <w:sz w:val="20"/>
                <w:szCs w:val="20"/>
                <w:color w:val="auto"/>
              </w:rPr>
            </w:pPr>
            <w:r>
              <w:rPr>
                <w:rFonts w:ascii="Arial" w:cs="Arial" w:eastAsia="Arial" w:hAnsi="Arial"/>
                <w:sz w:val="17"/>
                <w:szCs w:val="17"/>
                <w:color w:val="auto"/>
              </w:rPr>
              <w:t>Treasury shares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Total iClick</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Interactive</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Accumulated</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Asia Group</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Number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Number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Additional</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other</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Limited</w:t>
            </w:r>
          </w:p>
        </w:tc>
        <w:tc>
          <w:tcPr>
            <w:tcW w:w="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Non-</w:t>
            </w:r>
          </w:p>
        </w:tc>
        <w:tc>
          <w:tcPr>
            <w:tcW w:w="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Total</w:t>
            </w:r>
          </w:p>
        </w:tc>
      </w:tr>
      <w:tr>
        <w:trPr>
          <w:trHeight w:val="208"/>
        </w:trPr>
        <w:tc>
          <w:tcPr>
            <w:tcW w:w="10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of</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of</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paid-in  Accumulated  Statutory</w:t>
            </w:r>
          </w:p>
        </w:tc>
        <w:tc>
          <w:tcPr>
            <w:tcW w:w="1320" w:type="dxa"/>
            <w:vAlign w:val="bottom"/>
            <w:gridSpan w:val="3"/>
          </w:tcPr>
          <w:p>
            <w:pPr>
              <w:jc w:val="right"/>
              <w:ind w:right="140"/>
              <w:spacing w:after="0"/>
              <w:rPr>
                <w:sz w:val="20"/>
                <w:szCs w:val="20"/>
                <w:color w:val="auto"/>
              </w:rPr>
            </w:pPr>
            <w:r>
              <w:rPr>
                <w:rFonts w:ascii="Arial" w:cs="Arial" w:eastAsia="Arial" w:hAnsi="Arial"/>
                <w:sz w:val="17"/>
                <w:szCs w:val="17"/>
                <w:color w:val="auto"/>
              </w:rPr>
              <w:t>comprehensive</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shareholders’</w:t>
            </w:r>
          </w:p>
        </w:tc>
        <w:tc>
          <w:tcPr>
            <w:tcW w:w="920" w:type="dxa"/>
            <w:vAlign w:val="bottom"/>
            <w:gridSpan w:val="3"/>
          </w:tcPr>
          <w:p>
            <w:pPr>
              <w:jc w:val="right"/>
              <w:ind w:right="120"/>
              <w:spacing w:after="0"/>
              <w:rPr>
                <w:sz w:val="20"/>
                <w:szCs w:val="20"/>
                <w:color w:val="auto"/>
              </w:rPr>
            </w:pPr>
            <w:r>
              <w:rPr>
                <w:rFonts w:ascii="Arial" w:cs="Arial" w:eastAsia="Arial" w:hAnsi="Arial"/>
                <w:sz w:val="17"/>
                <w:szCs w:val="17"/>
                <w:color w:val="auto"/>
              </w:rPr>
              <w:t>controlling</w:t>
            </w:r>
          </w:p>
        </w:tc>
        <w:tc>
          <w:tcPr>
            <w:tcW w:w="1040" w:type="dxa"/>
            <w:vAlign w:val="bottom"/>
            <w:gridSpan w:val="3"/>
          </w:tcPr>
          <w:p>
            <w:pPr>
              <w:jc w:val="right"/>
              <w:ind w:right="80"/>
              <w:spacing w:after="0"/>
              <w:rPr>
                <w:sz w:val="20"/>
                <w:szCs w:val="20"/>
                <w:color w:val="auto"/>
              </w:rPr>
            </w:pPr>
            <w:r>
              <w:rPr>
                <w:rFonts w:ascii="Arial" w:cs="Arial" w:eastAsia="Arial" w:hAnsi="Arial"/>
                <w:sz w:val="17"/>
                <w:szCs w:val="17"/>
                <w:color w:val="auto"/>
                <w:w w:val="92"/>
              </w:rPr>
              <w:t>shareholders’</w:t>
            </w:r>
          </w:p>
        </w:tc>
      </w:tr>
      <w:tr>
        <w:trPr>
          <w:trHeight w:val="221"/>
        </w:trPr>
        <w:tc>
          <w:tcPr>
            <w:tcW w:w="10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shares</w:t>
            </w:r>
          </w:p>
        </w:tc>
        <w:tc>
          <w:tcPr>
            <w:tcW w:w="700" w:type="dxa"/>
            <w:vAlign w:val="bottom"/>
            <w:gridSpan w:val="2"/>
          </w:tcPr>
          <w:p>
            <w:pPr>
              <w:spacing w:after="0"/>
              <w:rPr>
                <w:sz w:val="20"/>
                <w:szCs w:val="20"/>
                <w:color w:val="auto"/>
              </w:rPr>
            </w:pPr>
            <w:r>
              <w:rPr>
                <w:rFonts w:ascii="Arial" w:cs="Arial" w:eastAsia="Arial" w:hAnsi="Arial"/>
                <w:sz w:val="17"/>
                <w:szCs w:val="17"/>
                <w:color w:val="auto"/>
              </w:rPr>
              <w:t>Amount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shares</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Amount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capital</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deficit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reserves</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losses</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equity</w:t>
            </w:r>
          </w:p>
        </w:tc>
        <w:tc>
          <w:tcPr>
            <w:tcW w:w="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interests</w:t>
            </w:r>
          </w:p>
        </w:tc>
        <w:tc>
          <w:tcPr>
            <w:tcW w:w="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equity</w:t>
            </w:r>
          </w:p>
        </w:tc>
      </w:tr>
      <w:tr>
        <w:trPr>
          <w:trHeight w:val="203"/>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w w:val="94"/>
              </w:rPr>
              <w:t>Balance as of</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December</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7"/>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31, 2017</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26,059,433</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2,123,382</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(2,093)</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274,294</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(149,004)</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w:t>
            </w:r>
          </w:p>
        </w:tc>
        <w:tc>
          <w:tcPr>
            <w:tcW w:w="13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(3,320)</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119,984</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119,984</w:t>
            </w:r>
          </w:p>
        </w:tc>
        <w:tc>
          <w:tcPr>
            <w:tcW w:w="80" w:type="dxa"/>
            <w:vAlign w:val="bottom"/>
            <w:shd w:val="clear" w:color="auto" w:fill="CFF0FC"/>
          </w:tcPr>
          <w:p>
            <w:pPr>
              <w:spacing w:after="0"/>
              <w:rPr>
                <w:sz w:val="19"/>
                <w:szCs w:val="19"/>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7"/>
                <w:szCs w:val="17"/>
                <w:color w:val="auto"/>
                <w:w w:val="96"/>
              </w:rPr>
              <w:t>Reissuance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treasury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shares upon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ind w:left="140"/>
              <w:spacing w:after="0"/>
              <w:rPr>
                <w:sz w:val="20"/>
                <w:szCs w:val="20"/>
                <w:color w:val="auto"/>
              </w:rPr>
            </w:pPr>
            <w:r>
              <w:rPr>
                <w:rFonts w:ascii="Arial" w:cs="Arial" w:eastAsia="Arial" w:hAnsi="Arial"/>
                <w:sz w:val="17"/>
                <w:szCs w:val="17"/>
                <w:color w:val="auto"/>
              </w:rPr>
              <w:t>exercise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employee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share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ind w:left="140"/>
              <w:spacing w:after="0"/>
              <w:rPr>
                <w:sz w:val="20"/>
                <w:szCs w:val="20"/>
                <w:color w:val="auto"/>
              </w:rPr>
            </w:pPr>
            <w:r>
              <w:rPr>
                <w:rFonts w:ascii="Arial" w:cs="Arial" w:eastAsia="Arial" w:hAnsi="Arial"/>
                <w:sz w:val="17"/>
                <w:szCs w:val="17"/>
                <w:color w:val="auto"/>
              </w:rPr>
              <w:t>options and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vested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restricted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ind w:left="140"/>
              <w:spacing w:after="0"/>
              <w:rPr>
                <w:sz w:val="20"/>
                <w:szCs w:val="20"/>
                <w:color w:val="auto"/>
              </w:rPr>
            </w:pPr>
            <w:r>
              <w:rPr>
                <w:rFonts w:ascii="Arial" w:cs="Arial" w:eastAsia="Arial" w:hAnsi="Arial"/>
                <w:sz w:val="17"/>
                <w:szCs w:val="17"/>
                <w:color w:val="auto"/>
              </w:rPr>
              <w:t>share units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(“RSUs”)</w:t>
            </w:r>
          </w:p>
        </w:tc>
        <w:tc>
          <w:tcPr>
            <w:tcW w:w="860" w:type="dxa"/>
            <w:vAlign w:val="bottom"/>
          </w:tcPr>
          <w:p>
            <w:pPr>
              <w:jc w:val="right"/>
              <w:spacing w:after="0"/>
              <w:rPr>
                <w:sz w:val="20"/>
                <w:szCs w:val="20"/>
                <w:color w:val="auto"/>
              </w:rPr>
            </w:pPr>
            <w:r>
              <w:rPr>
                <w:rFonts w:ascii="Arial" w:cs="Arial" w:eastAsia="Arial" w:hAnsi="Arial"/>
                <w:sz w:val="17"/>
                <w:szCs w:val="17"/>
                <w:color w:val="auto"/>
              </w:rPr>
              <w:t>764,522</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(764,522)</w:t>
            </w:r>
          </w:p>
        </w:tc>
        <w:tc>
          <w:tcPr>
            <w:tcW w:w="580" w:type="dxa"/>
            <w:vAlign w:val="bottom"/>
          </w:tcPr>
          <w:p>
            <w:pPr>
              <w:jc w:val="right"/>
              <w:spacing w:after="0"/>
              <w:rPr>
                <w:sz w:val="20"/>
                <w:szCs w:val="20"/>
                <w:color w:val="auto"/>
              </w:rPr>
            </w:pPr>
            <w:r>
              <w:rPr>
                <w:rFonts w:ascii="Arial" w:cs="Arial" w:eastAsia="Arial" w:hAnsi="Arial"/>
                <w:sz w:val="17"/>
                <w:szCs w:val="17"/>
                <w:color w:val="auto"/>
              </w:rPr>
              <w:t>1,554</w:t>
            </w: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(900)</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655</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655</w:t>
            </w:r>
          </w:p>
        </w:tc>
        <w:tc>
          <w:tcPr>
            <w:tcW w:w="80" w:type="dxa"/>
            <w:vAlign w:val="bottom"/>
          </w:tcPr>
          <w:p>
            <w:pPr>
              <w:spacing w:after="0"/>
              <w:rPr>
                <w:sz w:val="19"/>
                <w:szCs w:val="19"/>
                <w:color w:val="auto"/>
              </w:rPr>
            </w:pPr>
          </w:p>
        </w:tc>
      </w:tr>
      <w:tr>
        <w:trPr>
          <w:trHeight w:val="209"/>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Share-based</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w w:val="98"/>
              </w:rPr>
              <w:t>compensation</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10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expenses</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19,679</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19,679</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19,679</w:t>
            </w:r>
          </w:p>
        </w:tc>
        <w:tc>
          <w:tcPr>
            <w:tcW w:w="80" w:type="dxa"/>
            <w:vAlign w:val="bottom"/>
            <w:shd w:val="clear" w:color="auto" w:fill="CFF0FC"/>
          </w:tcPr>
          <w:p>
            <w:pPr>
              <w:spacing w:after="0"/>
              <w:rPr>
                <w:sz w:val="19"/>
                <w:szCs w:val="19"/>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RSUs vested</w:t>
            </w:r>
          </w:p>
        </w:tc>
        <w:tc>
          <w:tcPr>
            <w:tcW w:w="860" w:type="dxa"/>
            <w:vAlign w:val="bottom"/>
          </w:tcPr>
          <w:p>
            <w:pPr>
              <w:jc w:val="right"/>
              <w:spacing w:after="0"/>
              <w:rPr>
                <w:sz w:val="20"/>
                <w:szCs w:val="20"/>
                <w:color w:val="auto"/>
              </w:rPr>
            </w:pPr>
            <w:r>
              <w:rPr>
                <w:rFonts w:ascii="Arial" w:cs="Arial" w:eastAsia="Arial" w:hAnsi="Arial"/>
                <w:sz w:val="17"/>
                <w:szCs w:val="17"/>
                <w:color w:val="auto"/>
              </w:rPr>
              <w:t>1,162,745</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09"/>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Business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combination</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(Note 4)</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1,517</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1,517</w:t>
            </w:r>
          </w:p>
        </w:tc>
        <w:tc>
          <w:tcPr>
            <w:tcW w:w="80" w:type="dxa"/>
            <w:vAlign w:val="bottom"/>
            <w:shd w:val="clear" w:color="auto" w:fill="CFF0FC"/>
          </w:tcPr>
          <w:p>
            <w:pPr>
              <w:spacing w:after="0"/>
              <w:rPr>
                <w:sz w:val="19"/>
                <w:szCs w:val="19"/>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7"/>
                <w:szCs w:val="17"/>
                <w:color w:val="auto"/>
              </w:rPr>
              <w:t>Repurchase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of ordinary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shares</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(37)</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7"/>
                <w:szCs w:val="17"/>
                <w:color w:val="auto"/>
              </w:rPr>
              <w:t>(37)</w:t>
            </w:r>
          </w:p>
        </w:tc>
      </w:tr>
      <w:tr>
        <w:trPr>
          <w:trHeight w:val="209"/>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Net loss for</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the year</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(32,409)</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(32,409)</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(202)</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(32,611)</w:t>
            </w:r>
          </w:p>
        </w:tc>
      </w:tr>
      <w:tr>
        <w:trPr>
          <w:trHeight w:val="209"/>
        </w:trPr>
        <w:tc>
          <w:tcPr>
            <w:tcW w:w="1060" w:type="dxa"/>
            <w:vAlign w:val="bottom"/>
          </w:tcPr>
          <w:p>
            <w:pPr>
              <w:spacing w:after="0"/>
              <w:rPr>
                <w:sz w:val="20"/>
                <w:szCs w:val="20"/>
                <w:color w:val="auto"/>
              </w:rPr>
            </w:pPr>
            <w:r>
              <w:rPr>
                <w:rFonts w:ascii="Arial" w:cs="Arial" w:eastAsia="Arial" w:hAnsi="Arial"/>
                <w:sz w:val="17"/>
                <w:szCs w:val="17"/>
                <w:color w:val="auto"/>
              </w:rPr>
              <w:t>Foreign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currency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translation</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7"/>
                <w:szCs w:val="17"/>
                <w:color w:val="auto"/>
              </w:rPr>
              <w:t>(2,547)</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(2,547)</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7"/>
                <w:szCs w:val="17"/>
                <w:color w:val="auto"/>
              </w:rPr>
              <w:t>(2,547)</w:t>
            </w:r>
          </w:p>
        </w:tc>
      </w:tr>
      <w:tr>
        <w:trPr>
          <w:trHeight w:val="196"/>
        </w:trPr>
        <w:tc>
          <w:tcPr>
            <w:tcW w:w="1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w w:val="94"/>
              </w:rPr>
              <w:t>Balance as of</w:t>
            </w: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December</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7"/>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31, 2018</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27,986,700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1,363,860</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(576)</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293,072</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(181,413)</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w:t>
            </w:r>
          </w:p>
        </w:tc>
        <w:tc>
          <w:tcPr>
            <w:tcW w:w="13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(5,867)</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105,325</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1,315</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106,640</w:t>
            </w:r>
          </w:p>
        </w:tc>
        <w:tc>
          <w:tcPr>
            <w:tcW w:w="80" w:type="dxa"/>
            <w:vAlign w:val="bottom"/>
            <w:shd w:val="clear" w:color="auto" w:fill="CFF0FC"/>
          </w:tcPr>
          <w:p>
            <w:pPr>
              <w:spacing w:after="0"/>
              <w:rPr>
                <w:sz w:val="19"/>
                <w:szCs w:val="19"/>
                <w:color w:val="auto"/>
              </w:rPr>
            </w:pPr>
          </w:p>
        </w:tc>
      </w:tr>
      <w:tr>
        <w:trPr>
          <w:trHeight w:val="20"/>
        </w:trPr>
        <w:tc>
          <w:tcPr>
            <w:tcW w:w="10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340"/>
          </w:cols>
          <w:pgMar w:left="320" w:top="342"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7"/>
        </w:trPr>
        <w:tc>
          <w:tcPr>
            <w:tcW w:w="4400" w:type="dxa"/>
            <w:vAlign w:val="bottom"/>
            <w:gridSpan w:val="9"/>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9"/>
        </w:trPr>
        <w:tc>
          <w:tcPr>
            <w:tcW w:w="9360" w:type="dxa"/>
            <w:vAlign w:val="bottom"/>
            <w:gridSpan w:val="20"/>
          </w:tcPr>
          <w:p>
            <w:pPr>
              <w:spacing w:after="0"/>
              <w:rPr>
                <w:sz w:val="20"/>
                <w:szCs w:val="20"/>
                <w:color w:val="auto"/>
              </w:rPr>
            </w:pPr>
            <w:r>
              <w:rPr>
                <w:rFonts w:ascii="Arial" w:cs="Arial" w:eastAsia="Arial" w:hAnsi="Arial"/>
                <w:sz w:val="17"/>
                <w:szCs w:val="17"/>
                <w:b w:val="1"/>
                <w:bCs w:val="1"/>
                <w:color w:val="auto"/>
              </w:rPr>
              <w:t>CONSOLIDATED STATEMENTS OF CHANGES IN SHAREHOLDERS’ (DEFICIT)/EQUITY (CONTINUED)</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5280" w:type="dxa"/>
            <w:vAlign w:val="bottom"/>
            <w:gridSpan w:val="11"/>
          </w:tcPr>
          <w:p>
            <w:pPr>
              <w:spacing w:after="0"/>
              <w:rPr>
                <w:sz w:val="20"/>
                <w:szCs w:val="20"/>
                <w:color w:val="auto"/>
              </w:rPr>
            </w:pPr>
            <w:r>
              <w:rPr>
                <w:rFonts w:ascii="Arial" w:cs="Arial" w:eastAsia="Arial" w:hAnsi="Arial"/>
                <w:sz w:val="17"/>
                <w:szCs w:val="17"/>
                <w:b w:val="1"/>
                <w:bCs w:val="1"/>
                <w:color w:val="auto"/>
              </w:rPr>
              <w:t>FOR THE YEARS ENDED DECEMBER 31, 2017, 2018 AND 2019</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280" w:type="dxa"/>
            <w:vAlign w:val="bottom"/>
            <w:gridSpan w:val="11"/>
          </w:tcPr>
          <w:p>
            <w:pPr>
              <w:spacing w:after="0"/>
              <w:rPr>
                <w:sz w:val="20"/>
                <w:szCs w:val="20"/>
                <w:color w:val="auto"/>
              </w:rPr>
            </w:pPr>
            <w:r>
              <w:rPr>
                <w:rFonts w:ascii="Arial" w:cs="Arial" w:eastAsia="Arial" w:hAnsi="Arial"/>
                <w:sz w:val="17"/>
                <w:szCs w:val="17"/>
                <w:color w:val="auto"/>
              </w:rPr>
              <w:t>(US$’000, except share data and per share data, or otherwise noted)</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9"/>
        </w:trPr>
        <w:tc>
          <w:tcPr>
            <w:tcW w:w="1060" w:type="dxa"/>
            <w:vAlign w:val="bottom"/>
          </w:tcPr>
          <w:p>
            <w:pPr>
              <w:spacing w:after="0"/>
              <w:rPr>
                <w:sz w:val="24"/>
                <w:szCs w:val="24"/>
                <w:color w:val="auto"/>
              </w:rPr>
            </w:pPr>
          </w:p>
        </w:tc>
        <w:tc>
          <w:tcPr>
            <w:tcW w:w="1680" w:type="dxa"/>
            <w:vAlign w:val="bottom"/>
            <w:gridSpan w:val="4"/>
          </w:tcPr>
          <w:p>
            <w:pPr>
              <w:ind w:left="220"/>
              <w:spacing w:after="0"/>
              <w:rPr>
                <w:sz w:val="20"/>
                <w:szCs w:val="20"/>
                <w:color w:val="auto"/>
              </w:rPr>
            </w:pPr>
            <w:r>
              <w:rPr>
                <w:rFonts w:ascii="Arial" w:cs="Arial" w:eastAsia="Arial" w:hAnsi="Arial"/>
                <w:sz w:val="17"/>
                <w:szCs w:val="17"/>
                <w:color w:val="auto"/>
              </w:rPr>
              <w:t>Ordinary shares</w:t>
            </w:r>
          </w:p>
        </w:tc>
        <w:tc>
          <w:tcPr>
            <w:tcW w:w="1660" w:type="dxa"/>
            <w:vAlign w:val="bottom"/>
            <w:gridSpan w:val="4"/>
          </w:tcPr>
          <w:p>
            <w:pPr>
              <w:jc w:val="right"/>
              <w:ind w:right="360"/>
              <w:spacing w:after="0"/>
              <w:rPr>
                <w:sz w:val="20"/>
                <w:szCs w:val="20"/>
                <w:color w:val="auto"/>
              </w:rPr>
            </w:pPr>
            <w:r>
              <w:rPr>
                <w:rFonts w:ascii="Arial" w:cs="Arial" w:eastAsia="Arial" w:hAnsi="Arial"/>
                <w:sz w:val="17"/>
                <w:szCs w:val="17"/>
                <w:color w:val="auto"/>
              </w:rPr>
              <w:t>Treasury shares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Total iClick</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Interactive</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Accumulated</w:t>
            </w:r>
          </w:p>
        </w:tc>
        <w:tc>
          <w:tcPr>
            <w:tcW w:w="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Asia Group</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Number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Number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Additional</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other</w:t>
            </w:r>
          </w:p>
        </w:tc>
        <w:tc>
          <w:tcPr>
            <w:tcW w:w="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Limited</w:t>
            </w:r>
          </w:p>
        </w:tc>
        <w:tc>
          <w:tcPr>
            <w:tcW w:w="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Non-</w:t>
            </w: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r>
      <w:tr>
        <w:trPr>
          <w:trHeight w:val="208"/>
        </w:trPr>
        <w:tc>
          <w:tcPr>
            <w:tcW w:w="10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of</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of</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paid-in  Accumulated  Statutory</w:t>
            </w:r>
          </w:p>
        </w:tc>
        <w:tc>
          <w:tcPr>
            <w:tcW w:w="1280" w:type="dxa"/>
            <w:vAlign w:val="bottom"/>
            <w:gridSpan w:val="3"/>
          </w:tcPr>
          <w:p>
            <w:pPr>
              <w:jc w:val="right"/>
              <w:ind w:right="100"/>
              <w:spacing w:after="0"/>
              <w:rPr>
                <w:sz w:val="20"/>
                <w:szCs w:val="20"/>
                <w:color w:val="auto"/>
              </w:rPr>
            </w:pPr>
            <w:r>
              <w:rPr>
                <w:rFonts w:ascii="Arial" w:cs="Arial" w:eastAsia="Arial" w:hAnsi="Arial"/>
                <w:sz w:val="17"/>
                <w:szCs w:val="17"/>
                <w:color w:val="auto"/>
              </w:rPr>
              <w:t>comprehensive</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w w:val="94"/>
              </w:rPr>
              <w:t>shareholders’</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controlling</w:t>
            </w: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w w:val="94"/>
              </w:rPr>
              <w:t>shareholders’</w:t>
            </w:r>
          </w:p>
        </w:tc>
      </w:tr>
      <w:tr>
        <w:trPr>
          <w:trHeight w:val="221"/>
        </w:trPr>
        <w:tc>
          <w:tcPr>
            <w:tcW w:w="10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shares</w:t>
            </w:r>
          </w:p>
        </w:tc>
        <w:tc>
          <w:tcPr>
            <w:tcW w:w="700" w:type="dxa"/>
            <w:vAlign w:val="bottom"/>
            <w:gridSpan w:val="2"/>
          </w:tcPr>
          <w:p>
            <w:pPr>
              <w:spacing w:after="0"/>
              <w:rPr>
                <w:sz w:val="20"/>
                <w:szCs w:val="20"/>
                <w:color w:val="auto"/>
              </w:rPr>
            </w:pPr>
            <w:r>
              <w:rPr>
                <w:rFonts w:ascii="Arial" w:cs="Arial" w:eastAsia="Arial" w:hAnsi="Arial"/>
                <w:sz w:val="17"/>
                <w:szCs w:val="17"/>
                <w:color w:val="auto"/>
              </w:rPr>
              <w:t>Amount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shares</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Amount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capital</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deficit</w:t>
            </w:r>
          </w:p>
        </w:tc>
        <w:tc>
          <w:tcPr>
            <w:tcW w:w="640" w:type="dxa"/>
            <w:vAlign w:val="bottom"/>
          </w:tcPr>
          <w:p>
            <w:pPr>
              <w:jc w:val="right"/>
              <w:spacing w:after="0"/>
              <w:rPr>
                <w:sz w:val="20"/>
                <w:szCs w:val="20"/>
                <w:color w:val="auto"/>
              </w:rPr>
            </w:pPr>
            <w:r>
              <w:rPr>
                <w:rFonts w:ascii="Arial" w:cs="Arial" w:eastAsia="Arial" w:hAnsi="Arial"/>
                <w:sz w:val="17"/>
                <w:szCs w:val="17"/>
                <w:color w:val="auto"/>
                <w:w w:val="95"/>
              </w:rPr>
              <w:t>reserves</w:t>
            </w: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losses</w:t>
            </w:r>
          </w:p>
        </w:tc>
        <w:tc>
          <w:tcPr>
            <w:tcW w:w="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equity</w:t>
            </w:r>
          </w:p>
        </w:tc>
        <w:tc>
          <w:tcPr>
            <w:tcW w:w="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interests</w:t>
            </w:r>
          </w:p>
        </w:tc>
        <w:tc>
          <w:tcPr>
            <w:tcW w:w="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equity</w:t>
            </w:r>
          </w:p>
        </w:tc>
      </w:tr>
      <w:tr>
        <w:trPr>
          <w:trHeight w:val="203"/>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w w:val="94"/>
              </w:rPr>
              <w:t>Balance as of</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December</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7"/>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31, 2018</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27,986,700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1,363,860</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(576)</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293,072</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(181,413)</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w:t>
            </w: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(5,867)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105,325</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1,315</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106,640</w:t>
            </w:r>
          </w:p>
        </w:tc>
        <w:tc>
          <w:tcPr>
            <w:tcW w:w="80" w:type="dxa"/>
            <w:vAlign w:val="bottom"/>
            <w:shd w:val="clear" w:color="auto" w:fill="CFF0FC"/>
          </w:tcPr>
          <w:p>
            <w:pPr>
              <w:spacing w:after="0"/>
              <w:rPr>
                <w:sz w:val="19"/>
                <w:szCs w:val="19"/>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7"/>
                <w:szCs w:val="17"/>
                <w:color w:val="auto"/>
                <w:w w:val="96"/>
              </w:rPr>
              <w:t>Reissuance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treasury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shares upon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ind w:left="140"/>
              <w:spacing w:after="0"/>
              <w:rPr>
                <w:sz w:val="20"/>
                <w:szCs w:val="20"/>
                <w:color w:val="auto"/>
              </w:rPr>
            </w:pPr>
            <w:r>
              <w:rPr>
                <w:rFonts w:ascii="Arial" w:cs="Arial" w:eastAsia="Arial" w:hAnsi="Arial"/>
                <w:sz w:val="17"/>
                <w:szCs w:val="17"/>
                <w:color w:val="auto"/>
              </w:rPr>
              <w:t>exercise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employee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share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ind w:left="140"/>
              <w:spacing w:after="0"/>
              <w:rPr>
                <w:sz w:val="20"/>
                <w:szCs w:val="20"/>
                <w:color w:val="auto"/>
              </w:rPr>
            </w:pPr>
            <w:r>
              <w:rPr>
                <w:rFonts w:ascii="Arial" w:cs="Arial" w:eastAsia="Arial" w:hAnsi="Arial"/>
                <w:sz w:val="17"/>
                <w:szCs w:val="17"/>
                <w:color w:val="auto"/>
              </w:rPr>
              <w:t>options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and vested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RSUs</w:t>
            </w:r>
          </w:p>
        </w:tc>
        <w:tc>
          <w:tcPr>
            <w:tcW w:w="860" w:type="dxa"/>
            <w:vAlign w:val="bottom"/>
          </w:tcPr>
          <w:p>
            <w:pPr>
              <w:jc w:val="right"/>
              <w:spacing w:after="0"/>
              <w:rPr>
                <w:sz w:val="20"/>
                <w:szCs w:val="20"/>
                <w:color w:val="auto"/>
              </w:rPr>
            </w:pPr>
            <w:r>
              <w:rPr>
                <w:rFonts w:ascii="Arial" w:cs="Arial" w:eastAsia="Arial" w:hAnsi="Arial"/>
                <w:sz w:val="17"/>
                <w:szCs w:val="17"/>
                <w:color w:val="auto"/>
              </w:rPr>
              <w:t>269,943</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(269,943)</w:t>
            </w:r>
          </w:p>
        </w:tc>
        <w:tc>
          <w:tcPr>
            <w:tcW w:w="580" w:type="dxa"/>
            <w:vAlign w:val="bottom"/>
          </w:tcPr>
          <w:p>
            <w:pPr>
              <w:jc w:val="right"/>
              <w:spacing w:after="0"/>
              <w:rPr>
                <w:sz w:val="20"/>
                <w:szCs w:val="20"/>
                <w:color w:val="auto"/>
              </w:rPr>
            </w:pPr>
            <w:r>
              <w:rPr>
                <w:rFonts w:ascii="Arial" w:cs="Arial" w:eastAsia="Arial" w:hAnsi="Arial"/>
                <w:sz w:val="17"/>
                <w:szCs w:val="17"/>
                <w:color w:val="auto"/>
              </w:rPr>
              <w:t>132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315</w:t>
            </w:r>
          </w:p>
        </w:tc>
        <w:tc>
          <w:tcPr>
            <w:tcW w:w="80" w:type="dxa"/>
            <w:vAlign w:val="bottom"/>
          </w:tcPr>
          <w:p>
            <w:pPr>
              <w:spacing w:after="0"/>
              <w:rPr>
                <w:sz w:val="19"/>
                <w:szCs w:val="19"/>
                <w:color w:val="auto"/>
              </w:rPr>
            </w:pPr>
          </w:p>
        </w:tc>
      </w:tr>
      <w:tr>
        <w:trPr>
          <w:trHeight w:val="209"/>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Convertible</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notes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transaction</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ind w:left="140"/>
              <w:spacing w:after="0"/>
              <w:rPr>
                <w:sz w:val="20"/>
                <w:szCs w:val="20"/>
                <w:color w:val="auto"/>
              </w:rPr>
            </w:pPr>
            <w:r>
              <w:rPr>
                <w:rFonts w:ascii="Arial" w:cs="Arial" w:eastAsia="Arial" w:hAnsi="Arial"/>
                <w:sz w:val="17"/>
                <w:szCs w:val="17"/>
                <w:color w:val="auto"/>
                <w:w w:val="99"/>
              </w:rPr>
              <w:t>expenses in</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form of</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share-</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based</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awards (Note</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23(d))</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3,298</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3,298</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3,298</w:t>
            </w:r>
          </w:p>
        </w:tc>
        <w:tc>
          <w:tcPr>
            <w:tcW w:w="80" w:type="dxa"/>
            <w:vAlign w:val="bottom"/>
            <w:shd w:val="clear" w:color="auto" w:fill="CFF0FC"/>
          </w:tcPr>
          <w:p>
            <w:pPr>
              <w:spacing w:after="0"/>
              <w:rPr>
                <w:sz w:val="19"/>
                <w:szCs w:val="19"/>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7"/>
                <w:szCs w:val="17"/>
                <w:color w:val="auto"/>
              </w:rPr>
              <w:t>Share-based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w w:val="98"/>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expenses</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2,115</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2,115</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2,115</w:t>
            </w:r>
          </w:p>
        </w:tc>
        <w:tc>
          <w:tcPr>
            <w:tcW w:w="80" w:type="dxa"/>
            <w:vAlign w:val="bottom"/>
          </w:tcPr>
          <w:p>
            <w:pPr>
              <w:spacing w:after="0"/>
              <w:rPr>
                <w:sz w:val="19"/>
                <w:szCs w:val="19"/>
                <w:color w:val="auto"/>
              </w:rPr>
            </w:pPr>
          </w:p>
        </w:tc>
      </w:tr>
      <w:tr>
        <w:trPr>
          <w:trHeight w:val="221"/>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RSUs vested</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23,750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7"/>
                <w:szCs w:val="17"/>
                <w:color w:val="auto"/>
              </w:rPr>
              <w:t>Business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combinations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(Note 4)</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11,815</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11,815</w:t>
            </w:r>
          </w:p>
        </w:tc>
        <w:tc>
          <w:tcPr>
            <w:tcW w:w="80" w:type="dxa"/>
            <w:vAlign w:val="bottom"/>
          </w:tcPr>
          <w:p>
            <w:pPr>
              <w:spacing w:after="0"/>
              <w:rPr>
                <w:sz w:val="19"/>
                <w:szCs w:val="19"/>
                <w:color w:val="auto"/>
              </w:rPr>
            </w:pPr>
          </w:p>
        </w:tc>
      </w:tr>
      <w:tr>
        <w:trPr>
          <w:trHeight w:val="209"/>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Contribution</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from non-</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controlling</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10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interests</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1,023</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1,023</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1,882</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2,905</w:t>
            </w:r>
          </w:p>
        </w:tc>
        <w:tc>
          <w:tcPr>
            <w:tcW w:w="80" w:type="dxa"/>
            <w:vAlign w:val="bottom"/>
            <w:shd w:val="clear" w:color="auto" w:fill="CFF0FC"/>
          </w:tcPr>
          <w:p>
            <w:pPr>
              <w:spacing w:after="0"/>
              <w:rPr>
                <w:sz w:val="19"/>
                <w:szCs w:val="19"/>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7"/>
                <w:szCs w:val="17"/>
                <w:color w:val="auto"/>
              </w:rPr>
              <w:t>Capital</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injection in a</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subsidiary</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1,223</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1,223</w:t>
            </w:r>
          </w:p>
        </w:tc>
        <w:tc>
          <w:tcPr>
            <w:tcW w:w="1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(1,223)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09"/>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Repurchase</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of ordinary</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shares</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650,956</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(4,414)</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(4,414)</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(4,414)</w:t>
            </w:r>
          </w:p>
        </w:tc>
      </w:tr>
      <w:tr>
        <w:trPr>
          <w:trHeight w:val="209"/>
        </w:trPr>
        <w:tc>
          <w:tcPr>
            <w:tcW w:w="1060" w:type="dxa"/>
            <w:vAlign w:val="bottom"/>
          </w:tcPr>
          <w:p>
            <w:pPr>
              <w:spacing w:after="0"/>
              <w:rPr>
                <w:sz w:val="20"/>
                <w:szCs w:val="20"/>
                <w:color w:val="auto"/>
              </w:rPr>
            </w:pPr>
            <w:r>
              <w:rPr>
                <w:rFonts w:ascii="Arial" w:cs="Arial" w:eastAsia="Arial" w:hAnsi="Arial"/>
                <w:sz w:val="17"/>
                <w:szCs w:val="17"/>
                <w:color w:val="auto"/>
              </w:rPr>
              <w:t>Issuance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ordinary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shares upon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ind w:left="140"/>
              <w:spacing w:after="0"/>
              <w:rPr>
                <w:sz w:val="20"/>
                <w:szCs w:val="20"/>
                <w:color w:val="auto"/>
              </w:rPr>
            </w:pPr>
            <w:r>
              <w:rPr>
                <w:rFonts w:ascii="Arial" w:cs="Arial" w:eastAsia="Arial" w:hAnsi="Arial"/>
                <w:sz w:val="17"/>
                <w:szCs w:val="17"/>
                <w:color w:val="auto"/>
              </w:rPr>
              <w:t>conversion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of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notes</w:t>
            </w:r>
          </w:p>
        </w:tc>
        <w:tc>
          <w:tcPr>
            <w:tcW w:w="860" w:type="dxa"/>
            <w:vAlign w:val="bottom"/>
          </w:tcPr>
          <w:p>
            <w:pPr>
              <w:jc w:val="right"/>
              <w:spacing w:after="0"/>
              <w:rPr>
                <w:sz w:val="20"/>
                <w:szCs w:val="20"/>
                <w:color w:val="auto"/>
              </w:rPr>
            </w:pPr>
            <w:r>
              <w:rPr>
                <w:rFonts w:ascii="Arial" w:cs="Arial" w:eastAsia="Arial" w:hAnsi="Arial"/>
                <w:sz w:val="17"/>
                <w:szCs w:val="17"/>
                <w:color w:val="auto"/>
              </w:rPr>
              <w:t>410,242</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4,431</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4,431</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4,431</w:t>
            </w:r>
          </w:p>
        </w:tc>
        <w:tc>
          <w:tcPr>
            <w:tcW w:w="80" w:type="dxa"/>
            <w:vAlign w:val="bottom"/>
          </w:tcPr>
          <w:p>
            <w:pPr>
              <w:spacing w:after="0"/>
              <w:rPr>
                <w:sz w:val="19"/>
                <w:szCs w:val="19"/>
                <w:color w:val="auto"/>
              </w:rPr>
            </w:pPr>
          </w:p>
        </w:tc>
      </w:tr>
      <w:tr>
        <w:trPr>
          <w:trHeight w:val="209"/>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Net loss for</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1060" w:type="dxa"/>
            <w:vAlign w:val="bottom"/>
            <w:shd w:val="clear" w:color="auto" w:fill="CFF0FC"/>
          </w:tcPr>
          <w:p>
            <w:pPr>
              <w:spacing w:after="0"/>
              <w:rPr>
                <w:sz w:val="20"/>
                <w:szCs w:val="20"/>
                <w:color w:val="auto"/>
              </w:rPr>
            </w:pPr>
            <w:r>
              <w:rPr>
                <w:rFonts w:ascii="Arial" w:cs="Arial" w:eastAsia="Arial" w:hAnsi="Arial"/>
                <w:sz w:val="17"/>
                <w:szCs w:val="17"/>
                <w:color w:val="auto"/>
              </w:rPr>
              <w:t>the year</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(9,603)</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(9,603)</w:t>
            </w: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(1,246)</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(10,849)</w:t>
            </w:r>
          </w:p>
        </w:tc>
      </w:tr>
      <w:tr>
        <w:trPr>
          <w:trHeight w:val="209"/>
        </w:trPr>
        <w:tc>
          <w:tcPr>
            <w:tcW w:w="1060" w:type="dxa"/>
            <w:vAlign w:val="bottom"/>
          </w:tcPr>
          <w:p>
            <w:pPr>
              <w:spacing w:after="0"/>
              <w:rPr>
                <w:sz w:val="20"/>
                <w:szCs w:val="20"/>
                <w:color w:val="auto"/>
              </w:rPr>
            </w:pPr>
            <w:r>
              <w:rPr>
                <w:rFonts w:ascii="Arial" w:cs="Arial" w:eastAsia="Arial" w:hAnsi="Arial"/>
                <w:sz w:val="17"/>
                <w:szCs w:val="17"/>
                <w:color w:val="auto"/>
              </w:rPr>
              <w:t>Foreign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7"/>
                <w:szCs w:val="17"/>
                <w:color w:val="auto"/>
              </w:rPr>
              <w:t>currency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1060" w:type="dxa"/>
            <w:vAlign w:val="bottom"/>
          </w:tcPr>
          <w:p>
            <w:pPr>
              <w:spacing w:after="0"/>
              <w:rPr>
                <w:sz w:val="20"/>
                <w:szCs w:val="20"/>
                <w:color w:val="auto"/>
              </w:rPr>
            </w:pPr>
            <w:r>
              <w:rPr>
                <w:rFonts w:ascii="Arial" w:cs="Arial" w:eastAsia="Arial" w:hAnsi="Arial"/>
                <w:sz w:val="17"/>
                <w:szCs w:val="17"/>
                <w:color w:val="auto"/>
              </w:rPr>
              <w:t>translation</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7"/>
                <w:szCs w:val="17"/>
                <w:color w:val="auto"/>
              </w:rPr>
              <w:t>(1,612)</w:t>
            </w: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(1,612)</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(88)</w:t>
            </w:r>
          </w:p>
        </w:tc>
        <w:tc>
          <w:tcPr>
            <w:tcW w:w="1060" w:type="dxa"/>
            <w:vAlign w:val="bottom"/>
            <w:gridSpan w:val="3"/>
          </w:tcPr>
          <w:p>
            <w:pPr>
              <w:jc w:val="right"/>
              <w:ind w:right="20"/>
              <w:spacing w:after="0"/>
              <w:rPr>
                <w:sz w:val="20"/>
                <w:szCs w:val="20"/>
                <w:color w:val="auto"/>
              </w:rPr>
            </w:pPr>
            <w:r>
              <w:rPr>
                <w:rFonts w:ascii="Arial" w:cs="Arial" w:eastAsia="Arial" w:hAnsi="Arial"/>
                <w:sz w:val="17"/>
                <w:szCs w:val="17"/>
                <w:color w:val="auto"/>
              </w:rPr>
              <w:t>(1,700)</w:t>
            </w:r>
          </w:p>
        </w:tc>
      </w:tr>
      <w:tr>
        <w:trPr>
          <w:trHeight w:val="196"/>
        </w:trPr>
        <w:tc>
          <w:tcPr>
            <w:tcW w:w="1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w w:val="94"/>
              </w:rPr>
              <w:t>Balance as of</w:t>
            </w: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08"/>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December</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7"/>
        </w:trPr>
        <w:tc>
          <w:tcPr>
            <w:tcW w:w="1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31, 2019</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28,690,635</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1,744,873</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(4,858)</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305,344</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(191,016)</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w:t>
            </w: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(7,479)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102,101</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12,455</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114,556</w:t>
            </w:r>
          </w:p>
        </w:tc>
        <w:tc>
          <w:tcPr>
            <w:tcW w:w="80" w:type="dxa"/>
            <w:vAlign w:val="bottom"/>
            <w:shd w:val="clear" w:color="auto" w:fill="CFF0FC"/>
          </w:tcPr>
          <w:p>
            <w:pPr>
              <w:spacing w:after="0"/>
              <w:rPr>
                <w:sz w:val="19"/>
                <w:szCs w:val="19"/>
                <w:color w:val="auto"/>
              </w:rPr>
            </w:pPr>
          </w:p>
        </w:tc>
      </w:tr>
      <w:tr>
        <w:trPr>
          <w:trHeight w:val="20"/>
        </w:trPr>
        <w:tc>
          <w:tcPr>
            <w:tcW w:w="10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340"/>
          </w:cols>
          <w:pgMar w:left="320" w:top="342" w:right="239" w:bottom="327"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2018 AND 2019</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620" w:type="dxa"/>
            <w:vAlign w:val="bottom"/>
            <w:gridSpan w:val="5"/>
          </w:tcPr>
          <w:p>
            <w:pPr>
              <w:ind w:left="1080"/>
              <w:spacing w:after="0"/>
              <w:rPr>
                <w:sz w:val="20"/>
                <w:szCs w:val="20"/>
                <w:color w:val="auto"/>
              </w:rPr>
            </w:pPr>
            <w:r>
              <w:rPr>
                <w:rFonts w:ascii="Arial" w:cs="Arial" w:eastAsia="Arial" w:hAnsi="Arial"/>
                <w:sz w:val="16"/>
                <w:szCs w:val="16"/>
                <w:color w:val="auto"/>
              </w:rPr>
              <w:t>For the years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Net loss</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(24,619)</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(32,611)</w:t>
            </w: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(10,849)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w:t>
            </w: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activities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Depreciation of property and equipment</w:t>
            </w:r>
          </w:p>
        </w:tc>
        <w:tc>
          <w:tcPr>
            <w:tcW w:w="1300" w:type="dxa"/>
            <w:vAlign w:val="bottom"/>
          </w:tcPr>
          <w:p>
            <w:pPr>
              <w:jc w:val="right"/>
              <w:spacing w:after="0"/>
              <w:rPr>
                <w:sz w:val="20"/>
                <w:szCs w:val="20"/>
                <w:color w:val="auto"/>
              </w:rPr>
            </w:pPr>
            <w:r>
              <w:rPr>
                <w:rFonts w:ascii="Arial" w:cs="Arial" w:eastAsia="Arial" w:hAnsi="Arial"/>
                <w:sz w:val="16"/>
                <w:szCs w:val="16"/>
                <w:color w:val="auto"/>
              </w:rPr>
              <w:t>1,363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1,059</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Amortization of intangible assets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4,221</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4,167</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Amortization of right-of-use assets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Losses/(gains) on disposals of property and equipment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Gain on bargain purchase</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(285)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Allowance for doubtful accounts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Accounts receivable written off</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(1,134)</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Recovery of doubtful debts previously provided for</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Convertible notes transaction expenses in form</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6"/>
                <w:szCs w:val="16"/>
                <w:color w:val="auto"/>
              </w:rPr>
              <w:t>of non-employee warrant award</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convertible notes transaction expenses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Other share-based compensation expenses</w:t>
            </w:r>
          </w:p>
        </w:tc>
        <w:tc>
          <w:tcPr>
            <w:tcW w:w="1300" w:type="dxa"/>
            <w:vAlign w:val="bottom"/>
          </w:tcPr>
          <w:p>
            <w:pPr>
              <w:jc w:val="right"/>
              <w:spacing w:after="0"/>
              <w:rPr>
                <w:sz w:val="20"/>
                <w:szCs w:val="20"/>
                <w:color w:val="auto"/>
              </w:rPr>
            </w:pPr>
            <w:r>
              <w:rPr>
                <w:rFonts w:ascii="Arial" w:cs="Arial" w:eastAsia="Arial" w:hAnsi="Arial"/>
                <w:sz w:val="16"/>
                <w:szCs w:val="16"/>
                <w:color w:val="auto"/>
              </w:rPr>
              <w:t>5,072</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19,679</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Fair value losses on derivative liabilities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10,190</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Fair value losses/(gains) on convertible notes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4,837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Fair value gains on short-term investments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Deferred tax</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(714)</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(906)</w:t>
            </w: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Share of losses from an equity investee</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6"/>
                <w:szCs w:val="16"/>
                <w:color w:val="auto"/>
              </w:rPr>
              <w:t>Changes in operating assets and liabilities, net</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(8,682)</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(25,499)</w:t>
            </w: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(85,382)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Prepayments and other assets</w:t>
            </w:r>
          </w:p>
        </w:tc>
        <w:tc>
          <w:tcPr>
            <w:tcW w:w="1300" w:type="dxa"/>
            <w:vAlign w:val="bottom"/>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4,380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(5,490)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Rebates receivables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w:t>
            </w: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(2,734)</w:t>
            </w: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Prepaid media costs</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(2,491)</w:t>
            </w:r>
          </w:p>
        </w:tc>
        <w:tc>
          <w:tcPr>
            <w:tcW w:w="1300" w:type="dxa"/>
            <w:vAlign w:val="bottom"/>
          </w:tcPr>
          <w:p>
            <w:pPr>
              <w:jc w:val="right"/>
              <w:spacing w:after="0"/>
              <w:rPr>
                <w:sz w:val="20"/>
                <w:szCs w:val="20"/>
                <w:color w:val="auto"/>
              </w:rPr>
            </w:pPr>
            <w:r>
              <w:rPr>
                <w:rFonts w:ascii="Arial" w:cs="Arial" w:eastAsia="Arial" w:hAnsi="Arial"/>
                <w:sz w:val="16"/>
                <w:szCs w:val="16"/>
                <w:color w:val="auto"/>
              </w:rPr>
              <w:t>18,534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(6,735)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payable</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(5,478)</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2,693</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Accrued liabilities and other current liabilities</w:t>
            </w:r>
          </w:p>
        </w:tc>
        <w:tc>
          <w:tcPr>
            <w:tcW w:w="1300" w:type="dxa"/>
            <w:vAlign w:val="bottom"/>
          </w:tcPr>
          <w:p>
            <w:pPr>
              <w:jc w:val="right"/>
              <w:spacing w:after="0"/>
              <w:rPr>
                <w:sz w:val="20"/>
                <w:szCs w:val="20"/>
                <w:color w:val="auto"/>
              </w:rPr>
            </w:pPr>
            <w:r>
              <w:rPr>
                <w:rFonts w:ascii="Arial" w:cs="Arial" w:eastAsia="Arial" w:hAnsi="Arial"/>
                <w:sz w:val="16"/>
                <w:szCs w:val="16"/>
                <w:color w:val="auto"/>
              </w:rPr>
              <w:t>644</w:t>
            </w:r>
          </w:p>
        </w:tc>
        <w:tc>
          <w:tcPr>
            <w:tcW w:w="2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(5,301)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Deferred revenue</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5,750</w:t>
            </w: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(5,915)</w:t>
            </w: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Income tax payable</w:t>
            </w:r>
          </w:p>
        </w:tc>
        <w:tc>
          <w:tcPr>
            <w:tcW w:w="1300" w:type="dxa"/>
            <w:vAlign w:val="bottom"/>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Lease liabilities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Amount due from an equity investee</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(13,881)</w:t>
            </w:r>
          </w:p>
        </w:tc>
        <w:tc>
          <w:tcPr>
            <w:tcW w:w="26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(15,416)</w:t>
            </w:r>
          </w:p>
        </w:tc>
        <w:tc>
          <w:tcPr>
            <w:tcW w:w="2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(30,294)</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(148)</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(249)</w:t>
            </w: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Purchase of intangible assets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(120)</w:t>
            </w: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(Increase)/decrease in short-term investments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(17,427)</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Investment in an equity investee</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Increase in other long-term investments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(503)</w:t>
            </w: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Increase in prepaid long-term investment costs</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220"/>
              <w:spacing w:after="0"/>
              <w:rPr>
                <w:sz w:val="20"/>
                <w:szCs w:val="20"/>
                <w:color w:val="auto"/>
              </w:rPr>
            </w:pPr>
            <w:r>
              <w:rPr>
                <w:rFonts w:ascii="Arial" w:cs="Arial" w:eastAsia="Arial" w:hAnsi="Arial"/>
                <w:sz w:val="16"/>
                <w:szCs w:val="16"/>
                <w:color w:val="auto"/>
              </w:rPr>
              <w:t>(Increase)/decrease in time deposits</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(25,000)</w:t>
            </w:r>
          </w:p>
        </w:tc>
        <w:tc>
          <w:tcPr>
            <w:tcW w:w="1300" w:type="dxa"/>
            <w:vAlign w:val="bottom"/>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Acquisition of businesses, net of cash received</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1,694</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(7,171)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Proceeds from disposals of property and equipment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(used in)/provided by investing activities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(25,165)</w:t>
            </w:r>
          </w:p>
        </w:tc>
        <w:tc>
          <w:tcPr>
            <w:tcW w:w="2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8,395</w:t>
            </w: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6,762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2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7"/>
        </w:trPr>
        <w:tc>
          <w:tcPr>
            <w:tcW w:w="6700" w:type="dxa"/>
            <w:vAlign w:val="bottom"/>
            <w:gridSpan w:val="2"/>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6700" w:type="dxa"/>
            <w:vAlign w:val="bottom"/>
            <w:gridSpan w:val="2"/>
          </w:tcPr>
          <w:p>
            <w:pPr>
              <w:spacing w:after="0"/>
              <w:rPr>
                <w:sz w:val="20"/>
                <w:szCs w:val="20"/>
                <w:color w:val="auto"/>
              </w:rPr>
            </w:pPr>
            <w:r>
              <w:rPr>
                <w:rFonts w:ascii="Arial" w:cs="Arial" w:eastAsia="Arial" w:hAnsi="Arial"/>
                <w:sz w:val="17"/>
                <w:szCs w:val="17"/>
                <w:b w:val="1"/>
                <w:bCs w:val="1"/>
                <w:color w:val="auto"/>
              </w:rPr>
              <w:t>CONSOLIDATED STATEMENTS OF CASH FLOWS (CONTINUED)</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700" w:type="dxa"/>
            <w:vAlign w:val="bottom"/>
            <w:gridSpan w:val="2"/>
          </w:tcPr>
          <w:p>
            <w:pPr>
              <w:spacing w:after="0"/>
              <w:rPr>
                <w:sz w:val="20"/>
                <w:szCs w:val="20"/>
                <w:color w:val="auto"/>
              </w:rPr>
            </w:pPr>
            <w:r>
              <w:rPr>
                <w:rFonts w:ascii="Arial" w:cs="Arial" w:eastAsia="Arial" w:hAnsi="Arial"/>
                <w:sz w:val="17"/>
                <w:szCs w:val="17"/>
                <w:b w:val="1"/>
                <w:bCs w:val="1"/>
                <w:color w:val="auto"/>
              </w:rPr>
              <w:t>FOR THE YEARS ENDED DECEMBER 31, 2017, 2018 AND 2019</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00" w:type="dxa"/>
            <w:vAlign w:val="bottom"/>
            <w:gridSpan w:val="2"/>
          </w:tcPr>
          <w:p>
            <w:pPr>
              <w:spacing w:after="0"/>
              <w:rPr>
                <w:sz w:val="20"/>
                <w:szCs w:val="20"/>
                <w:color w:val="auto"/>
              </w:rPr>
            </w:pPr>
            <w:r>
              <w:rPr>
                <w:rFonts w:ascii="Arial" w:cs="Arial" w:eastAsia="Arial" w:hAnsi="Arial"/>
                <w:sz w:val="17"/>
                <w:szCs w:val="17"/>
                <w:color w:val="auto"/>
              </w:rPr>
              <w:t>(US$’000, except share data and per share data, or otherwise noted)</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600" w:type="dxa"/>
            <w:vAlign w:val="bottom"/>
            <w:gridSpan w:val="5"/>
          </w:tcPr>
          <w:p>
            <w:pPr>
              <w:ind w:left="1020"/>
              <w:spacing w:after="0"/>
              <w:rPr>
                <w:sz w:val="20"/>
                <w:szCs w:val="20"/>
                <w:color w:val="auto"/>
              </w:rPr>
            </w:pPr>
            <w:r>
              <w:rPr>
                <w:rFonts w:ascii="Arial" w:cs="Arial" w:eastAsia="Arial" w:hAnsi="Arial"/>
                <w:sz w:val="17"/>
                <w:szCs w:val="17"/>
                <w:color w:val="auto"/>
                <w:w w:val="97"/>
              </w:rPr>
              <w:t>For the years ended December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2017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2018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Proceeds from exercise of share options</w:t>
            </w:r>
          </w:p>
        </w:tc>
        <w:tc>
          <w:tcPr>
            <w:tcW w:w="1300" w:type="dxa"/>
            <w:vAlign w:val="bottom"/>
          </w:tcPr>
          <w:p>
            <w:pPr>
              <w:jc w:val="right"/>
              <w:spacing w:after="0"/>
              <w:rPr>
                <w:sz w:val="20"/>
                <w:szCs w:val="20"/>
                <w:color w:val="auto"/>
              </w:rPr>
            </w:pPr>
            <w:r>
              <w:rPr>
                <w:rFonts w:ascii="Arial" w:cs="Arial" w:eastAsia="Arial" w:hAnsi="Arial"/>
                <w:sz w:val="17"/>
                <w:szCs w:val="17"/>
                <w:color w:val="auto"/>
              </w:rPr>
              <w:t>60</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656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Proceeds from bank borrowings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5,897</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2,229</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Repayments of bank borrowings</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(8,816)</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(2,883)</w:t>
            </w:r>
          </w:p>
        </w:tc>
        <w:tc>
          <w:tcPr>
            <w:tcW w:w="4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(111,986)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Net proceeds from issuance of ordinary shares upon IPO</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28,405</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Proceeds from issuance of convertible notes, net of transaction</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240"/>
              <w:spacing w:after="0"/>
              <w:rPr>
                <w:sz w:val="20"/>
                <w:szCs w:val="20"/>
                <w:color w:val="auto"/>
              </w:rPr>
            </w:pPr>
            <w:r>
              <w:rPr>
                <w:rFonts w:ascii="Arial" w:cs="Arial" w:eastAsia="Arial" w:hAnsi="Arial"/>
                <w:sz w:val="17"/>
                <w:szCs w:val="17"/>
                <w:color w:val="auto"/>
              </w:rPr>
              <w:t>expenses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27,810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Redemption of convertible notes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(11,265)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Contribution from non-controlling interests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Repurchase of ordinary shares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(37)</w:t>
            </w: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(4,414)</w:t>
            </w:r>
          </w:p>
        </w:tc>
        <w:tc>
          <w:tcPr>
            <w:tcW w:w="0" w:type="dxa"/>
            <w:vAlign w:val="bottom"/>
          </w:tcPr>
          <w:p>
            <w:pPr>
              <w:spacing w:after="0"/>
              <w:rPr>
                <w:sz w:val="1"/>
                <w:szCs w:val="1"/>
                <w:color w:val="auto"/>
              </w:rPr>
            </w:pPr>
          </w:p>
        </w:tc>
      </w:tr>
      <w:tr>
        <w:trPr>
          <w:trHeight w:val="221"/>
        </w:trPr>
        <w:tc>
          <w:tcPr>
            <w:tcW w:w="6700" w:type="dxa"/>
            <w:vAlign w:val="bottom"/>
            <w:gridSpan w:val="2"/>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25,546</w:t>
            </w: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27,775</w:t>
            </w:r>
          </w:p>
        </w:tc>
        <w:tc>
          <w:tcPr>
            <w:tcW w:w="2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44,804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(decrease)/increase in cash and cash equivalents and</w:t>
            </w: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restricted cash</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(13,500)</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20,754</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00" w:type="dxa"/>
            <w:vAlign w:val="bottom"/>
            <w:gridSpan w:val="2"/>
          </w:tcPr>
          <w:p>
            <w:pPr>
              <w:spacing w:after="0"/>
              <w:rPr>
                <w:sz w:val="20"/>
                <w:szCs w:val="20"/>
                <w:color w:val="auto"/>
              </w:rPr>
            </w:pPr>
            <w:r>
              <w:rPr>
                <w:rFonts w:ascii="Arial" w:cs="Arial" w:eastAsia="Arial" w:hAnsi="Arial"/>
                <w:sz w:val="17"/>
                <w:szCs w:val="17"/>
                <w:color w:val="auto"/>
              </w:rPr>
              <w:t>Cash and cash equivalents and restricted cash at the beginning of</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120"/>
              <w:spacing w:after="0"/>
              <w:rPr>
                <w:sz w:val="20"/>
                <w:szCs w:val="20"/>
                <w:color w:val="auto"/>
              </w:rPr>
            </w:pPr>
            <w:r>
              <w:rPr>
                <w:rFonts w:ascii="Arial" w:cs="Arial" w:eastAsia="Arial" w:hAnsi="Arial"/>
                <w:sz w:val="17"/>
                <w:szCs w:val="17"/>
                <w:color w:val="auto"/>
              </w:rPr>
              <w:t>year</w:t>
            </w:r>
          </w:p>
        </w:tc>
        <w:tc>
          <w:tcPr>
            <w:tcW w:w="1300" w:type="dxa"/>
            <w:vAlign w:val="bottom"/>
          </w:tcPr>
          <w:p>
            <w:pPr>
              <w:jc w:val="right"/>
              <w:spacing w:after="0"/>
              <w:rPr>
                <w:sz w:val="20"/>
                <w:szCs w:val="20"/>
                <w:color w:val="auto"/>
              </w:rPr>
            </w:pPr>
            <w:r>
              <w:rPr>
                <w:rFonts w:ascii="Arial" w:cs="Arial" w:eastAsia="Arial" w:hAnsi="Arial"/>
                <w:sz w:val="17"/>
                <w:szCs w:val="17"/>
                <w:color w:val="auto"/>
              </w:rPr>
              <w:t>32,514</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19,401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Effect on exchange rate changes on cash and cash equivalents and</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restricted cash</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(327)</w:t>
            </w: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54"/>
        </w:trPr>
        <w:tc>
          <w:tcPr>
            <w:tcW w:w="6700" w:type="dxa"/>
            <w:vAlign w:val="bottom"/>
            <w:gridSpan w:val="2"/>
          </w:tcPr>
          <w:p>
            <w:pPr>
              <w:spacing w:after="0"/>
              <w:rPr>
                <w:sz w:val="20"/>
                <w:szCs w:val="20"/>
                <w:color w:val="auto"/>
              </w:rPr>
            </w:pPr>
            <w:r>
              <w:rPr>
                <w:rFonts w:ascii="Arial" w:cs="Arial" w:eastAsia="Arial" w:hAnsi="Arial"/>
                <w:sz w:val="17"/>
                <w:szCs w:val="17"/>
                <w:b w:val="1"/>
                <w:bCs w:val="1"/>
                <w:color w:val="auto"/>
              </w:rPr>
              <w:t>Cash and cash equivalents and restricted cash at the end of year</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19,401</w:t>
            </w:r>
          </w:p>
        </w:tc>
        <w:tc>
          <w:tcPr>
            <w:tcW w:w="26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39,828</w:t>
            </w:r>
          </w:p>
        </w:tc>
        <w:tc>
          <w:tcPr>
            <w:tcW w:w="26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60,706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7"/>
                <w:szCs w:val="17"/>
                <w:b w:val="1"/>
                <w:bCs w:val="1"/>
                <w:color w:val="auto"/>
              </w:rPr>
              <w:t>Reconciliation of cash and cash equivalents and restricted cash</w:t>
            </w:r>
          </w:p>
        </w:tc>
        <w:tc>
          <w:tcPr>
            <w:tcW w:w="130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within the consolidated balance sheets to the amounts shown</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 the consolidated statements of cash flows above:</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Cash and cash equivalents</w:t>
            </w:r>
          </w:p>
        </w:tc>
        <w:tc>
          <w:tcPr>
            <w:tcW w:w="1300" w:type="dxa"/>
            <w:vAlign w:val="bottom"/>
          </w:tcPr>
          <w:p>
            <w:pPr>
              <w:jc w:val="right"/>
              <w:spacing w:after="0"/>
              <w:rPr>
                <w:sz w:val="20"/>
                <w:szCs w:val="20"/>
                <w:color w:val="auto"/>
              </w:rPr>
            </w:pPr>
            <w:r>
              <w:rPr>
                <w:rFonts w:ascii="Arial" w:cs="Arial" w:eastAsia="Arial" w:hAnsi="Arial"/>
                <w:sz w:val="17"/>
                <w:szCs w:val="17"/>
                <w:color w:val="auto"/>
              </w:rPr>
              <w:t>19,401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39,828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Restricted cash, current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80" w:type="dxa"/>
            <w:vAlign w:val="bottom"/>
            <w:tcBorders>
              <w:bottom w:val="single" w:sz="8" w:color="CFF0FC"/>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19,401</w:t>
            </w:r>
          </w:p>
        </w:tc>
        <w:tc>
          <w:tcPr>
            <w:tcW w:w="260" w:type="dxa"/>
            <w:vAlign w:val="bottom"/>
            <w:tcBorders>
              <w:bottom w:val="single" w:sz="8" w:color="CFF0FC"/>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39,828</w:t>
            </w:r>
          </w:p>
        </w:tc>
        <w:tc>
          <w:tcPr>
            <w:tcW w:w="26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60,706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6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Interests paid</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(582)</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(694)</w:t>
            </w: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(2,109)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Cash paid for income taxes</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(1,119)</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(1,019)</w:t>
            </w:r>
          </w:p>
        </w:tc>
        <w:tc>
          <w:tcPr>
            <w:tcW w:w="4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6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7"/>
                <w:szCs w:val="17"/>
                <w:b w:val="1"/>
                <w:bCs w:val="1"/>
                <w:color w:val="auto"/>
              </w:rPr>
              <w:t>Supplemental schedule of non-cash investing and financing</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80" w:type="dxa"/>
            <w:vAlign w:val="bottom"/>
          </w:tcPr>
          <w:p>
            <w:pPr>
              <w:ind w:left="120"/>
              <w:spacing w:after="0"/>
              <w:rPr>
                <w:sz w:val="20"/>
                <w:szCs w:val="20"/>
                <w:color w:val="auto"/>
              </w:rPr>
            </w:pPr>
            <w:r>
              <w:rPr>
                <w:rFonts w:ascii="Arial" w:cs="Arial" w:eastAsia="Arial" w:hAnsi="Arial"/>
                <w:sz w:val="17"/>
                <w:szCs w:val="17"/>
                <w:b w:val="1"/>
                <w:bCs w:val="1"/>
                <w:color w:val="auto"/>
              </w:rPr>
              <w:t>activities: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Accretion to Series A preferred shares redemption value</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Accretion to Series B preferred shares redemption value</w:t>
            </w:r>
          </w:p>
        </w:tc>
        <w:tc>
          <w:tcPr>
            <w:tcW w:w="1300" w:type="dxa"/>
            <w:vAlign w:val="bottom"/>
          </w:tcPr>
          <w:p>
            <w:pPr>
              <w:jc w:val="right"/>
              <w:spacing w:after="0"/>
              <w:rPr>
                <w:sz w:val="20"/>
                <w:szCs w:val="20"/>
                <w:color w:val="auto"/>
              </w:rPr>
            </w:pPr>
            <w:r>
              <w:rPr>
                <w:rFonts w:ascii="Arial" w:cs="Arial" w:eastAsia="Arial" w:hAnsi="Arial"/>
                <w:sz w:val="17"/>
                <w:szCs w:val="17"/>
                <w:color w:val="auto"/>
              </w:rPr>
              <w:t>1,427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Accretion to redeemable ordinary shares redemption value</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3,650</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IPO costs in form of other payables</w:t>
            </w:r>
          </w:p>
        </w:tc>
        <w:tc>
          <w:tcPr>
            <w:tcW w:w="1300" w:type="dxa"/>
            <w:vAlign w:val="bottom"/>
          </w:tcPr>
          <w:p>
            <w:pPr>
              <w:jc w:val="right"/>
              <w:spacing w:after="0"/>
              <w:rPr>
                <w:sz w:val="20"/>
                <w:szCs w:val="20"/>
                <w:color w:val="auto"/>
              </w:rPr>
            </w:pPr>
            <w:r>
              <w:rPr>
                <w:rFonts w:ascii="Arial" w:cs="Arial" w:eastAsia="Arial" w:hAnsi="Arial"/>
                <w:sz w:val="17"/>
                <w:szCs w:val="17"/>
                <w:color w:val="auto"/>
              </w:rPr>
              <w:t>1,724</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Convertible notes transaction expenses in form of share-based</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awards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100"/>
              <w:spacing w:after="0"/>
              <w:rPr>
                <w:sz w:val="20"/>
                <w:szCs w:val="20"/>
                <w:color w:val="auto"/>
              </w:rPr>
            </w:pPr>
            <w:r>
              <w:rPr>
                <w:rFonts w:ascii="Arial" w:cs="Arial" w:eastAsia="Arial" w:hAnsi="Arial"/>
                <w:sz w:val="17"/>
                <w:szCs w:val="17"/>
                <w:color w:val="auto"/>
              </w:rPr>
              <w:t>Fair value losses/(gains) on convertible notes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4,837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Issuance of ordinary shares upon conversion of</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convertible notes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47" w:name="page148"/>
    <w:bookmarkEnd w:id="147"/>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principal activities</w:t>
      </w:r>
    </w:p>
    <w:p>
      <w:pPr>
        <w:spacing w:after="0" w:line="182" w:lineRule="exact"/>
        <w:rPr>
          <w:sz w:val="20"/>
          <w:szCs w:val="20"/>
          <w:color w:val="auto"/>
        </w:rPr>
      </w:pPr>
    </w:p>
    <w:p>
      <w:pPr>
        <w:ind w:left="840" w:hanging="836"/>
        <w:spacing w:after="0"/>
        <w:tabs>
          <w:tab w:leader="none" w:pos="84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nature of operation</w:t>
      </w:r>
    </w:p>
    <w:p>
      <w:pPr>
        <w:spacing w:after="0" w:line="174" w:lineRule="exact"/>
        <w:rPr>
          <w:rFonts w:ascii="Arial" w:cs="Arial" w:eastAsia="Arial" w:hAnsi="Arial"/>
          <w:sz w:val="17"/>
          <w:szCs w:val="17"/>
          <w:b w:val="1"/>
          <w:bCs w:val="1"/>
          <w:color w:val="auto"/>
        </w:rPr>
      </w:pPr>
    </w:p>
    <w:p>
      <w:pPr>
        <w:jc w:val="both"/>
        <w:ind w:left="840"/>
        <w:spacing w:after="0" w:line="270" w:lineRule="auto"/>
        <w:rPr>
          <w:rFonts w:ascii="Arial" w:cs="Arial" w:eastAsia="Arial" w:hAnsi="Arial"/>
          <w:sz w:val="17"/>
          <w:szCs w:val="17"/>
          <w:b w:val="1"/>
          <w:bCs w:val="1"/>
          <w:color w:val="auto"/>
        </w:rPr>
      </w:pPr>
      <w:r>
        <w:rPr>
          <w:rFonts w:ascii="Arial" w:cs="Arial" w:eastAsia="Arial" w:hAnsi="Arial"/>
          <w:sz w:val="15"/>
          <w:szCs w:val="15"/>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(“Marketing Solution”). Starting from January 1, 2019, the Group also engages in the provision of software licenses and retail and customer relationship management solutions (“Enterprise Solutions”). The Group’s principal operations and geographic market are in Greater China and have offices in Hong Kong and the People’s Republic of China (“the PRC”). There are also sales teams in Singapore, Taiwan and the United Kingdom.</w:t>
      </w:r>
    </w:p>
    <w:p>
      <w:pPr>
        <w:spacing w:after="0" w:line="122" w:lineRule="exact"/>
        <w:rPr>
          <w:rFonts w:ascii="Arial" w:cs="Arial" w:eastAsia="Arial" w:hAnsi="Arial"/>
          <w:sz w:val="17"/>
          <w:szCs w:val="17"/>
          <w:b w:val="1"/>
          <w:bCs w:val="1"/>
          <w:color w:val="auto"/>
        </w:rPr>
      </w:pPr>
    </w:p>
    <w:p>
      <w:pPr>
        <w:ind w:left="8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accompanying consolidated financial statements include the financial statements of the Company, its principal subsidiaries and consolidated VIEs and the VIE’s subsidiaries (defined in Note 1(b))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ind w:left="380"/>
              <w:spacing w:after="0"/>
              <w:rPr>
                <w:sz w:val="20"/>
                <w:szCs w:val="20"/>
                <w:color w:val="auto"/>
              </w:rPr>
            </w:pPr>
            <w:r>
              <w:rPr>
                <w:rFonts w:ascii="Arial" w:cs="Arial" w:eastAsia="Arial" w:hAnsi="Arial"/>
                <w:sz w:val="14"/>
                <w:szCs w:val="14"/>
                <w:color w:val="auto"/>
              </w:rPr>
              <w:t>% of direct</w:t>
            </w:r>
          </w:p>
        </w:tc>
        <w:tc>
          <w:tcPr>
            <w:tcW w:w="1540" w:type="dxa"/>
            <w:vAlign w:val="bottom"/>
          </w:tcPr>
          <w:p>
            <w:pPr>
              <w:spacing w:after="0"/>
              <w:rPr>
                <w:sz w:val="14"/>
                <w:szCs w:val="14"/>
                <w:color w:val="auto"/>
              </w:rPr>
            </w:pPr>
          </w:p>
        </w:tc>
        <w:tc>
          <w:tcPr>
            <w:tcW w:w="1460" w:type="dxa"/>
            <w:vAlign w:val="bottom"/>
            <w:vMerge w:val="restart"/>
          </w:tcPr>
          <w:p>
            <w:pPr>
              <w:ind w:left="460"/>
              <w:spacing w:after="0"/>
              <w:rPr>
                <w:sz w:val="20"/>
                <w:szCs w:val="20"/>
                <w:color w:val="auto"/>
              </w:rPr>
            </w:pPr>
            <w:r>
              <w:rPr>
                <w:rFonts w:ascii="Arial" w:cs="Arial" w:eastAsia="Arial" w:hAnsi="Arial"/>
                <w:sz w:val="14"/>
                <w:szCs w:val="14"/>
                <w:color w:val="auto"/>
              </w:rPr>
              <w:t>Place of</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80" w:type="dxa"/>
            <w:vAlign w:val="bottom"/>
          </w:tcPr>
          <w:p>
            <w:pPr>
              <w:ind w:left="380"/>
              <w:spacing w:after="0" w:line="136" w:lineRule="exact"/>
              <w:rPr>
                <w:sz w:val="20"/>
                <w:szCs w:val="20"/>
                <w:color w:val="auto"/>
              </w:rPr>
            </w:pPr>
            <w:r>
              <w:rPr>
                <w:rFonts w:ascii="Arial" w:cs="Arial" w:eastAsia="Arial" w:hAnsi="Arial"/>
                <w:sz w:val="14"/>
                <w:szCs w:val="14"/>
                <w:color w:val="auto"/>
              </w:rPr>
              <w:t>or indirect</w:t>
            </w:r>
          </w:p>
        </w:tc>
        <w:tc>
          <w:tcPr>
            <w:tcW w:w="15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ind w:left="380"/>
              <w:spacing w:after="0" w:line="151" w:lineRule="exact"/>
              <w:rPr>
                <w:sz w:val="20"/>
                <w:szCs w:val="20"/>
                <w:color w:val="auto"/>
              </w:rPr>
            </w:pPr>
            <w:r>
              <w:rPr>
                <w:rFonts w:ascii="Arial" w:cs="Arial" w:eastAsia="Arial" w:hAnsi="Arial"/>
                <w:sz w:val="14"/>
                <w:szCs w:val="14"/>
                <w:color w:val="auto"/>
              </w:rPr>
              <w:t>economic</w:t>
            </w:r>
          </w:p>
        </w:tc>
        <w:tc>
          <w:tcPr>
            <w:tcW w:w="1540" w:type="dxa"/>
            <w:vAlign w:val="bottom"/>
          </w:tcPr>
          <w:p>
            <w:pPr>
              <w:ind w:left="300"/>
              <w:spacing w:after="0" w:line="151" w:lineRule="exact"/>
              <w:rPr>
                <w:sz w:val="20"/>
                <w:szCs w:val="20"/>
                <w:color w:val="auto"/>
              </w:rPr>
            </w:pPr>
            <w:r>
              <w:rPr>
                <w:rFonts w:ascii="Arial" w:cs="Arial" w:eastAsia="Arial" w:hAnsi="Arial"/>
                <w:sz w:val="14"/>
                <w:szCs w:val="14"/>
                <w:color w:val="auto"/>
              </w:rPr>
              <w:t>Date of</w:t>
            </w:r>
          </w:p>
        </w:tc>
        <w:tc>
          <w:tcPr>
            <w:tcW w:w="1460" w:type="dxa"/>
            <w:vAlign w:val="bottom"/>
          </w:tcPr>
          <w:p>
            <w:pPr>
              <w:ind w:left="320"/>
              <w:spacing w:after="0" w:line="151" w:lineRule="exact"/>
              <w:rPr>
                <w:sz w:val="20"/>
                <w:szCs w:val="20"/>
                <w:color w:val="auto"/>
              </w:rPr>
            </w:pPr>
            <w:r>
              <w:rPr>
                <w:rFonts w:ascii="Arial" w:cs="Arial" w:eastAsia="Arial" w:hAnsi="Arial"/>
                <w:sz w:val="14"/>
                <w:szCs w:val="14"/>
                <w:color w:val="auto"/>
              </w:rPr>
              <w:t>incorporation/</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20"/>
                <w:szCs w:val="20"/>
                <w:color w:val="auto"/>
              </w:rPr>
            </w:pPr>
            <w:r>
              <w:rPr>
                <w:rFonts w:ascii="Arial" w:cs="Arial" w:eastAsia="Arial" w:hAnsi="Arial"/>
                <w:sz w:val="14"/>
                <w:szCs w:val="14"/>
                <w:color w:val="auto"/>
              </w:rPr>
              <w:t>Name</w:t>
            </w:r>
          </w:p>
        </w:tc>
        <w:tc>
          <w:tcPr>
            <w:tcW w:w="1160" w:type="dxa"/>
            <w:vAlign w:val="bottom"/>
          </w:tcPr>
          <w:p>
            <w:pPr>
              <w:ind w:left="100"/>
              <w:spacing w:after="0"/>
              <w:rPr>
                <w:sz w:val="20"/>
                <w:szCs w:val="20"/>
                <w:color w:val="auto"/>
              </w:rPr>
            </w:pPr>
            <w:r>
              <w:rPr>
                <w:rFonts w:ascii="Arial" w:cs="Arial" w:eastAsia="Arial" w:hAnsi="Arial"/>
                <w:sz w:val="14"/>
                <w:szCs w:val="14"/>
                <w:color w:val="auto"/>
              </w:rPr>
              <w:t>Relationship</w:t>
            </w:r>
          </w:p>
        </w:tc>
        <w:tc>
          <w:tcPr>
            <w:tcW w:w="1280" w:type="dxa"/>
            <w:vAlign w:val="bottom"/>
          </w:tcPr>
          <w:p>
            <w:pPr>
              <w:ind w:left="380"/>
              <w:spacing w:after="0"/>
              <w:rPr>
                <w:sz w:val="20"/>
                <w:szCs w:val="20"/>
                <w:color w:val="auto"/>
              </w:rPr>
            </w:pPr>
            <w:r>
              <w:rPr>
                <w:rFonts w:ascii="Arial" w:cs="Arial" w:eastAsia="Arial" w:hAnsi="Arial"/>
                <w:sz w:val="14"/>
                <w:szCs w:val="14"/>
                <w:color w:val="auto"/>
              </w:rPr>
              <w:t>ownership</w:t>
            </w:r>
          </w:p>
        </w:tc>
        <w:tc>
          <w:tcPr>
            <w:tcW w:w="1540" w:type="dxa"/>
            <w:vAlign w:val="bottom"/>
          </w:tcPr>
          <w:p>
            <w:pPr>
              <w:ind w:left="300"/>
              <w:spacing w:after="0"/>
              <w:rPr>
                <w:sz w:val="20"/>
                <w:szCs w:val="20"/>
                <w:color w:val="auto"/>
              </w:rPr>
            </w:pPr>
            <w:r>
              <w:rPr>
                <w:rFonts w:ascii="Arial" w:cs="Arial" w:eastAsia="Arial" w:hAnsi="Arial"/>
                <w:sz w:val="14"/>
                <w:szCs w:val="14"/>
                <w:color w:val="auto"/>
              </w:rPr>
              <w:t>incorporation</w:t>
            </w:r>
          </w:p>
        </w:tc>
        <w:tc>
          <w:tcPr>
            <w:tcW w:w="1460" w:type="dxa"/>
            <w:vAlign w:val="bottom"/>
          </w:tcPr>
          <w:p>
            <w:pPr>
              <w:ind w:left="320"/>
              <w:spacing w:after="0"/>
              <w:rPr>
                <w:sz w:val="20"/>
                <w:szCs w:val="20"/>
                <w:color w:val="auto"/>
              </w:rPr>
            </w:pPr>
            <w:r>
              <w:rPr>
                <w:rFonts w:ascii="Arial" w:cs="Arial" w:eastAsia="Arial" w:hAnsi="Arial"/>
                <w:sz w:val="14"/>
                <w:szCs w:val="14"/>
                <w:color w:val="auto"/>
              </w:rPr>
              <w:t>establishment</w:t>
            </w:r>
          </w:p>
        </w:tc>
        <w:tc>
          <w:tcPr>
            <w:tcW w:w="2260" w:type="dxa"/>
            <w:vAlign w:val="bottom"/>
          </w:tcPr>
          <w:p>
            <w:pPr>
              <w:ind w:left="34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254"/>
        </w:trPr>
        <w:tc>
          <w:tcPr>
            <w:tcW w:w="2440" w:type="dxa"/>
            <w:vAlign w:val="bottom"/>
          </w:tcPr>
          <w:p>
            <w:pPr>
              <w:spacing w:after="0"/>
              <w:rPr>
                <w:sz w:val="20"/>
                <w:szCs w:val="20"/>
                <w:color w:val="auto"/>
              </w:rPr>
            </w:pPr>
            <w:r>
              <w:rPr>
                <w:rFonts w:ascii="Arial" w:cs="Arial" w:eastAsia="Arial" w:hAnsi="Arial"/>
                <w:sz w:val="14"/>
                <w:szCs w:val="14"/>
                <w:color w:val="auto"/>
              </w:rPr>
              <w:t>Tetris Media Limited</w:t>
            </w:r>
          </w:p>
        </w:tc>
        <w:tc>
          <w:tcPr>
            <w:tcW w:w="1160" w:type="dxa"/>
            <w:vAlign w:val="bottom"/>
          </w:tcPr>
          <w:p>
            <w:pPr>
              <w:ind w:left="100"/>
              <w:spacing w:after="0"/>
              <w:rPr>
                <w:sz w:val="20"/>
                <w:szCs w:val="20"/>
                <w:color w:val="auto"/>
              </w:rPr>
            </w:pPr>
            <w:r>
              <w:rPr>
                <w:rFonts w:ascii="Arial" w:cs="Arial" w:eastAsia="Arial" w:hAnsi="Arial"/>
                <w:sz w:val="14"/>
                <w:szCs w:val="14"/>
                <w:color w:val="auto"/>
              </w:rPr>
              <w:t>Subsidiary</w:t>
            </w:r>
          </w:p>
        </w:tc>
        <w:tc>
          <w:tcPr>
            <w:tcW w:w="1280" w:type="dxa"/>
            <w:vAlign w:val="bottom"/>
          </w:tcPr>
          <w:p>
            <w:pPr>
              <w:ind w:left="380"/>
              <w:spacing w:after="0"/>
              <w:rPr>
                <w:sz w:val="20"/>
                <w:szCs w:val="20"/>
                <w:color w:val="auto"/>
              </w:rPr>
            </w:pPr>
            <w:r>
              <w:rPr>
                <w:rFonts w:ascii="Arial" w:cs="Arial" w:eastAsia="Arial" w:hAnsi="Arial"/>
                <w:sz w:val="14"/>
                <w:szCs w:val="14"/>
                <w:color w:val="auto"/>
              </w:rPr>
              <w:t>100%</w:t>
            </w:r>
          </w:p>
        </w:tc>
        <w:tc>
          <w:tcPr>
            <w:tcW w:w="1540" w:type="dxa"/>
            <w:vAlign w:val="bottom"/>
          </w:tcPr>
          <w:p>
            <w:pPr>
              <w:ind w:left="300"/>
              <w:spacing w:after="0"/>
              <w:rPr>
                <w:sz w:val="20"/>
                <w:szCs w:val="20"/>
                <w:color w:val="auto"/>
              </w:rPr>
            </w:pPr>
            <w:r>
              <w:rPr>
                <w:rFonts w:ascii="Arial" w:cs="Arial" w:eastAsia="Arial" w:hAnsi="Arial"/>
                <w:sz w:val="14"/>
                <w:szCs w:val="14"/>
                <w:color w:val="auto"/>
              </w:rPr>
              <w:t>July 2007</w:t>
            </w:r>
          </w:p>
        </w:tc>
        <w:tc>
          <w:tcPr>
            <w:tcW w:w="1460" w:type="dxa"/>
            <w:vAlign w:val="bottom"/>
          </w:tcPr>
          <w:p>
            <w:pPr>
              <w:ind w:left="460"/>
              <w:spacing w:after="0"/>
              <w:rPr>
                <w:sz w:val="20"/>
                <w:szCs w:val="20"/>
                <w:color w:val="auto"/>
              </w:rPr>
            </w:pPr>
            <w:r>
              <w:rPr>
                <w:rFonts w:ascii="Arial" w:cs="Arial" w:eastAsia="Arial" w:hAnsi="Arial"/>
                <w:sz w:val="14"/>
                <w:szCs w:val="14"/>
                <w:color w:val="auto"/>
              </w:rPr>
              <w:t>Hong Kong</w:t>
            </w:r>
          </w:p>
        </w:tc>
        <w:tc>
          <w:tcPr>
            <w:tcW w:w="2260" w:type="dxa"/>
            <w:vAlign w:val="bottom"/>
          </w:tcPr>
          <w:p>
            <w:pPr>
              <w:ind w:left="34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60" w:type="dxa"/>
            <w:vAlign w:val="bottom"/>
          </w:tcPr>
          <w:p>
            <w:pPr>
              <w:ind w:left="340"/>
              <w:spacing w:after="0" w:line="143" w:lineRule="exact"/>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143"/>
        </w:trPr>
        <w:tc>
          <w:tcPr>
            <w:tcW w:w="2440" w:type="dxa"/>
            <w:vAlign w:val="bottom"/>
          </w:tcPr>
          <w:p>
            <w:pPr>
              <w:spacing w:after="0" w:line="143" w:lineRule="exact"/>
              <w:rPr>
                <w:sz w:val="20"/>
                <w:szCs w:val="20"/>
                <w:color w:val="auto"/>
              </w:rPr>
            </w:pPr>
            <w:r>
              <w:rPr>
                <w:rFonts w:ascii="Arial" w:cs="Arial" w:eastAsia="Arial" w:hAnsi="Arial"/>
                <w:sz w:val="14"/>
                <w:szCs w:val="14"/>
                <w:color w:val="auto"/>
              </w:rPr>
              <w:t>iClick Interactive Asia Limited</w:t>
            </w:r>
          </w:p>
        </w:tc>
        <w:tc>
          <w:tcPr>
            <w:tcW w:w="1160" w:type="dxa"/>
            <w:vAlign w:val="bottom"/>
          </w:tcPr>
          <w:p>
            <w:pPr>
              <w:ind w:left="100"/>
              <w:spacing w:after="0" w:line="143" w:lineRule="exact"/>
              <w:rPr>
                <w:sz w:val="20"/>
                <w:szCs w:val="20"/>
                <w:color w:val="auto"/>
              </w:rPr>
            </w:pPr>
            <w:r>
              <w:rPr>
                <w:rFonts w:ascii="Arial" w:cs="Arial" w:eastAsia="Arial" w:hAnsi="Arial"/>
                <w:sz w:val="14"/>
                <w:szCs w:val="14"/>
                <w:color w:val="auto"/>
              </w:rPr>
              <w:t>Subsidiary</w:t>
            </w:r>
          </w:p>
        </w:tc>
        <w:tc>
          <w:tcPr>
            <w:tcW w:w="1280" w:type="dxa"/>
            <w:vAlign w:val="bottom"/>
          </w:tcPr>
          <w:p>
            <w:pPr>
              <w:ind w:left="380"/>
              <w:spacing w:after="0" w:line="143" w:lineRule="exact"/>
              <w:rPr>
                <w:sz w:val="20"/>
                <w:szCs w:val="20"/>
                <w:color w:val="auto"/>
              </w:rPr>
            </w:pPr>
            <w:r>
              <w:rPr>
                <w:rFonts w:ascii="Arial" w:cs="Arial" w:eastAsia="Arial" w:hAnsi="Arial"/>
                <w:sz w:val="14"/>
                <w:szCs w:val="14"/>
                <w:color w:val="auto"/>
              </w:rPr>
              <w:t>100%</w:t>
            </w:r>
          </w:p>
        </w:tc>
        <w:tc>
          <w:tcPr>
            <w:tcW w:w="1540" w:type="dxa"/>
            <w:vAlign w:val="bottom"/>
          </w:tcPr>
          <w:p>
            <w:pPr>
              <w:ind w:left="300"/>
              <w:spacing w:after="0" w:line="143" w:lineRule="exact"/>
              <w:rPr>
                <w:sz w:val="20"/>
                <w:szCs w:val="20"/>
                <w:color w:val="auto"/>
              </w:rPr>
            </w:pPr>
            <w:r>
              <w:rPr>
                <w:rFonts w:ascii="Arial" w:cs="Arial" w:eastAsia="Arial" w:hAnsi="Arial"/>
                <w:sz w:val="14"/>
                <w:szCs w:val="14"/>
                <w:color w:val="auto"/>
              </w:rPr>
              <w:t>December 2008</w:t>
            </w:r>
          </w:p>
        </w:tc>
        <w:tc>
          <w:tcPr>
            <w:tcW w:w="1460" w:type="dxa"/>
            <w:vAlign w:val="bottom"/>
          </w:tcPr>
          <w:p>
            <w:pPr>
              <w:ind w:left="460"/>
              <w:spacing w:after="0" w:line="143" w:lineRule="exact"/>
              <w:rPr>
                <w:sz w:val="20"/>
                <w:szCs w:val="20"/>
                <w:color w:val="auto"/>
              </w:rPr>
            </w:pPr>
            <w:r>
              <w:rPr>
                <w:rFonts w:ascii="Arial" w:cs="Arial" w:eastAsia="Arial" w:hAnsi="Arial"/>
                <w:sz w:val="14"/>
                <w:szCs w:val="14"/>
                <w:color w:val="auto"/>
              </w:rPr>
              <w:t>Hong Kong</w:t>
            </w:r>
          </w:p>
        </w:tc>
        <w:tc>
          <w:tcPr>
            <w:tcW w:w="2260" w:type="dxa"/>
            <w:vAlign w:val="bottom"/>
          </w:tcPr>
          <w:p>
            <w:pPr>
              <w:ind w:left="340"/>
              <w:spacing w:after="0" w:line="143" w:lineRule="exact"/>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ind w:left="340"/>
              <w:spacing w:after="0"/>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254"/>
        </w:trPr>
        <w:tc>
          <w:tcPr>
            <w:tcW w:w="2440" w:type="dxa"/>
            <w:vAlign w:val="bottom"/>
            <w:vMerge w:val="restart"/>
          </w:tcPr>
          <w:p>
            <w:pPr>
              <w:spacing w:after="0"/>
              <w:rPr>
                <w:sz w:val="20"/>
                <w:szCs w:val="20"/>
                <w:color w:val="auto"/>
              </w:rPr>
            </w:pPr>
            <w:r>
              <w:rPr>
                <w:rFonts w:ascii="Arial" w:cs="Arial" w:eastAsia="Arial" w:hAnsi="Arial"/>
                <w:sz w:val="14"/>
                <w:szCs w:val="14"/>
                <w:color w:val="auto"/>
              </w:rPr>
              <w:t>China Search (Asia) Limited</w:t>
            </w:r>
          </w:p>
        </w:tc>
        <w:tc>
          <w:tcPr>
            <w:tcW w:w="1160" w:type="dxa"/>
            <w:vAlign w:val="bottom"/>
          </w:tcPr>
          <w:p>
            <w:pPr>
              <w:ind w:left="100"/>
              <w:spacing w:after="0"/>
              <w:rPr>
                <w:sz w:val="20"/>
                <w:szCs w:val="20"/>
                <w:color w:val="auto"/>
              </w:rPr>
            </w:pPr>
            <w:r>
              <w:rPr>
                <w:rFonts w:ascii="Arial" w:cs="Arial" w:eastAsia="Arial" w:hAnsi="Arial"/>
                <w:sz w:val="14"/>
                <w:szCs w:val="14"/>
                <w:color w:val="auto"/>
              </w:rPr>
              <w:t>Subsidiary</w:t>
            </w:r>
          </w:p>
        </w:tc>
        <w:tc>
          <w:tcPr>
            <w:tcW w:w="1280" w:type="dxa"/>
            <w:vAlign w:val="bottom"/>
          </w:tcPr>
          <w:p>
            <w:pPr>
              <w:ind w:left="380"/>
              <w:spacing w:after="0"/>
              <w:rPr>
                <w:sz w:val="20"/>
                <w:szCs w:val="20"/>
                <w:color w:val="auto"/>
              </w:rPr>
            </w:pPr>
            <w:r>
              <w:rPr>
                <w:rFonts w:ascii="Arial" w:cs="Arial" w:eastAsia="Arial" w:hAnsi="Arial"/>
                <w:sz w:val="14"/>
                <w:szCs w:val="14"/>
                <w:color w:val="auto"/>
              </w:rPr>
              <w:t>100%</w:t>
            </w:r>
          </w:p>
        </w:tc>
        <w:tc>
          <w:tcPr>
            <w:tcW w:w="1540" w:type="dxa"/>
            <w:vAlign w:val="bottom"/>
          </w:tcPr>
          <w:p>
            <w:pPr>
              <w:ind w:left="300"/>
              <w:spacing w:after="0"/>
              <w:rPr>
                <w:sz w:val="20"/>
                <w:szCs w:val="20"/>
                <w:color w:val="auto"/>
              </w:rPr>
            </w:pPr>
            <w:r>
              <w:rPr>
                <w:rFonts w:ascii="Arial" w:cs="Arial" w:eastAsia="Arial" w:hAnsi="Arial"/>
                <w:sz w:val="14"/>
                <w:szCs w:val="14"/>
                <w:color w:val="auto"/>
              </w:rPr>
              <w:t>September 2010</w:t>
            </w:r>
          </w:p>
        </w:tc>
        <w:tc>
          <w:tcPr>
            <w:tcW w:w="1460" w:type="dxa"/>
            <w:vAlign w:val="bottom"/>
          </w:tcPr>
          <w:p>
            <w:pPr>
              <w:ind w:left="460"/>
              <w:spacing w:after="0"/>
              <w:rPr>
                <w:sz w:val="20"/>
                <w:szCs w:val="20"/>
                <w:color w:val="auto"/>
              </w:rPr>
            </w:pPr>
            <w:r>
              <w:rPr>
                <w:rFonts w:ascii="Arial" w:cs="Arial" w:eastAsia="Arial" w:hAnsi="Arial"/>
                <w:sz w:val="14"/>
                <w:szCs w:val="14"/>
                <w:color w:val="auto"/>
              </w:rPr>
              <w:t>Hong Kong</w:t>
            </w:r>
          </w:p>
        </w:tc>
        <w:tc>
          <w:tcPr>
            <w:tcW w:w="2260" w:type="dxa"/>
            <w:vAlign w:val="bottom"/>
          </w:tcPr>
          <w:p>
            <w:pPr>
              <w:ind w:left="34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98"/>
        </w:trPr>
        <w:tc>
          <w:tcPr>
            <w:tcW w:w="244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60" w:type="dxa"/>
            <w:vAlign w:val="bottom"/>
            <w:vMerge w:val="restart"/>
          </w:tcPr>
          <w:p>
            <w:pPr>
              <w:ind w:left="340"/>
              <w:spacing w:after="0"/>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78"/>
        </w:trPr>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7"/>
        </w:trPr>
        <w:tc>
          <w:tcPr>
            <w:tcW w:w="2440" w:type="dxa"/>
            <w:vAlign w:val="bottom"/>
          </w:tcPr>
          <w:p>
            <w:pPr>
              <w:spacing w:after="0"/>
              <w:rPr>
                <w:sz w:val="20"/>
                <w:szCs w:val="20"/>
                <w:color w:val="auto"/>
              </w:rPr>
            </w:pPr>
            <w:r>
              <w:rPr>
                <w:rFonts w:ascii="Arial" w:cs="Arial" w:eastAsia="Arial" w:hAnsi="Arial"/>
                <w:sz w:val="14"/>
                <w:szCs w:val="14"/>
                <w:color w:val="auto"/>
              </w:rPr>
              <w:t>iClick Interactive (Singapore) Pte. Ltd.</w:t>
            </w:r>
          </w:p>
        </w:tc>
        <w:tc>
          <w:tcPr>
            <w:tcW w:w="1160" w:type="dxa"/>
            <w:vAlign w:val="bottom"/>
          </w:tcPr>
          <w:p>
            <w:pPr>
              <w:ind w:left="100"/>
              <w:spacing w:after="0"/>
              <w:rPr>
                <w:sz w:val="20"/>
                <w:szCs w:val="20"/>
                <w:color w:val="auto"/>
              </w:rPr>
            </w:pPr>
            <w:r>
              <w:rPr>
                <w:rFonts w:ascii="Arial" w:cs="Arial" w:eastAsia="Arial" w:hAnsi="Arial"/>
                <w:sz w:val="14"/>
                <w:szCs w:val="14"/>
                <w:color w:val="auto"/>
              </w:rPr>
              <w:t>Subsidiary</w:t>
            </w:r>
          </w:p>
        </w:tc>
        <w:tc>
          <w:tcPr>
            <w:tcW w:w="1280" w:type="dxa"/>
            <w:vAlign w:val="bottom"/>
          </w:tcPr>
          <w:p>
            <w:pPr>
              <w:ind w:left="380"/>
              <w:spacing w:after="0"/>
              <w:rPr>
                <w:sz w:val="20"/>
                <w:szCs w:val="20"/>
                <w:color w:val="auto"/>
              </w:rPr>
            </w:pPr>
            <w:r>
              <w:rPr>
                <w:rFonts w:ascii="Arial" w:cs="Arial" w:eastAsia="Arial" w:hAnsi="Arial"/>
                <w:sz w:val="14"/>
                <w:szCs w:val="14"/>
                <w:color w:val="auto"/>
              </w:rPr>
              <w:t>100%</w:t>
            </w:r>
          </w:p>
        </w:tc>
        <w:tc>
          <w:tcPr>
            <w:tcW w:w="1540" w:type="dxa"/>
            <w:vAlign w:val="bottom"/>
          </w:tcPr>
          <w:p>
            <w:pPr>
              <w:ind w:left="300"/>
              <w:spacing w:after="0"/>
              <w:rPr>
                <w:sz w:val="20"/>
                <w:szCs w:val="20"/>
                <w:color w:val="auto"/>
              </w:rPr>
            </w:pPr>
            <w:r>
              <w:rPr>
                <w:rFonts w:ascii="Arial" w:cs="Arial" w:eastAsia="Arial" w:hAnsi="Arial"/>
                <w:sz w:val="14"/>
                <w:szCs w:val="14"/>
                <w:color w:val="auto"/>
              </w:rPr>
              <w:t>January 2011</w:t>
            </w:r>
          </w:p>
        </w:tc>
        <w:tc>
          <w:tcPr>
            <w:tcW w:w="1460" w:type="dxa"/>
            <w:vAlign w:val="bottom"/>
          </w:tcPr>
          <w:p>
            <w:pPr>
              <w:ind w:left="460"/>
              <w:spacing w:after="0"/>
              <w:rPr>
                <w:sz w:val="20"/>
                <w:szCs w:val="20"/>
                <w:color w:val="auto"/>
              </w:rPr>
            </w:pPr>
            <w:r>
              <w:rPr>
                <w:rFonts w:ascii="Arial" w:cs="Arial" w:eastAsia="Arial" w:hAnsi="Arial"/>
                <w:sz w:val="14"/>
                <w:szCs w:val="14"/>
                <w:color w:val="auto"/>
              </w:rPr>
              <w:t>Singapore</w:t>
            </w:r>
          </w:p>
        </w:tc>
        <w:tc>
          <w:tcPr>
            <w:tcW w:w="2260" w:type="dxa"/>
            <w:vAlign w:val="bottom"/>
          </w:tcPr>
          <w:p>
            <w:pPr>
              <w:ind w:left="34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60" w:type="dxa"/>
            <w:vAlign w:val="bottom"/>
          </w:tcPr>
          <w:p>
            <w:pPr>
              <w:ind w:left="340"/>
              <w:spacing w:after="0" w:line="143" w:lineRule="exact"/>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143"/>
        </w:trPr>
        <w:tc>
          <w:tcPr>
            <w:tcW w:w="2440" w:type="dxa"/>
            <w:vAlign w:val="bottom"/>
          </w:tcPr>
          <w:p>
            <w:pPr>
              <w:spacing w:after="0" w:line="143" w:lineRule="exact"/>
              <w:rPr>
                <w:sz w:val="20"/>
                <w:szCs w:val="20"/>
                <w:color w:val="auto"/>
              </w:rPr>
            </w:pPr>
            <w:r>
              <w:rPr>
                <w:rFonts w:ascii="Arial" w:cs="Arial" w:eastAsia="Arial" w:hAnsi="Arial"/>
                <w:sz w:val="14"/>
                <w:szCs w:val="14"/>
                <w:color w:val="auto"/>
                <w:w w:val="97"/>
              </w:rPr>
              <w:t>iClick Data Technology (Beijing) Limited</w:t>
            </w:r>
          </w:p>
        </w:tc>
        <w:tc>
          <w:tcPr>
            <w:tcW w:w="1160" w:type="dxa"/>
            <w:vAlign w:val="bottom"/>
          </w:tcPr>
          <w:p>
            <w:pPr>
              <w:ind w:left="100"/>
              <w:spacing w:after="0" w:line="143" w:lineRule="exact"/>
              <w:rPr>
                <w:sz w:val="20"/>
                <w:szCs w:val="20"/>
                <w:color w:val="auto"/>
              </w:rPr>
            </w:pPr>
            <w:r>
              <w:rPr>
                <w:rFonts w:ascii="Arial" w:cs="Arial" w:eastAsia="Arial" w:hAnsi="Arial"/>
                <w:sz w:val="14"/>
                <w:szCs w:val="14"/>
                <w:color w:val="auto"/>
              </w:rPr>
              <w:t>Subsidiary</w:t>
            </w:r>
          </w:p>
        </w:tc>
        <w:tc>
          <w:tcPr>
            <w:tcW w:w="1280" w:type="dxa"/>
            <w:vAlign w:val="bottom"/>
          </w:tcPr>
          <w:p>
            <w:pPr>
              <w:ind w:left="380"/>
              <w:spacing w:after="0" w:line="143" w:lineRule="exact"/>
              <w:rPr>
                <w:sz w:val="20"/>
                <w:szCs w:val="20"/>
                <w:color w:val="auto"/>
              </w:rPr>
            </w:pPr>
            <w:r>
              <w:rPr>
                <w:rFonts w:ascii="Arial" w:cs="Arial" w:eastAsia="Arial" w:hAnsi="Arial"/>
                <w:sz w:val="14"/>
                <w:szCs w:val="14"/>
                <w:color w:val="auto"/>
              </w:rPr>
              <w:t>100%</w:t>
            </w:r>
          </w:p>
        </w:tc>
        <w:tc>
          <w:tcPr>
            <w:tcW w:w="1540" w:type="dxa"/>
            <w:vAlign w:val="bottom"/>
          </w:tcPr>
          <w:p>
            <w:pPr>
              <w:ind w:left="300"/>
              <w:spacing w:after="0" w:line="143" w:lineRule="exact"/>
              <w:rPr>
                <w:sz w:val="20"/>
                <w:szCs w:val="20"/>
                <w:color w:val="auto"/>
              </w:rPr>
            </w:pPr>
            <w:r>
              <w:rPr>
                <w:rFonts w:ascii="Arial" w:cs="Arial" w:eastAsia="Arial" w:hAnsi="Arial"/>
                <w:sz w:val="14"/>
                <w:szCs w:val="14"/>
                <w:color w:val="auto"/>
              </w:rPr>
              <w:t>January 2011</w:t>
            </w:r>
          </w:p>
        </w:tc>
        <w:tc>
          <w:tcPr>
            <w:tcW w:w="1460" w:type="dxa"/>
            <w:vAlign w:val="bottom"/>
          </w:tcPr>
          <w:p>
            <w:pPr>
              <w:ind w:left="460"/>
              <w:spacing w:after="0" w:line="143" w:lineRule="exact"/>
              <w:rPr>
                <w:sz w:val="20"/>
                <w:szCs w:val="20"/>
                <w:color w:val="auto"/>
              </w:rPr>
            </w:pPr>
            <w:r>
              <w:rPr>
                <w:rFonts w:ascii="Arial" w:cs="Arial" w:eastAsia="Arial" w:hAnsi="Arial"/>
                <w:sz w:val="14"/>
                <w:szCs w:val="14"/>
                <w:color w:val="auto"/>
              </w:rPr>
              <w:t>The PRC</w:t>
            </w:r>
          </w:p>
        </w:tc>
        <w:tc>
          <w:tcPr>
            <w:tcW w:w="2260" w:type="dxa"/>
            <w:vAlign w:val="bottom"/>
          </w:tcPr>
          <w:p>
            <w:pPr>
              <w:ind w:left="340"/>
              <w:spacing w:after="0" w:line="143" w:lineRule="exact"/>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43"/>
        </w:trPr>
        <w:tc>
          <w:tcPr>
            <w:tcW w:w="2440" w:type="dxa"/>
            <w:vAlign w:val="bottom"/>
          </w:tcPr>
          <w:p>
            <w:pPr>
              <w:spacing w:after="0" w:line="143" w:lineRule="exact"/>
              <w:rPr>
                <w:sz w:val="20"/>
                <w:szCs w:val="20"/>
                <w:color w:val="auto"/>
              </w:rPr>
            </w:pPr>
            <w:r>
              <w:rPr>
                <w:rFonts w:ascii="Arial" w:cs="Arial" w:eastAsia="Arial" w:hAnsi="Arial"/>
                <w:sz w:val="14"/>
                <w:szCs w:val="14"/>
                <w:color w:val="auto"/>
              </w:rPr>
              <w:t>(previously named iClick Interactive</w:t>
            </w: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60" w:type="dxa"/>
            <w:vAlign w:val="bottom"/>
          </w:tcPr>
          <w:p>
            <w:pPr>
              <w:ind w:left="340"/>
              <w:spacing w:after="0" w:line="143" w:lineRule="exact"/>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20"/>
                <w:szCs w:val="20"/>
                <w:color w:val="auto"/>
              </w:rPr>
            </w:pPr>
            <w:r>
              <w:rPr>
                <w:rFonts w:ascii="Arial" w:cs="Arial" w:eastAsia="Arial" w:hAnsi="Arial"/>
                <w:sz w:val="14"/>
                <w:szCs w:val="14"/>
                <w:color w:val="auto"/>
              </w:rPr>
              <w:t>(Beijing) Advertisement Co., Ltd.)</w:t>
            </w: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440" w:type="dxa"/>
            <w:vAlign w:val="bottom"/>
          </w:tcPr>
          <w:p>
            <w:pPr>
              <w:spacing w:after="0"/>
              <w:rPr>
                <w:sz w:val="20"/>
                <w:szCs w:val="20"/>
                <w:color w:val="auto"/>
              </w:rPr>
            </w:pPr>
            <w:r>
              <w:rPr>
                <w:rFonts w:ascii="Arial" w:cs="Arial" w:eastAsia="Arial" w:hAnsi="Arial"/>
                <w:sz w:val="14"/>
                <w:szCs w:val="14"/>
                <w:color w:val="auto"/>
                <w:w w:val="93"/>
              </w:rPr>
              <w:t>Search Asia Technology (Shenzhen) Co.,</w:t>
            </w:r>
          </w:p>
        </w:tc>
        <w:tc>
          <w:tcPr>
            <w:tcW w:w="1160" w:type="dxa"/>
            <w:vAlign w:val="bottom"/>
          </w:tcPr>
          <w:p>
            <w:pPr>
              <w:ind w:left="100"/>
              <w:spacing w:after="0"/>
              <w:rPr>
                <w:sz w:val="20"/>
                <w:szCs w:val="20"/>
                <w:color w:val="auto"/>
              </w:rPr>
            </w:pPr>
            <w:r>
              <w:rPr>
                <w:rFonts w:ascii="Arial" w:cs="Arial" w:eastAsia="Arial" w:hAnsi="Arial"/>
                <w:sz w:val="14"/>
                <w:szCs w:val="14"/>
                <w:color w:val="auto"/>
              </w:rPr>
              <w:t>Subsidiary</w:t>
            </w:r>
          </w:p>
        </w:tc>
        <w:tc>
          <w:tcPr>
            <w:tcW w:w="1280" w:type="dxa"/>
            <w:vAlign w:val="bottom"/>
          </w:tcPr>
          <w:p>
            <w:pPr>
              <w:ind w:left="380"/>
              <w:spacing w:after="0"/>
              <w:rPr>
                <w:sz w:val="20"/>
                <w:szCs w:val="20"/>
                <w:color w:val="auto"/>
              </w:rPr>
            </w:pPr>
            <w:r>
              <w:rPr>
                <w:rFonts w:ascii="Arial" w:cs="Arial" w:eastAsia="Arial" w:hAnsi="Arial"/>
                <w:sz w:val="14"/>
                <w:szCs w:val="14"/>
                <w:color w:val="auto"/>
              </w:rPr>
              <w:t>100%</w:t>
            </w:r>
          </w:p>
        </w:tc>
        <w:tc>
          <w:tcPr>
            <w:tcW w:w="1540" w:type="dxa"/>
            <w:vAlign w:val="bottom"/>
          </w:tcPr>
          <w:p>
            <w:pPr>
              <w:ind w:left="300"/>
              <w:spacing w:after="0"/>
              <w:rPr>
                <w:sz w:val="20"/>
                <w:szCs w:val="20"/>
                <w:color w:val="auto"/>
              </w:rPr>
            </w:pPr>
            <w:r>
              <w:rPr>
                <w:rFonts w:ascii="Arial" w:cs="Arial" w:eastAsia="Arial" w:hAnsi="Arial"/>
                <w:sz w:val="14"/>
                <w:szCs w:val="14"/>
                <w:color w:val="auto"/>
              </w:rPr>
              <w:t>January 2011</w:t>
            </w:r>
          </w:p>
        </w:tc>
        <w:tc>
          <w:tcPr>
            <w:tcW w:w="1460" w:type="dxa"/>
            <w:vAlign w:val="bottom"/>
          </w:tcPr>
          <w:p>
            <w:pPr>
              <w:ind w:left="460"/>
              <w:spacing w:after="0"/>
              <w:rPr>
                <w:sz w:val="20"/>
                <w:szCs w:val="20"/>
                <w:color w:val="auto"/>
              </w:rPr>
            </w:pPr>
            <w:r>
              <w:rPr>
                <w:rFonts w:ascii="Arial" w:cs="Arial" w:eastAsia="Arial" w:hAnsi="Arial"/>
                <w:sz w:val="14"/>
                <w:szCs w:val="14"/>
                <w:color w:val="auto"/>
              </w:rPr>
              <w:t>The PRC</w:t>
            </w:r>
          </w:p>
        </w:tc>
        <w:tc>
          <w:tcPr>
            <w:tcW w:w="2260" w:type="dxa"/>
            <w:vAlign w:val="bottom"/>
          </w:tcPr>
          <w:p>
            <w:pPr>
              <w:ind w:left="34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20"/>
                <w:szCs w:val="20"/>
                <w:color w:val="auto"/>
              </w:rPr>
            </w:pPr>
            <w:r>
              <w:rPr>
                <w:rFonts w:ascii="Arial" w:cs="Arial" w:eastAsia="Arial" w:hAnsi="Arial"/>
                <w:sz w:val="14"/>
                <w:szCs w:val="14"/>
                <w:color w:val="auto"/>
              </w:rPr>
              <w:t>Ltd.</w:t>
            </w: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ind w:left="340"/>
              <w:spacing w:after="0"/>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254"/>
        </w:trPr>
        <w:tc>
          <w:tcPr>
            <w:tcW w:w="2440" w:type="dxa"/>
            <w:vAlign w:val="bottom"/>
          </w:tcPr>
          <w:p>
            <w:pPr>
              <w:spacing w:after="0"/>
              <w:rPr>
                <w:sz w:val="20"/>
                <w:szCs w:val="20"/>
                <w:color w:val="auto"/>
              </w:rPr>
            </w:pPr>
            <w:r>
              <w:rPr>
                <w:rFonts w:ascii="Arial" w:cs="Arial" w:eastAsia="Arial" w:hAnsi="Arial"/>
                <w:sz w:val="14"/>
                <w:szCs w:val="14"/>
                <w:color w:val="auto"/>
              </w:rPr>
              <w:t>Performance Media Group Limited</w:t>
            </w:r>
          </w:p>
        </w:tc>
        <w:tc>
          <w:tcPr>
            <w:tcW w:w="1160" w:type="dxa"/>
            <w:vAlign w:val="bottom"/>
          </w:tcPr>
          <w:p>
            <w:pPr>
              <w:ind w:left="100"/>
              <w:spacing w:after="0"/>
              <w:rPr>
                <w:sz w:val="20"/>
                <w:szCs w:val="20"/>
                <w:color w:val="auto"/>
              </w:rPr>
            </w:pPr>
            <w:r>
              <w:rPr>
                <w:rFonts w:ascii="Arial" w:cs="Arial" w:eastAsia="Arial" w:hAnsi="Arial"/>
                <w:sz w:val="14"/>
                <w:szCs w:val="14"/>
                <w:color w:val="auto"/>
              </w:rPr>
              <w:t>Subsidiary</w:t>
            </w:r>
          </w:p>
        </w:tc>
        <w:tc>
          <w:tcPr>
            <w:tcW w:w="1280" w:type="dxa"/>
            <w:vAlign w:val="bottom"/>
          </w:tcPr>
          <w:p>
            <w:pPr>
              <w:ind w:left="380"/>
              <w:spacing w:after="0"/>
              <w:rPr>
                <w:sz w:val="20"/>
                <w:szCs w:val="20"/>
                <w:color w:val="auto"/>
              </w:rPr>
            </w:pPr>
            <w:r>
              <w:rPr>
                <w:rFonts w:ascii="Arial" w:cs="Arial" w:eastAsia="Arial" w:hAnsi="Arial"/>
                <w:sz w:val="14"/>
                <w:szCs w:val="14"/>
                <w:color w:val="auto"/>
              </w:rPr>
              <w:t>100%</w:t>
            </w:r>
          </w:p>
        </w:tc>
        <w:tc>
          <w:tcPr>
            <w:tcW w:w="1540" w:type="dxa"/>
            <w:vAlign w:val="bottom"/>
          </w:tcPr>
          <w:p>
            <w:pPr>
              <w:ind w:left="300"/>
              <w:spacing w:after="0"/>
              <w:rPr>
                <w:sz w:val="20"/>
                <w:szCs w:val="20"/>
                <w:color w:val="auto"/>
              </w:rPr>
            </w:pPr>
            <w:r>
              <w:rPr>
                <w:rFonts w:ascii="Arial" w:cs="Arial" w:eastAsia="Arial" w:hAnsi="Arial"/>
                <w:sz w:val="14"/>
                <w:szCs w:val="14"/>
                <w:color w:val="auto"/>
              </w:rPr>
              <w:t>January 2013</w:t>
            </w:r>
          </w:p>
        </w:tc>
        <w:tc>
          <w:tcPr>
            <w:tcW w:w="1460" w:type="dxa"/>
            <w:vAlign w:val="bottom"/>
          </w:tcPr>
          <w:p>
            <w:pPr>
              <w:ind w:left="460"/>
              <w:spacing w:after="0"/>
              <w:rPr>
                <w:sz w:val="20"/>
                <w:szCs w:val="20"/>
                <w:color w:val="auto"/>
              </w:rPr>
            </w:pPr>
            <w:r>
              <w:rPr>
                <w:rFonts w:ascii="Arial" w:cs="Arial" w:eastAsia="Arial" w:hAnsi="Arial"/>
                <w:sz w:val="14"/>
                <w:szCs w:val="14"/>
                <w:color w:val="auto"/>
              </w:rPr>
              <w:t>Hong Kong</w:t>
            </w:r>
          </w:p>
        </w:tc>
        <w:tc>
          <w:tcPr>
            <w:tcW w:w="2260" w:type="dxa"/>
            <w:vAlign w:val="bottom"/>
          </w:tcPr>
          <w:p>
            <w:pPr>
              <w:ind w:left="34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60" w:type="dxa"/>
            <w:vAlign w:val="bottom"/>
          </w:tcPr>
          <w:p>
            <w:pPr>
              <w:ind w:left="340"/>
              <w:spacing w:after="0" w:line="143" w:lineRule="exact"/>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143"/>
        </w:trPr>
        <w:tc>
          <w:tcPr>
            <w:tcW w:w="2440" w:type="dxa"/>
            <w:vAlign w:val="bottom"/>
          </w:tcPr>
          <w:p>
            <w:pPr>
              <w:spacing w:after="0" w:line="143" w:lineRule="exact"/>
              <w:rPr>
                <w:sz w:val="20"/>
                <w:szCs w:val="20"/>
                <w:color w:val="auto"/>
              </w:rPr>
            </w:pPr>
            <w:r>
              <w:rPr>
                <w:rFonts w:ascii="Arial" w:cs="Arial" w:eastAsia="Arial" w:hAnsi="Arial"/>
                <w:sz w:val="14"/>
                <w:szCs w:val="14"/>
                <w:color w:val="auto"/>
              </w:rPr>
              <w:t>Addoil Broadcasts Limited (“Addoil”)</w:t>
            </w:r>
          </w:p>
        </w:tc>
        <w:tc>
          <w:tcPr>
            <w:tcW w:w="1160" w:type="dxa"/>
            <w:vAlign w:val="bottom"/>
          </w:tcPr>
          <w:p>
            <w:pPr>
              <w:ind w:left="100"/>
              <w:spacing w:after="0" w:line="143" w:lineRule="exact"/>
              <w:rPr>
                <w:sz w:val="20"/>
                <w:szCs w:val="20"/>
                <w:color w:val="auto"/>
              </w:rPr>
            </w:pPr>
            <w:r>
              <w:rPr>
                <w:rFonts w:ascii="Arial" w:cs="Arial" w:eastAsia="Arial" w:hAnsi="Arial"/>
                <w:sz w:val="14"/>
                <w:szCs w:val="14"/>
                <w:color w:val="auto"/>
              </w:rPr>
              <w:t>Subsidiary</w:t>
            </w:r>
          </w:p>
        </w:tc>
        <w:tc>
          <w:tcPr>
            <w:tcW w:w="1280" w:type="dxa"/>
            <w:vAlign w:val="bottom"/>
          </w:tcPr>
          <w:p>
            <w:pPr>
              <w:ind w:left="380"/>
              <w:spacing w:after="0" w:line="143" w:lineRule="exact"/>
              <w:rPr>
                <w:sz w:val="20"/>
                <w:szCs w:val="20"/>
                <w:color w:val="auto"/>
              </w:rPr>
            </w:pPr>
            <w:r>
              <w:rPr>
                <w:rFonts w:ascii="Arial" w:cs="Arial" w:eastAsia="Arial" w:hAnsi="Arial"/>
                <w:sz w:val="14"/>
                <w:szCs w:val="14"/>
                <w:color w:val="auto"/>
              </w:rPr>
              <w:t>100%</w:t>
            </w:r>
          </w:p>
        </w:tc>
        <w:tc>
          <w:tcPr>
            <w:tcW w:w="1540" w:type="dxa"/>
            <w:vAlign w:val="bottom"/>
          </w:tcPr>
          <w:p>
            <w:pPr>
              <w:ind w:left="300"/>
              <w:spacing w:after="0" w:line="143" w:lineRule="exact"/>
              <w:rPr>
                <w:sz w:val="20"/>
                <w:szCs w:val="20"/>
                <w:color w:val="auto"/>
              </w:rPr>
            </w:pPr>
            <w:r>
              <w:rPr>
                <w:rFonts w:ascii="Arial" w:cs="Arial" w:eastAsia="Arial" w:hAnsi="Arial"/>
                <w:sz w:val="14"/>
                <w:szCs w:val="14"/>
                <w:color w:val="auto"/>
              </w:rPr>
              <w:t>June 2017</w:t>
            </w:r>
          </w:p>
        </w:tc>
        <w:tc>
          <w:tcPr>
            <w:tcW w:w="1460" w:type="dxa"/>
            <w:vAlign w:val="bottom"/>
          </w:tcPr>
          <w:p>
            <w:pPr>
              <w:ind w:left="460"/>
              <w:spacing w:after="0" w:line="143" w:lineRule="exact"/>
              <w:rPr>
                <w:sz w:val="20"/>
                <w:szCs w:val="20"/>
                <w:color w:val="auto"/>
              </w:rPr>
            </w:pPr>
            <w:r>
              <w:rPr>
                <w:rFonts w:ascii="Arial" w:cs="Arial" w:eastAsia="Arial" w:hAnsi="Arial"/>
                <w:sz w:val="14"/>
                <w:szCs w:val="14"/>
                <w:color w:val="auto"/>
              </w:rPr>
              <w:t>Hong Kong</w:t>
            </w:r>
          </w:p>
        </w:tc>
        <w:tc>
          <w:tcPr>
            <w:tcW w:w="2260" w:type="dxa"/>
            <w:vAlign w:val="bottom"/>
          </w:tcPr>
          <w:p>
            <w:pPr>
              <w:ind w:left="340"/>
              <w:spacing w:after="0" w:line="143" w:lineRule="exact"/>
              <w:rPr>
                <w:sz w:val="20"/>
                <w:szCs w:val="20"/>
                <w:color w:val="auto"/>
              </w:rPr>
            </w:pPr>
            <w:r>
              <w:rPr>
                <w:rFonts w:ascii="Arial" w:cs="Arial" w:eastAsia="Arial" w:hAnsi="Arial"/>
                <w:sz w:val="14"/>
                <w:szCs w:val="14"/>
                <w:color w:val="auto"/>
                <w:w w:val="91"/>
              </w:rPr>
              <w:t>Mobile content aggregator, digital</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ind w:left="340"/>
              <w:spacing w:after="0"/>
              <w:rPr>
                <w:sz w:val="20"/>
                <w:szCs w:val="20"/>
                <w:color w:val="auto"/>
              </w:rPr>
            </w:pPr>
            <w:r>
              <w:rPr>
                <w:rFonts w:ascii="Arial" w:cs="Arial" w:eastAsia="Arial" w:hAnsi="Arial"/>
                <w:sz w:val="14"/>
                <w:szCs w:val="14"/>
                <w:color w:val="auto"/>
                <w:w w:val="88"/>
              </w:rPr>
              <w:t>advertising and marketing services</w:t>
            </w:r>
          </w:p>
        </w:tc>
        <w:tc>
          <w:tcPr>
            <w:tcW w:w="0" w:type="dxa"/>
            <w:vAlign w:val="bottom"/>
          </w:tcPr>
          <w:p>
            <w:pPr>
              <w:spacing w:after="0"/>
              <w:rPr>
                <w:sz w:val="1"/>
                <w:szCs w:val="1"/>
                <w:color w:val="auto"/>
              </w:rPr>
            </w:pPr>
          </w:p>
        </w:tc>
      </w:tr>
      <w:tr>
        <w:trPr>
          <w:trHeight w:val="228"/>
        </w:trPr>
        <w:tc>
          <w:tcPr>
            <w:tcW w:w="2440" w:type="dxa"/>
            <w:vAlign w:val="bottom"/>
          </w:tcPr>
          <w:p>
            <w:pPr>
              <w:spacing w:after="0"/>
              <w:rPr>
                <w:sz w:val="20"/>
                <w:szCs w:val="20"/>
                <w:color w:val="auto"/>
              </w:rPr>
            </w:pPr>
            <w:r>
              <w:rPr>
                <w:rFonts w:ascii="Arial" w:cs="Arial" w:eastAsia="Arial" w:hAnsi="Arial"/>
                <w:sz w:val="14"/>
                <w:szCs w:val="14"/>
                <w:color w:val="auto"/>
              </w:rPr>
              <w:t>Tetris Media (Shanghai) Co., Ltd.</w:t>
            </w:r>
          </w:p>
        </w:tc>
        <w:tc>
          <w:tcPr>
            <w:tcW w:w="1160" w:type="dxa"/>
            <w:vAlign w:val="bottom"/>
          </w:tcPr>
          <w:p>
            <w:pPr>
              <w:ind w:left="140"/>
              <w:spacing w:after="0"/>
              <w:rPr>
                <w:sz w:val="20"/>
                <w:szCs w:val="20"/>
                <w:color w:val="auto"/>
              </w:rPr>
            </w:pPr>
            <w:r>
              <w:rPr>
                <w:rFonts w:ascii="Arial" w:cs="Arial" w:eastAsia="Arial" w:hAnsi="Arial"/>
                <w:sz w:val="14"/>
                <w:szCs w:val="14"/>
                <w:color w:val="auto"/>
              </w:rPr>
              <w:t>Subsidiary</w:t>
            </w:r>
          </w:p>
        </w:tc>
        <w:tc>
          <w:tcPr>
            <w:tcW w:w="1280" w:type="dxa"/>
            <w:vAlign w:val="bottom"/>
          </w:tcPr>
          <w:p>
            <w:pPr>
              <w:ind w:left="340"/>
              <w:spacing w:after="0"/>
              <w:rPr>
                <w:sz w:val="20"/>
                <w:szCs w:val="20"/>
                <w:color w:val="auto"/>
              </w:rPr>
            </w:pPr>
            <w:r>
              <w:rPr>
                <w:rFonts w:ascii="Arial" w:cs="Arial" w:eastAsia="Arial" w:hAnsi="Arial"/>
                <w:sz w:val="14"/>
                <w:szCs w:val="14"/>
                <w:color w:val="auto"/>
              </w:rPr>
              <w:t>100%</w:t>
            </w:r>
          </w:p>
        </w:tc>
        <w:tc>
          <w:tcPr>
            <w:tcW w:w="1540" w:type="dxa"/>
            <w:vAlign w:val="bottom"/>
          </w:tcPr>
          <w:p>
            <w:pPr>
              <w:ind w:left="320"/>
              <w:spacing w:after="0"/>
              <w:rPr>
                <w:sz w:val="20"/>
                <w:szCs w:val="20"/>
                <w:color w:val="auto"/>
              </w:rPr>
            </w:pPr>
            <w:r>
              <w:rPr>
                <w:rFonts w:ascii="Arial" w:cs="Arial" w:eastAsia="Arial" w:hAnsi="Arial"/>
                <w:sz w:val="14"/>
                <w:szCs w:val="14"/>
                <w:color w:val="auto"/>
              </w:rPr>
              <w:t>July 2013</w:t>
            </w:r>
          </w:p>
        </w:tc>
        <w:tc>
          <w:tcPr>
            <w:tcW w:w="1460" w:type="dxa"/>
            <w:vAlign w:val="bottom"/>
          </w:tcPr>
          <w:p>
            <w:pPr>
              <w:ind w:left="440"/>
              <w:spacing w:after="0"/>
              <w:rPr>
                <w:sz w:val="20"/>
                <w:szCs w:val="20"/>
                <w:color w:val="auto"/>
              </w:rPr>
            </w:pPr>
            <w:r>
              <w:rPr>
                <w:rFonts w:ascii="Arial" w:cs="Arial" w:eastAsia="Arial" w:hAnsi="Arial"/>
                <w:sz w:val="14"/>
                <w:szCs w:val="14"/>
                <w:color w:val="auto"/>
              </w:rPr>
              <w:t>The PRC</w:t>
            </w:r>
          </w:p>
        </w:tc>
        <w:tc>
          <w:tcPr>
            <w:tcW w:w="2260" w:type="dxa"/>
            <w:vAlign w:val="bottom"/>
          </w:tcPr>
          <w:p>
            <w:pPr>
              <w:ind w:left="36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ind w:left="360"/>
              <w:spacing w:after="0"/>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527"/>
        </w:trPr>
        <w:tc>
          <w:tcPr>
            <w:tcW w:w="2440" w:type="dxa"/>
            <w:vAlign w:val="bottom"/>
          </w:tcPr>
          <w:p>
            <w:pPr>
              <w:spacing w:after="0"/>
              <w:rPr>
                <w:sz w:val="20"/>
                <w:szCs w:val="20"/>
                <w:color w:val="auto"/>
              </w:rPr>
            </w:pPr>
            <w:r>
              <w:rPr>
                <w:rFonts w:ascii="Arial" w:cs="Arial" w:eastAsia="Arial" w:hAnsi="Arial"/>
                <w:sz w:val="14"/>
                <w:szCs w:val="14"/>
                <w:color w:val="auto"/>
                <w:w w:val="95"/>
              </w:rPr>
              <w:t>OptAim (Beijing) Information Technology</w:t>
            </w:r>
          </w:p>
        </w:tc>
        <w:tc>
          <w:tcPr>
            <w:tcW w:w="1160" w:type="dxa"/>
            <w:vAlign w:val="bottom"/>
          </w:tcPr>
          <w:p>
            <w:pPr>
              <w:ind w:left="140"/>
              <w:spacing w:after="0"/>
              <w:rPr>
                <w:sz w:val="20"/>
                <w:szCs w:val="20"/>
                <w:color w:val="auto"/>
              </w:rPr>
            </w:pPr>
            <w:r>
              <w:rPr>
                <w:rFonts w:ascii="Arial" w:cs="Arial" w:eastAsia="Arial" w:hAnsi="Arial"/>
                <w:sz w:val="14"/>
                <w:szCs w:val="14"/>
                <w:color w:val="auto"/>
              </w:rPr>
              <w:t>Subsidiary</w:t>
            </w:r>
          </w:p>
        </w:tc>
        <w:tc>
          <w:tcPr>
            <w:tcW w:w="1280" w:type="dxa"/>
            <w:vAlign w:val="bottom"/>
          </w:tcPr>
          <w:p>
            <w:pPr>
              <w:ind w:left="340"/>
              <w:spacing w:after="0"/>
              <w:rPr>
                <w:sz w:val="20"/>
                <w:szCs w:val="20"/>
                <w:color w:val="auto"/>
              </w:rPr>
            </w:pPr>
            <w:r>
              <w:rPr>
                <w:rFonts w:ascii="Arial" w:cs="Arial" w:eastAsia="Arial" w:hAnsi="Arial"/>
                <w:sz w:val="14"/>
                <w:szCs w:val="14"/>
                <w:color w:val="auto"/>
              </w:rPr>
              <w:t>100%</w:t>
            </w:r>
          </w:p>
        </w:tc>
        <w:tc>
          <w:tcPr>
            <w:tcW w:w="1540" w:type="dxa"/>
            <w:vAlign w:val="bottom"/>
          </w:tcPr>
          <w:p>
            <w:pPr>
              <w:ind w:left="320"/>
              <w:spacing w:after="0"/>
              <w:rPr>
                <w:sz w:val="20"/>
                <w:szCs w:val="20"/>
                <w:color w:val="auto"/>
              </w:rPr>
            </w:pPr>
            <w:r>
              <w:rPr>
                <w:rFonts w:ascii="Arial" w:cs="Arial" w:eastAsia="Arial" w:hAnsi="Arial"/>
                <w:sz w:val="14"/>
                <w:szCs w:val="14"/>
                <w:color w:val="auto"/>
              </w:rPr>
              <w:t>November 2014</w:t>
            </w:r>
          </w:p>
        </w:tc>
        <w:tc>
          <w:tcPr>
            <w:tcW w:w="1460" w:type="dxa"/>
            <w:vAlign w:val="bottom"/>
          </w:tcPr>
          <w:p>
            <w:pPr>
              <w:ind w:left="440"/>
              <w:spacing w:after="0"/>
              <w:rPr>
                <w:sz w:val="20"/>
                <w:szCs w:val="20"/>
                <w:color w:val="auto"/>
              </w:rPr>
            </w:pPr>
            <w:r>
              <w:rPr>
                <w:rFonts w:ascii="Arial" w:cs="Arial" w:eastAsia="Arial" w:hAnsi="Arial"/>
                <w:sz w:val="14"/>
                <w:szCs w:val="14"/>
                <w:color w:val="auto"/>
              </w:rPr>
              <w:t>The PRC</w:t>
            </w:r>
          </w:p>
        </w:tc>
        <w:tc>
          <w:tcPr>
            <w:tcW w:w="2260" w:type="dxa"/>
            <w:vAlign w:val="bottom"/>
          </w:tcPr>
          <w:p>
            <w:pPr>
              <w:ind w:left="36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76"/>
        </w:trPr>
        <w:tc>
          <w:tcPr>
            <w:tcW w:w="2440" w:type="dxa"/>
            <w:vAlign w:val="bottom"/>
          </w:tcPr>
          <w:p>
            <w:pPr>
              <w:ind w:left="60"/>
              <w:spacing w:after="0"/>
              <w:rPr>
                <w:sz w:val="20"/>
                <w:szCs w:val="20"/>
                <w:color w:val="auto"/>
              </w:rPr>
            </w:pPr>
            <w:r>
              <w:rPr>
                <w:rFonts w:ascii="Arial" w:cs="Arial" w:eastAsia="Arial" w:hAnsi="Arial"/>
                <w:sz w:val="14"/>
                <w:szCs w:val="14"/>
                <w:color w:val="auto"/>
              </w:rPr>
              <w:t>Co., Ltd. (“OptAim WFOE”)</w:t>
            </w: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ind w:left="360"/>
              <w:spacing w:after="0"/>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319"/>
        </w:trPr>
        <w:tc>
          <w:tcPr>
            <w:tcW w:w="3600" w:type="dxa"/>
            <w:vAlign w:val="bottom"/>
            <w:gridSpan w:val="2"/>
          </w:tcPr>
          <w:p>
            <w:pPr>
              <w:spacing w:after="0"/>
              <w:rPr>
                <w:sz w:val="20"/>
                <w:szCs w:val="20"/>
                <w:color w:val="auto"/>
              </w:rPr>
            </w:pPr>
            <w:r>
              <w:rPr>
                <w:rFonts w:ascii="Arial" w:cs="Arial" w:eastAsia="Arial" w:hAnsi="Arial"/>
                <w:sz w:val="14"/>
                <w:szCs w:val="14"/>
                <w:color w:val="auto"/>
              </w:rPr>
              <w:t>Anhui Zhiyunzhong Information Technology Subsidiary</w:t>
            </w:r>
          </w:p>
        </w:tc>
        <w:tc>
          <w:tcPr>
            <w:tcW w:w="1280" w:type="dxa"/>
            <w:vAlign w:val="bottom"/>
          </w:tcPr>
          <w:p>
            <w:pPr>
              <w:ind w:left="340"/>
              <w:spacing w:after="0"/>
              <w:rPr>
                <w:sz w:val="20"/>
                <w:szCs w:val="20"/>
                <w:color w:val="auto"/>
              </w:rPr>
            </w:pPr>
            <w:r>
              <w:rPr>
                <w:rFonts w:ascii="Arial" w:cs="Arial" w:eastAsia="Arial" w:hAnsi="Arial"/>
                <w:sz w:val="14"/>
                <w:szCs w:val="14"/>
                <w:color w:val="auto"/>
              </w:rPr>
              <w:t>100%</w:t>
            </w:r>
          </w:p>
        </w:tc>
        <w:tc>
          <w:tcPr>
            <w:tcW w:w="1540" w:type="dxa"/>
            <w:vAlign w:val="bottom"/>
          </w:tcPr>
          <w:p>
            <w:pPr>
              <w:ind w:left="320"/>
              <w:spacing w:after="0"/>
              <w:rPr>
                <w:sz w:val="20"/>
                <w:szCs w:val="20"/>
                <w:color w:val="auto"/>
              </w:rPr>
            </w:pPr>
            <w:r>
              <w:rPr>
                <w:rFonts w:ascii="Arial" w:cs="Arial" w:eastAsia="Arial" w:hAnsi="Arial"/>
                <w:sz w:val="14"/>
                <w:szCs w:val="14"/>
                <w:color w:val="auto"/>
              </w:rPr>
              <w:t>November 2017</w:t>
            </w:r>
          </w:p>
        </w:tc>
        <w:tc>
          <w:tcPr>
            <w:tcW w:w="1460" w:type="dxa"/>
            <w:vAlign w:val="bottom"/>
          </w:tcPr>
          <w:p>
            <w:pPr>
              <w:ind w:left="440"/>
              <w:spacing w:after="0"/>
              <w:rPr>
                <w:sz w:val="20"/>
                <w:szCs w:val="20"/>
                <w:color w:val="auto"/>
              </w:rPr>
            </w:pPr>
            <w:r>
              <w:rPr>
                <w:rFonts w:ascii="Arial" w:cs="Arial" w:eastAsia="Arial" w:hAnsi="Arial"/>
                <w:sz w:val="14"/>
                <w:szCs w:val="14"/>
                <w:color w:val="auto"/>
              </w:rPr>
              <w:t>The PRC</w:t>
            </w:r>
          </w:p>
        </w:tc>
        <w:tc>
          <w:tcPr>
            <w:tcW w:w="2260" w:type="dxa"/>
            <w:vAlign w:val="bottom"/>
          </w:tcPr>
          <w:p>
            <w:pPr>
              <w:ind w:left="36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76"/>
        </w:trPr>
        <w:tc>
          <w:tcPr>
            <w:tcW w:w="2440" w:type="dxa"/>
            <w:vAlign w:val="bottom"/>
          </w:tcPr>
          <w:p>
            <w:pPr>
              <w:ind w:left="60"/>
              <w:spacing w:after="0"/>
              <w:rPr>
                <w:sz w:val="20"/>
                <w:szCs w:val="20"/>
                <w:color w:val="auto"/>
              </w:rPr>
            </w:pPr>
            <w:r>
              <w:rPr>
                <w:rFonts w:ascii="Arial" w:cs="Arial" w:eastAsia="Arial" w:hAnsi="Arial"/>
                <w:sz w:val="14"/>
                <w:szCs w:val="14"/>
                <w:color w:val="auto"/>
              </w:rPr>
              <w:t>Co., Ltd. (“OptAim AH”)</w:t>
            </w: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ind w:left="360"/>
              <w:spacing w:after="0"/>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319"/>
        </w:trPr>
        <w:tc>
          <w:tcPr>
            <w:tcW w:w="2440" w:type="dxa"/>
            <w:vAlign w:val="bottom"/>
          </w:tcPr>
          <w:p>
            <w:pPr>
              <w:spacing w:after="0"/>
              <w:rPr>
                <w:sz w:val="20"/>
                <w:szCs w:val="20"/>
                <w:color w:val="auto"/>
              </w:rPr>
            </w:pPr>
            <w:r>
              <w:rPr>
                <w:rFonts w:ascii="Arial" w:cs="Arial" w:eastAsia="Arial" w:hAnsi="Arial"/>
                <w:sz w:val="14"/>
                <w:szCs w:val="14"/>
                <w:color w:val="auto"/>
                <w:w w:val="95"/>
              </w:rPr>
              <w:t>Beijing OptAim Network Technology Co.,</w:t>
            </w:r>
          </w:p>
        </w:tc>
        <w:tc>
          <w:tcPr>
            <w:tcW w:w="1160" w:type="dxa"/>
            <w:vAlign w:val="bottom"/>
          </w:tcPr>
          <w:p>
            <w:pPr>
              <w:ind w:left="140"/>
              <w:spacing w:after="0"/>
              <w:rPr>
                <w:sz w:val="20"/>
                <w:szCs w:val="20"/>
                <w:color w:val="auto"/>
              </w:rPr>
            </w:pPr>
            <w:r>
              <w:rPr>
                <w:rFonts w:ascii="Arial" w:cs="Arial" w:eastAsia="Arial" w:hAnsi="Arial"/>
                <w:sz w:val="14"/>
                <w:szCs w:val="14"/>
                <w:color w:val="auto"/>
              </w:rPr>
              <w:t>VIE</w:t>
            </w:r>
          </w:p>
        </w:tc>
        <w:tc>
          <w:tcPr>
            <w:tcW w:w="1280" w:type="dxa"/>
            <w:vAlign w:val="bottom"/>
          </w:tcPr>
          <w:p>
            <w:pPr>
              <w:ind w:left="340"/>
              <w:spacing w:after="0"/>
              <w:rPr>
                <w:sz w:val="20"/>
                <w:szCs w:val="20"/>
                <w:color w:val="auto"/>
              </w:rPr>
            </w:pPr>
            <w:r>
              <w:rPr>
                <w:rFonts w:ascii="Arial" w:cs="Arial" w:eastAsia="Arial" w:hAnsi="Arial"/>
                <w:sz w:val="14"/>
                <w:szCs w:val="14"/>
                <w:color w:val="auto"/>
              </w:rPr>
              <w:t>100%</w:t>
            </w:r>
          </w:p>
        </w:tc>
        <w:tc>
          <w:tcPr>
            <w:tcW w:w="1540" w:type="dxa"/>
            <w:vAlign w:val="bottom"/>
          </w:tcPr>
          <w:p>
            <w:pPr>
              <w:ind w:left="320"/>
              <w:spacing w:after="0"/>
              <w:rPr>
                <w:sz w:val="20"/>
                <w:szCs w:val="20"/>
                <w:color w:val="auto"/>
              </w:rPr>
            </w:pPr>
            <w:r>
              <w:rPr>
                <w:rFonts w:ascii="Arial" w:cs="Arial" w:eastAsia="Arial" w:hAnsi="Arial"/>
                <w:sz w:val="14"/>
                <w:szCs w:val="14"/>
                <w:color w:val="auto"/>
              </w:rPr>
              <w:t>September 2012</w:t>
            </w:r>
          </w:p>
        </w:tc>
        <w:tc>
          <w:tcPr>
            <w:tcW w:w="1460" w:type="dxa"/>
            <w:vAlign w:val="bottom"/>
          </w:tcPr>
          <w:p>
            <w:pPr>
              <w:ind w:left="440"/>
              <w:spacing w:after="0"/>
              <w:rPr>
                <w:sz w:val="20"/>
                <w:szCs w:val="20"/>
                <w:color w:val="auto"/>
              </w:rPr>
            </w:pPr>
            <w:r>
              <w:rPr>
                <w:rFonts w:ascii="Arial" w:cs="Arial" w:eastAsia="Arial" w:hAnsi="Arial"/>
                <w:sz w:val="14"/>
                <w:szCs w:val="14"/>
                <w:color w:val="auto"/>
              </w:rPr>
              <w:t>The PRC</w:t>
            </w:r>
          </w:p>
        </w:tc>
        <w:tc>
          <w:tcPr>
            <w:tcW w:w="2260" w:type="dxa"/>
            <w:vAlign w:val="bottom"/>
          </w:tcPr>
          <w:p>
            <w:pPr>
              <w:ind w:left="36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76"/>
        </w:trPr>
        <w:tc>
          <w:tcPr>
            <w:tcW w:w="2440" w:type="dxa"/>
            <w:vAlign w:val="bottom"/>
          </w:tcPr>
          <w:p>
            <w:pPr>
              <w:ind w:left="60"/>
              <w:spacing w:after="0"/>
              <w:rPr>
                <w:sz w:val="20"/>
                <w:szCs w:val="20"/>
                <w:color w:val="auto"/>
              </w:rPr>
            </w:pPr>
            <w:r>
              <w:rPr>
                <w:rFonts w:ascii="Arial" w:cs="Arial" w:eastAsia="Arial" w:hAnsi="Arial"/>
                <w:sz w:val="14"/>
                <w:szCs w:val="14"/>
                <w:color w:val="auto"/>
              </w:rPr>
              <w:t>Ltd. (“Beijing OptAim”)</w:t>
            </w: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ind w:left="360"/>
              <w:spacing w:after="0"/>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8" w:name="page149"/>
    <w:bookmarkEnd w:id="148"/>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hanging="836"/>
        <w:spacing w:after="0"/>
        <w:tabs>
          <w:tab w:leader="none" w:pos="836"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principal activities (Continued)</w:t>
      </w:r>
    </w:p>
    <w:p>
      <w:pPr>
        <w:spacing w:after="0" w:line="143" w:lineRule="exact"/>
        <w:rPr>
          <w:sz w:val="20"/>
          <w:szCs w:val="20"/>
          <w:color w:val="auto"/>
        </w:rPr>
      </w:pPr>
    </w:p>
    <w:p>
      <w:pPr>
        <w:ind w:left="836" w:hanging="836"/>
        <w:spacing w:after="0"/>
        <w:tabs>
          <w:tab w:leader="none" w:pos="836"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nature of operation (Continued)</w:t>
      </w:r>
    </w:p>
    <w:p>
      <w:pPr>
        <w:spacing w:after="0" w:line="148" w:lineRule="exact"/>
        <w:rPr>
          <w:rFonts w:ascii="Arial" w:cs="Arial" w:eastAsia="Arial" w:hAnsi="Arial"/>
          <w:sz w:val="17"/>
          <w:szCs w:val="17"/>
          <w:b w:val="1"/>
          <w:bCs w:val="1"/>
          <w:color w:val="auto"/>
        </w:rPr>
      </w:pPr>
    </w:p>
    <w:p>
      <w:pPr>
        <w:ind w:left="836"/>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The accompanying consolidated financial statements include the financial statements of the Company, its subsidiaries and consolidated VIEs and the VIE’s subsidiaries (defined in Note 1(b)) as follows: (Continued)</w:t>
      </w:r>
    </w:p>
    <w:p>
      <w:pPr>
        <w:spacing w:after="0" w:line="185" w:lineRule="exact"/>
        <w:rPr>
          <w:sz w:val="20"/>
          <w:szCs w:val="20"/>
          <w:color w:val="auto"/>
        </w:rPr>
      </w:pPr>
    </w:p>
    <w:tbl>
      <w:tblPr>
        <w:tblLayout w:type="fixed"/>
        <w:tblInd w:w="916"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ind w:left="340"/>
              <w:spacing w:after="0"/>
              <w:rPr>
                <w:sz w:val="20"/>
                <w:szCs w:val="20"/>
                <w:color w:val="auto"/>
              </w:rPr>
            </w:pPr>
            <w:r>
              <w:rPr>
                <w:rFonts w:ascii="Arial" w:cs="Arial" w:eastAsia="Arial" w:hAnsi="Arial"/>
                <w:sz w:val="14"/>
                <w:szCs w:val="14"/>
                <w:color w:val="auto"/>
              </w:rPr>
              <w:t>% of direct</w:t>
            </w:r>
          </w:p>
        </w:tc>
        <w:tc>
          <w:tcPr>
            <w:tcW w:w="1500" w:type="dxa"/>
            <w:vAlign w:val="bottom"/>
          </w:tcPr>
          <w:p>
            <w:pPr>
              <w:spacing w:after="0"/>
              <w:rPr>
                <w:sz w:val="14"/>
                <w:szCs w:val="14"/>
                <w:color w:val="auto"/>
              </w:rPr>
            </w:pPr>
          </w:p>
        </w:tc>
        <w:tc>
          <w:tcPr>
            <w:tcW w:w="1440" w:type="dxa"/>
            <w:vAlign w:val="bottom"/>
            <w:vMerge w:val="restart"/>
          </w:tcPr>
          <w:p>
            <w:pPr>
              <w:ind w:left="420"/>
              <w:spacing w:after="0"/>
              <w:rPr>
                <w:sz w:val="20"/>
                <w:szCs w:val="20"/>
                <w:color w:val="auto"/>
              </w:rPr>
            </w:pPr>
            <w:r>
              <w:rPr>
                <w:rFonts w:ascii="Arial" w:cs="Arial" w:eastAsia="Arial" w:hAnsi="Arial"/>
                <w:sz w:val="14"/>
                <w:szCs w:val="14"/>
                <w:color w:val="auto"/>
              </w:rPr>
              <w:t>Place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ind w:left="340"/>
              <w:spacing w:after="0" w:line="136" w:lineRule="exact"/>
              <w:rPr>
                <w:sz w:val="20"/>
                <w:szCs w:val="20"/>
                <w:color w:val="auto"/>
              </w:rPr>
            </w:pPr>
            <w:r>
              <w:rPr>
                <w:rFonts w:ascii="Arial" w:cs="Arial" w:eastAsia="Arial" w:hAnsi="Arial"/>
                <w:sz w:val="14"/>
                <w:szCs w:val="14"/>
                <w:color w:val="auto"/>
              </w:rPr>
              <w:t>or indirect</w:t>
            </w:r>
          </w:p>
        </w:tc>
        <w:tc>
          <w:tcPr>
            <w:tcW w:w="15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ind w:left="340"/>
              <w:spacing w:after="0" w:line="151" w:lineRule="exact"/>
              <w:rPr>
                <w:sz w:val="20"/>
                <w:szCs w:val="20"/>
                <w:color w:val="auto"/>
              </w:rPr>
            </w:pPr>
            <w:r>
              <w:rPr>
                <w:rFonts w:ascii="Arial" w:cs="Arial" w:eastAsia="Arial" w:hAnsi="Arial"/>
                <w:sz w:val="14"/>
                <w:szCs w:val="14"/>
                <w:color w:val="auto"/>
              </w:rPr>
              <w:t>economic</w:t>
            </w:r>
          </w:p>
        </w:tc>
        <w:tc>
          <w:tcPr>
            <w:tcW w:w="1500" w:type="dxa"/>
            <w:vAlign w:val="bottom"/>
          </w:tcPr>
          <w:p>
            <w:pPr>
              <w:ind w:left="300"/>
              <w:spacing w:after="0" w:line="151" w:lineRule="exact"/>
              <w:rPr>
                <w:sz w:val="20"/>
                <w:szCs w:val="20"/>
                <w:color w:val="auto"/>
              </w:rPr>
            </w:pPr>
            <w:r>
              <w:rPr>
                <w:rFonts w:ascii="Arial" w:cs="Arial" w:eastAsia="Arial" w:hAnsi="Arial"/>
                <w:sz w:val="14"/>
                <w:szCs w:val="14"/>
                <w:color w:val="auto"/>
              </w:rPr>
              <w:t>Date of</w:t>
            </w:r>
          </w:p>
        </w:tc>
        <w:tc>
          <w:tcPr>
            <w:tcW w:w="1440" w:type="dxa"/>
            <w:vAlign w:val="bottom"/>
          </w:tcPr>
          <w:p>
            <w:pPr>
              <w:ind w:left="280"/>
              <w:spacing w:after="0" w:line="151" w:lineRule="exact"/>
              <w:rPr>
                <w:sz w:val="20"/>
                <w:szCs w:val="20"/>
                <w:color w:val="auto"/>
              </w:rPr>
            </w:pPr>
            <w:r>
              <w:rPr>
                <w:rFonts w:ascii="Arial" w:cs="Arial" w:eastAsia="Arial" w:hAnsi="Arial"/>
                <w:sz w:val="14"/>
                <w:szCs w:val="14"/>
                <w:color w:val="auto"/>
              </w:rPr>
              <w:t>incorporation/</w:t>
            </w: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Name</w:t>
            </w:r>
          </w:p>
        </w:tc>
        <w:tc>
          <w:tcPr>
            <w:tcW w:w="1100" w:type="dxa"/>
            <w:vAlign w:val="bottom"/>
          </w:tcPr>
          <w:p>
            <w:pPr>
              <w:ind w:left="40"/>
              <w:spacing w:after="0"/>
              <w:rPr>
                <w:sz w:val="20"/>
                <w:szCs w:val="20"/>
                <w:color w:val="auto"/>
              </w:rPr>
            </w:pPr>
            <w:r>
              <w:rPr>
                <w:rFonts w:ascii="Arial" w:cs="Arial" w:eastAsia="Arial" w:hAnsi="Arial"/>
                <w:sz w:val="14"/>
                <w:szCs w:val="14"/>
                <w:color w:val="auto"/>
              </w:rPr>
              <w:t>Relationship</w:t>
            </w:r>
          </w:p>
        </w:tc>
        <w:tc>
          <w:tcPr>
            <w:tcW w:w="1240" w:type="dxa"/>
            <w:vAlign w:val="bottom"/>
          </w:tcPr>
          <w:p>
            <w:pPr>
              <w:ind w:left="340"/>
              <w:spacing w:after="0"/>
              <w:rPr>
                <w:sz w:val="20"/>
                <w:szCs w:val="20"/>
                <w:color w:val="auto"/>
              </w:rPr>
            </w:pPr>
            <w:r>
              <w:rPr>
                <w:rFonts w:ascii="Arial" w:cs="Arial" w:eastAsia="Arial" w:hAnsi="Arial"/>
                <w:sz w:val="14"/>
                <w:szCs w:val="14"/>
                <w:color w:val="auto"/>
              </w:rPr>
              <w:t>ownership</w:t>
            </w:r>
          </w:p>
        </w:tc>
        <w:tc>
          <w:tcPr>
            <w:tcW w:w="1500" w:type="dxa"/>
            <w:vAlign w:val="bottom"/>
          </w:tcPr>
          <w:p>
            <w:pPr>
              <w:ind w:left="300"/>
              <w:spacing w:after="0"/>
              <w:rPr>
                <w:sz w:val="20"/>
                <w:szCs w:val="20"/>
                <w:color w:val="auto"/>
              </w:rPr>
            </w:pPr>
            <w:r>
              <w:rPr>
                <w:rFonts w:ascii="Arial" w:cs="Arial" w:eastAsia="Arial" w:hAnsi="Arial"/>
                <w:sz w:val="14"/>
                <w:szCs w:val="14"/>
                <w:color w:val="auto"/>
              </w:rPr>
              <w:t>incorporation</w:t>
            </w:r>
          </w:p>
        </w:tc>
        <w:tc>
          <w:tcPr>
            <w:tcW w:w="1440" w:type="dxa"/>
            <w:vAlign w:val="bottom"/>
          </w:tcPr>
          <w:p>
            <w:pPr>
              <w:ind w:left="420"/>
              <w:spacing w:after="0"/>
              <w:rPr>
                <w:sz w:val="20"/>
                <w:szCs w:val="20"/>
                <w:color w:val="auto"/>
              </w:rPr>
            </w:pPr>
            <w:r>
              <w:rPr>
                <w:rFonts w:ascii="Arial" w:cs="Arial" w:eastAsia="Arial" w:hAnsi="Arial"/>
                <w:sz w:val="14"/>
                <w:szCs w:val="14"/>
                <w:color w:val="auto"/>
              </w:rPr>
              <w:t>establishment</w:t>
            </w:r>
          </w:p>
        </w:tc>
        <w:tc>
          <w:tcPr>
            <w:tcW w:w="2160" w:type="dxa"/>
            <w:vAlign w:val="bottom"/>
          </w:tcPr>
          <w:p>
            <w:pPr>
              <w:ind w:left="24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319"/>
        </w:trPr>
        <w:tc>
          <w:tcPr>
            <w:tcW w:w="2820" w:type="dxa"/>
            <w:vAlign w:val="bottom"/>
          </w:tcPr>
          <w:p>
            <w:pPr>
              <w:spacing w:after="0"/>
              <w:rPr>
                <w:sz w:val="20"/>
                <w:szCs w:val="20"/>
                <w:color w:val="auto"/>
              </w:rPr>
            </w:pPr>
            <w:r>
              <w:rPr>
                <w:rFonts w:ascii="Arial" w:cs="Arial" w:eastAsia="Arial" w:hAnsi="Arial"/>
                <w:sz w:val="14"/>
                <w:szCs w:val="14"/>
                <w:color w:val="auto"/>
                <w:w w:val="98"/>
              </w:rPr>
              <w:t>Zhiyunzhong (Shanghai) Technology Co., Ltd.</w:t>
            </w:r>
          </w:p>
        </w:tc>
        <w:tc>
          <w:tcPr>
            <w:tcW w:w="1100" w:type="dxa"/>
            <w:vAlign w:val="bottom"/>
          </w:tcPr>
          <w:p>
            <w:pPr>
              <w:ind w:left="40"/>
              <w:spacing w:after="0"/>
              <w:rPr>
                <w:sz w:val="20"/>
                <w:szCs w:val="20"/>
                <w:color w:val="auto"/>
              </w:rPr>
            </w:pPr>
            <w:r>
              <w:rPr>
                <w:rFonts w:ascii="Arial" w:cs="Arial" w:eastAsia="Arial" w:hAnsi="Arial"/>
                <w:sz w:val="14"/>
                <w:szCs w:val="14"/>
                <w:color w:val="auto"/>
              </w:rPr>
              <w:t>VIE’s</w:t>
            </w:r>
          </w:p>
        </w:tc>
        <w:tc>
          <w:tcPr>
            <w:tcW w:w="1240" w:type="dxa"/>
            <w:vAlign w:val="bottom"/>
          </w:tcPr>
          <w:p>
            <w:pPr>
              <w:ind w:left="340"/>
              <w:spacing w:after="0"/>
              <w:rPr>
                <w:sz w:val="20"/>
                <w:szCs w:val="20"/>
                <w:color w:val="auto"/>
              </w:rPr>
            </w:pPr>
            <w:r>
              <w:rPr>
                <w:rFonts w:ascii="Arial" w:cs="Arial" w:eastAsia="Arial" w:hAnsi="Arial"/>
                <w:sz w:val="14"/>
                <w:szCs w:val="14"/>
                <w:color w:val="auto"/>
              </w:rPr>
              <w:t>100%</w:t>
            </w:r>
          </w:p>
        </w:tc>
        <w:tc>
          <w:tcPr>
            <w:tcW w:w="1500" w:type="dxa"/>
            <w:vAlign w:val="bottom"/>
          </w:tcPr>
          <w:p>
            <w:pPr>
              <w:ind w:left="300"/>
              <w:spacing w:after="0"/>
              <w:rPr>
                <w:sz w:val="20"/>
                <w:szCs w:val="20"/>
                <w:color w:val="auto"/>
              </w:rPr>
            </w:pPr>
            <w:r>
              <w:rPr>
                <w:rFonts w:ascii="Arial" w:cs="Arial" w:eastAsia="Arial" w:hAnsi="Arial"/>
                <w:sz w:val="14"/>
                <w:szCs w:val="14"/>
                <w:color w:val="auto"/>
              </w:rPr>
              <w:t>September 2014</w:t>
            </w:r>
          </w:p>
        </w:tc>
        <w:tc>
          <w:tcPr>
            <w:tcW w:w="1440" w:type="dxa"/>
            <w:vAlign w:val="bottom"/>
          </w:tcPr>
          <w:p>
            <w:pPr>
              <w:ind w:left="420"/>
              <w:spacing w:after="0"/>
              <w:rPr>
                <w:sz w:val="20"/>
                <w:szCs w:val="20"/>
                <w:color w:val="auto"/>
              </w:rPr>
            </w:pPr>
            <w:r>
              <w:rPr>
                <w:rFonts w:ascii="Arial" w:cs="Arial" w:eastAsia="Arial" w:hAnsi="Arial"/>
                <w:sz w:val="14"/>
                <w:szCs w:val="14"/>
                <w:color w:val="auto"/>
              </w:rPr>
              <w:t>The PRC</w:t>
            </w:r>
          </w:p>
        </w:tc>
        <w:tc>
          <w:tcPr>
            <w:tcW w:w="2160" w:type="dxa"/>
            <w:vAlign w:val="bottom"/>
          </w:tcPr>
          <w:p>
            <w:pPr>
              <w:ind w:left="240"/>
              <w:spacing w:after="0"/>
              <w:rPr>
                <w:sz w:val="20"/>
                <w:szCs w:val="20"/>
                <w:color w:val="auto"/>
              </w:rPr>
            </w:pPr>
            <w:r>
              <w:rPr>
                <w:rFonts w:ascii="Arial" w:cs="Arial" w:eastAsia="Arial" w:hAnsi="Arial"/>
                <w:sz w:val="14"/>
                <w:szCs w:val="14"/>
                <w:color w:val="auto"/>
              </w:rPr>
              <w:t>Internet marketing</w:t>
            </w:r>
          </w:p>
        </w:tc>
        <w:tc>
          <w:tcPr>
            <w:tcW w:w="0" w:type="dxa"/>
            <w:vAlign w:val="bottom"/>
          </w:tcPr>
          <w:p>
            <w:pPr>
              <w:spacing w:after="0"/>
              <w:rPr>
                <w:sz w:val="1"/>
                <w:szCs w:val="1"/>
                <w:color w:val="auto"/>
              </w:rPr>
            </w:pPr>
          </w:p>
        </w:tc>
      </w:tr>
      <w:tr>
        <w:trPr>
          <w:trHeight w:val="176"/>
        </w:trPr>
        <w:tc>
          <w:tcPr>
            <w:tcW w:w="2820" w:type="dxa"/>
            <w:vAlign w:val="bottom"/>
          </w:tcPr>
          <w:p>
            <w:pPr>
              <w:ind w:left="60"/>
              <w:spacing w:after="0"/>
              <w:rPr>
                <w:sz w:val="20"/>
                <w:szCs w:val="20"/>
                <w:color w:val="auto"/>
              </w:rPr>
            </w:pPr>
            <w:r>
              <w:rPr>
                <w:rFonts w:ascii="Arial" w:cs="Arial" w:eastAsia="Arial" w:hAnsi="Arial"/>
                <w:sz w:val="14"/>
                <w:szCs w:val="14"/>
                <w:color w:val="auto"/>
              </w:rPr>
              <w:t>(“Shanghai OptAim”)</w:t>
            </w:r>
          </w:p>
        </w:tc>
        <w:tc>
          <w:tcPr>
            <w:tcW w:w="1100" w:type="dxa"/>
            <w:vAlign w:val="bottom"/>
          </w:tcPr>
          <w:p>
            <w:pPr>
              <w:ind w:left="40"/>
              <w:spacing w:after="0"/>
              <w:rPr>
                <w:sz w:val="20"/>
                <w:szCs w:val="20"/>
                <w:color w:val="auto"/>
              </w:rPr>
            </w:pPr>
            <w:r>
              <w:rPr>
                <w:rFonts w:ascii="Arial" w:cs="Arial" w:eastAsia="Arial" w:hAnsi="Arial"/>
                <w:sz w:val="14"/>
                <w:szCs w:val="14"/>
                <w:color w:val="auto"/>
              </w:rPr>
              <w:t>subsidiary</w:t>
            </w: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60" w:type="dxa"/>
            <w:vAlign w:val="bottom"/>
          </w:tcPr>
          <w:p>
            <w:pPr>
              <w:ind w:left="240"/>
              <w:spacing w:after="0"/>
              <w:rPr>
                <w:sz w:val="20"/>
                <w:szCs w:val="20"/>
                <w:color w:val="auto"/>
              </w:rPr>
            </w:pPr>
            <w:r>
              <w:rPr>
                <w:rFonts w:ascii="Arial" w:cs="Arial" w:eastAsia="Arial" w:hAnsi="Arial"/>
                <w:sz w:val="14"/>
                <w:szCs w:val="14"/>
                <w:color w:val="auto"/>
              </w:rPr>
              <w:t>services and solutions</w:t>
            </w:r>
          </w:p>
        </w:tc>
        <w:tc>
          <w:tcPr>
            <w:tcW w:w="0" w:type="dxa"/>
            <w:vAlign w:val="bottom"/>
          </w:tcPr>
          <w:p>
            <w:pPr>
              <w:spacing w:after="0"/>
              <w:rPr>
                <w:sz w:val="1"/>
                <w:szCs w:val="1"/>
                <w:color w:val="auto"/>
              </w:rPr>
            </w:pPr>
          </w:p>
        </w:tc>
      </w:tr>
      <w:tr>
        <w:trPr>
          <w:trHeight w:val="319"/>
        </w:trPr>
        <w:tc>
          <w:tcPr>
            <w:tcW w:w="2820" w:type="dxa"/>
            <w:vAlign w:val="bottom"/>
          </w:tcPr>
          <w:p>
            <w:pPr>
              <w:spacing w:after="0"/>
              <w:rPr>
                <w:sz w:val="20"/>
                <w:szCs w:val="20"/>
                <w:color w:val="auto"/>
              </w:rPr>
            </w:pPr>
            <w:r>
              <w:rPr>
                <w:rFonts w:ascii="Arial" w:cs="Arial" w:eastAsia="Arial" w:hAnsi="Arial"/>
                <w:sz w:val="14"/>
                <w:szCs w:val="14"/>
                <w:color w:val="auto"/>
              </w:rPr>
              <w:t>Shanghai Myhayo Technology Co., Ltd.</w:t>
            </w:r>
          </w:p>
        </w:tc>
        <w:tc>
          <w:tcPr>
            <w:tcW w:w="1100" w:type="dxa"/>
            <w:vAlign w:val="bottom"/>
          </w:tcPr>
          <w:p>
            <w:pPr>
              <w:ind w:left="40"/>
              <w:spacing w:after="0"/>
              <w:rPr>
                <w:sz w:val="20"/>
                <w:szCs w:val="20"/>
                <w:color w:val="auto"/>
              </w:rPr>
            </w:pPr>
            <w:r>
              <w:rPr>
                <w:rFonts w:ascii="Arial" w:cs="Arial" w:eastAsia="Arial" w:hAnsi="Arial"/>
                <w:sz w:val="14"/>
                <w:szCs w:val="14"/>
                <w:color w:val="auto"/>
              </w:rPr>
              <w:t>VIE’s</w:t>
            </w:r>
          </w:p>
        </w:tc>
        <w:tc>
          <w:tcPr>
            <w:tcW w:w="1240" w:type="dxa"/>
            <w:vAlign w:val="bottom"/>
          </w:tcPr>
          <w:p>
            <w:pPr>
              <w:ind w:left="340"/>
              <w:spacing w:after="0"/>
              <w:rPr>
                <w:sz w:val="20"/>
                <w:szCs w:val="20"/>
                <w:color w:val="auto"/>
              </w:rPr>
            </w:pPr>
            <w:r>
              <w:rPr>
                <w:rFonts w:ascii="Arial" w:cs="Arial" w:eastAsia="Arial" w:hAnsi="Arial"/>
                <w:sz w:val="14"/>
                <w:szCs w:val="14"/>
                <w:color w:val="auto"/>
              </w:rPr>
              <w:t>40%</w:t>
            </w:r>
          </w:p>
        </w:tc>
        <w:tc>
          <w:tcPr>
            <w:tcW w:w="1500" w:type="dxa"/>
            <w:vAlign w:val="bottom"/>
          </w:tcPr>
          <w:p>
            <w:pPr>
              <w:ind w:left="300"/>
              <w:spacing w:after="0"/>
              <w:rPr>
                <w:sz w:val="20"/>
                <w:szCs w:val="20"/>
                <w:color w:val="auto"/>
              </w:rPr>
            </w:pPr>
            <w:r>
              <w:rPr>
                <w:rFonts w:ascii="Arial" w:cs="Arial" w:eastAsia="Arial" w:hAnsi="Arial"/>
                <w:sz w:val="14"/>
                <w:szCs w:val="14"/>
                <w:color w:val="auto"/>
              </w:rPr>
              <w:t>May 2017</w:t>
            </w:r>
          </w:p>
        </w:tc>
        <w:tc>
          <w:tcPr>
            <w:tcW w:w="1440" w:type="dxa"/>
            <w:vAlign w:val="bottom"/>
          </w:tcPr>
          <w:p>
            <w:pPr>
              <w:ind w:left="420"/>
              <w:spacing w:after="0"/>
              <w:rPr>
                <w:sz w:val="20"/>
                <w:szCs w:val="20"/>
                <w:color w:val="auto"/>
              </w:rPr>
            </w:pPr>
            <w:r>
              <w:rPr>
                <w:rFonts w:ascii="Arial" w:cs="Arial" w:eastAsia="Arial" w:hAnsi="Arial"/>
                <w:sz w:val="14"/>
                <w:szCs w:val="14"/>
                <w:color w:val="auto"/>
              </w:rPr>
              <w:t>The PRC</w:t>
            </w:r>
          </w:p>
        </w:tc>
        <w:tc>
          <w:tcPr>
            <w:tcW w:w="2160" w:type="dxa"/>
            <w:vAlign w:val="bottom"/>
          </w:tcPr>
          <w:p>
            <w:pPr>
              <w:ind w:left="240"/>
              <w:spacing w:after="0"/>
              <w:rPr>
                <w:sz w:val="20"/>
                <w:szCs w:val="20"/>
                <w:color w:val="auto"/>
              </w:rPr>
            </w:pPr>
            <w:r>
              <w:rPr>
                <w:rFonts w:ascii="Arial" w:cs="Arial" w:eastAsia="Arial" w:hAnsi="Arial"/>
                <w:sz w:val="14"/>
                <w:szCs w:val="14"/>
                <w:color w:val="auto"/>
                <w:w w:val="91"/>
              </w:rPr>
              <w:t>Mobile content aggregator, digital</w:t>
            </w:r>
          </w:p>
        </w:tc>
        <w:tc>
          <w:tcPr>
            <w:tcW w:w="0" w:type="dxa"/>
            <w:vAlign w:val="bottom"/>
          </w:tcPr>
          <w:p>
            <w:pPr>
              <w:spacing w:after="0"/>
              <w:rPr>
                <w:sz w:val="1"/>
                <w:szCs w:val="1"/>
                <w:color w:val="auto"/>
              </w:rPr>
            </w:pPr>
          </w:p>
        </w:tc>
      </w:tr>
      <w:tr>
        <w:trPr>
          <w:trHeight w:val="176"/>
        </w:trPr>
        <w:tc>
          <w:tcPr>
            <w:tcW w:w="2820" w:type="dxa"/>
            <w:vAlign w:val="bottom"/>
          </w:tcPr>
          <w:p>
            <w:pPr>
              <w:ind w:left="60"/>
              <w:spacing w:after="0"/>
              <w:rPr>
                <w:sz w:val="20"/>
                <w:szCs w:val="20"/>
                <w:color w:val="auto"/>
              </w:rPr>
            </w:pPr>
            <w:r>
              <w:rPr>
                <w:rFonts w:ascii="Arial" w:cs="Arial" w:eastAsia="Arial" w:hAnsi="Arial"/>
                <w:sz w:val="14"/>
                <w:szCs w:val="14"/>
                <w:color w:val="auto"/>
              </w:rPr>
              <w:t>(“Myhayo”) (Note (i))</w:t>
            </w:r>
          </w:p>
        </w:tc>
        <w:tc>
          <w:tcPr>
            <w:tcW w:w="1100" w:type="dxa"/>
            <w:vAlign w:val="bottom"/>
          </w:tcPr>
          <w:p>
            <w:pPr>
              <w:ind w:left="40"/>
              <w:spacing w:after="0"/>
              <w:rPr>
                <w:sz w:val="20"/>
                <w:szCs w:val="20"/>
                <w:color w:val="auto"/>
              </w:rPr>
            </w:pPr>
            <w:r>
              <w:rPr>
                <w:rFonts w:ascii="Arial" w:cs="Arial" w:eastAsia="Arial" w:hAnsi="Arial"/>
                <w:sz w:val="14"/>
                <w:szCs w:val="14"/>
                <w:color w:val="auto"/>
              </w:rPr>
              <w:t>subsidiary</w:t>
            </w: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60" w:type="dxa"/>
            <w:vAlign w:val="bottom"/>
          </w:tcPr>
          <w:p>
            <w:pPr>
              <w:ind w:left="240"/>
              <w:spacing w:after="0"/>
              <w:rPr>
                <w:sz w:val="20"/>
                <w:szCs w:val="20"/>
                <w:color w:val="auto"/>
              </w:rPr>
            </w:pPr>
            <w:r>
              <w:rPr>
                <w:rFonts w:ascii="Arial" w:cs="Arial" w:eastAsia="Arial" w:hAnsi="Arial"/>
                <w:sz w:val="14"/>
                <w:szCs w:val="14"/>
                <w:color w:val="auto"/>
                <w:w w:val="88"/>
              </w:rPr>
              <w:t>advertising and marketing services</w:t>
            </w:r>
          </w:p>
        </w:tc>
        <w:tc>
          <w:tcPr>
            <w:tcW w:w="0" w:type="dxa"/>
            <w:vAlign w:val="bottom"/>
          </w:tcPr>
          <w:p>
            <w:pPr>
              <w:spacing w:after="0"/>
              <w:rPr>
                <w:sz w:val="1"/>
                <w:szCs w:val="1"/>
                <w:color w:val="auto"/>
              </w:rPr>
            </w:pPr>
          </w:p>
        </w:tc>
      </w:tr>
      <w:tr>
        <w:trPr>
          <w:trHeight w:val="319"/>
        </w:trPr>
        <w:tc>
          <w:tcPr>
            <w:tcW w:w="2820" w:type="dxa"/>
            <w:vAlign w:val="bottom"/>
          </w:tcPr>
          <w:p>
            <w:pPr>
              <w:spacing w:after="0"/>
              <w:rPr>
                <w:sz w:val="20"/>
                <w:szCs w:val="20"/>
                <w:color w:val="auto"/>
              </w:rPr>
            </w:pPr>
            <w:r>
              <w:rPr>
                <w:rFonts w:ascii="Arial" w:cs="Arial" w:eastAsia="Arial" w:hAnsi="Arial"/>
                <w:sz w:val="14"/>
                <w:szCs w:val="14"/>
                <w:color w:val="auto"/>
              </w:rPr>
              <w:t>Anhui Myhayo Technology Co., Ltd. (“Anhui</w:t>
            </w:r>
          </w:p>
        </w:tc>
        <w:tc>
          <w:tcPr>
            <w:tcW w:w="1100" w:type="dxa"/>
            <w:vAlign w:val="bottom"/>
          </w:tcPr>
          <w:p>
            <w:pPr>
              <w:ind w:left="40"/>
              <w:spacing w:after="0"/>
              <w:rPr>
                <w:sz w:val="20"/>
                <w:szCs w:val="20"/>
                <w:color w:val="auto"/>
              </w:rPr>
            </w:pPr>
            <w:r>
              <w:rPr>
                <w:rFonts w:ascii="Arial" w:cs="Arial" w:eastAsia="Arial" w:hAnsi="Arial"/>
                <w:sz w:val="14"/>
                <w:szCs w:val="14"/>
                <w:color w:val="auto"/>
              </w:rPr>
              <w:t>VIE’s</w:t>
            </w:r>
          </w:p>
        </w:tc>
        <w:tc>
          <w:tcPr>
            <w:tcW w:w="1240" w:type="dxa"/>
            <w:vAlign w:val="bottom"/>
          </w:tcPr>
          <w:p>
            <w:pPr>
              <w:ind w:left="340"/>
              <w:spacing w:after="0"/>
              <w:rPr>
                <w:sz w:val="20"/>
                <w:szCs w:val="20"/>
                <w:color w:val="auto"/>
              </w:rPr>
            </w:pPr>
            <w:r>
              <w:rPr>
                <w:rFonts w:ascii="Arial" w:cs="Arial" w:eastAsia="Arial" w:hAnsi="Arial"/>
                <w:sz w:val="14"/>
                <w:szCs w:val="14"/>
                <w:color w:val="auto"/>
              </w:rPr>
              <w:t>36.8%</w:t>
            </w:r>
          </w:p>
        </w:tc>
        <w:tc>
          <w:tcPr>
            <w:tcW w:w="1500" w:type="dxa"/>
            <w:vAlign w:val="bottom"/>
          </w:tcPr>
          <w:p>
            <w:pPr>
              <w:ind w:left="300"/>
              <w:spacing w:after="0"/>
              <w:rPr>
                <w:sz w:val="20"/>
                <w:szCs w:val="20"/>
                <w:color w:val="auto"/>
              </w:rPr>
            </w:pPr>
            <w:r>
              <w:rPr>
                <w:rFonts w:ascii="Arial" w:cs="Arial" w:eastAsia="Arial" w:hAnsi="Arial"/>
                <w:sz w:val="14"/>
                <w:szCs w:val="14"/>
                <w:color w:val="auto"/>
              </w:rPr>
              <w:t>September 2018</w:t>
            </w:r>
          </w:p>
        </w:tc>
        <w:tc>
          <w:tcPr>
            <w:tcW w:w="1440" w:type="dxa"/>
            <w:vAlign w:val="bottom"/>
          </w:tcPr>
          <w:p>
            <w:pPr>
              <w:ind w:left="420"/>
              <w:spacing w:after="0"/>
              <w:rPr>
                <w:sz w:val="20"/>
                <w:szCs w:val="20"/>
                <w:color w:val="auto"/>
              </w:rPr>
            </w:pPr>
            <w:r>
              <w:rPr>
                <w:rFonts w:ascii="Arial" w:cs="Arial" w:eastAsia="Arial" w:hAnsi="Arial"/>
                <w:sz w:val="14"/>
                <w:szCs w:val="14"/>
                <w:color w:val="auto"/>
              </w:rPr>
              <w:t>The PRC</w:t>
            </w:r>
          </w:p>
        </w:tc>
        <w:tc>
          <w:tcPr>
            <w:tcW w:w="2160" w:type="dxa"/>
            <w:vAlign w:val="bottom"/>
          </w:tcPr>
          <w:p>
            <w:pPr>
              <w:ind w:left="240"/>
              <w:spacing w:after="0"/>
              <w:rPr>
                <w:sz w:val="20"/>
                <w:szCs w:val="20"/>
                <w:color w:val="auto"/>
              </w:rPr>
            </w:pPr>
            <w:r>
              <w:rPr>
                <w:rFonts w:ascii="Arial" w:cs="Arial" w:eastAsia="Arial" w:hAnsi="Arial"/>
                <w:sz w:val="14"/>
                <w:szCs w:val="14"/>
                <w:color w:val="auto"/>
                <w:w w:val="91"/>
              </w:rPr>
              <w:t>Mobile content aggregator, digital</w:t>
            </w:r>
          </w:p>
        </w:tc>
        <w:tc>
          <w:tcPr>
            <w:tcW w:w="0" w:type="dxa"/>
            <w:vAlign w:val="bottom"/>
          </w:tcPr>
          <w:p>
            <w:pPr>
              <w:spacing w:after="0"/>
              <w:rPr>
                <w:sz w:val="1"/>
                <w:szCs w:val="1"/>
                <w:color w:val="auto"/>
              </w:rPr>
            </w:pPr>
          </w:p>
        </w:tc>
      </w:tr>
      <w:tr>
        <w:trPr>
          <w:trHeight w:val="176"/>
        </w:trPr>
        <w:tc>
          <w:tcPr>
            <w:tcW w:w="2820" w:type="dxa"/>
            <w:vAlign w:val="bottom"/>
          </w:tcPr>
          <w:p>
            <w:pPr>
              <w:ind w:left="60"/>
              <w:spacing w:after="0"/>
              <w:rPr>
                <w:sz w:val="20"/>
                <w:szCs w:val="20"/>
                <w:color w:val="auto"/>
              </w:rPr>
            </w:pPr>
            <w:r>
              <w:rPr>
                <w:rFonts w:ascii="Arial" w:cs="Arial" w:eastAsia="Arial" w:hAnsi="Arial"/>
                <w:sz w:val="14"/>
                <w:szCs w:val="14"/>
                <w:color w:val="auto"/>
              </w:rPr>
              <w:t>Myhayo”) (Note (i),(ii))</w:t>
            </w:r>
          </w:p>
        </w:tc>
        <w:tc>
          <w:tcPr>
            <w:tcW w:w="1100" w:type="dxa"/>
            <w:vAlign w:val="bottom"/>
          </w:tcPr>
          <w:p>
            <w:pPr>
              <w:ind w:left="40"/>
              <w:spacing w:after="0"/>
              <w:rPr>
                <w:sz w:val="20"/>
                <w:szCs w:val="20"/>
                <w:color w:val="auto"/>
              </w:rPr>
            </w:pPr>
            <w:r>
              <w:rPr>
                <w:rFonts w:ascii="Arial" w:cs="Arial" w:eastAsia="Arial" w:hAnsi="Arial"/>
                <w:sz w:val="14"/>
                <w:szCs w:val="14"/>
                <w:color w:val="auto"/>
              </w:rPr>
              <w:t>subsidiary</w:t>
            </w: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60" w:type="dxa"/>
            <w:vAlign w:val="bottom"/>
          </w:tcPr>
          <w:p>
            <w:pPr>
              <w:ind w:left="240"/>
              <w:spacing w:after="0"/>
              <w:rPr>
                <w:sz w:val="20"/>
                <w:szCs w:val="20"/>
                <w:color w:val="auto"/>
              </w:rPr>
            </w:pPr>
            <w:r>
              <w:rPr>
                <w:rFonts w:ascii="Arial" w:cs="Arial" w:eastAsia="Arial" w:hAnsi="Arial"/>
                <w:sz w:val="14"/>
                <w:szCs w:val="14"/>
                <w:color w:val="auto"/>
                <w:w w:val="88"/>
              </w:rPr>
              <w:t>advertising and marketing services</w:t>
            </w:r>
          </w:p>
        </w:tc>
        <w:tc>
          <w:tcPr>
            <w:tcW w:w="0" w:type="dxa"/>
            <w:vAlign w:val="bottom"/>
          </w:tcPr>
          <w:p>
            <w:pPr>
              <w:spacing w:after="0"/>
              <w:rPr>
                <w:sz w:val="1"/>
                <w:szCs w:val="1"/>
                <w:color w:val="auto"/>
              </w:rPr>
            </w:pPr>
          </w:p>
        </w:tc>
      </w:tr>
      <w:tr>
        <w:trPr>
          <w:trHeight w:val="319"/>
        </w:trPr>
        <w:tc>
          <w:tcPr>
            <w:tcW w:w="2820" w:type="dxa"/>
            <w:vAlign w:val="bottom"/>
          </w:tcPr>
          <w:p>
            <w:pPr>
              <w:spacing w:after="0"/>
              <w:rPr>
                <w:sz w:val="20"/>
                <w:szCs w:val="20"/>
                <w:color w:val="auto"/>
              </w:rPr>
            </w:pPr>
            <w:r>
              <w:rPr>
                <w:rFonts w:ascii="Arial" w:cs="Arial" w:eastAsia="Arial" w:hAnsi="Arial"/>
                <w:sz w:val="14"/>
                <w:szCs w:val="14"/>
                <w:color w:val="auto"/>
                <w:w w:val="92"/>
              </w:rPr>
              <w:t>Changyi (Shanghai) Information Technology Ltd.</w:t>
            </w:r>
          </w:p>
        </w:tc>
        <w:tc>
          <w:tcPr>
            <w:tcW w:w="1100" w:type="dxa"/>
            <w:vAlign w:val="bottom"/>
          </w:tcPr>
          <w:p>
            <w:pPr>
              <w:ind w:left="40"/>
              <w:spacing w:after="0"/>
              <w:rPr>
                <w:sz w:val="20"/>
                <w:szCs w:val="20"/>
                <w:color w:val="auto"/>
              </w:rPr>
            </w:pPr>
            <w:r>
              <w:rPr>
                <w:rFonts w:ascii="Arial" w:cs="Arial" w:eastAsia="Arial" w:hAnsi="Arial"/>
                <w:sz w:val="14"/>
                <w:szCs w:val="14"/>
                <w:color w:val="auto"/>
              </w:rPr>
              <w:t>Subsidiary</w:t>
            </w:r>
          </w:p>
        </w:tc>
        <w:tc>
          <w:tcPr>
            <w:tcW w:w="1240" w:type="dxa"/>
            <w:vAlign w:val="bottom"/>
          </w:tcPr>
          <w:p>
            <w:pPr>
              <w:ind w:left="340"/>
              <w:spacing w:after="0"/>
              <w:rPr>
                <w:sz w:val="20"/>
                <w:szCs w:val="20"/>
                <w:color w:val="auto"/>
              </w:rPr>
            </w:pPr>
            <w:r>
              <w:rPr>
                <w:rFonts w:ascii="Arial" w:cs="Arial" w:eastAsia="Arial" w:hAnsi="Arial"/>
                <w:sz w:val="14"/>
                <w:szCs w:val="14"/>
                <w:color w:val="auto"/>
              </w:rPr>
              <w:t>41.46%</w:t>
            </w:r>
          </w:p>
        </w:tc>
        <w:tc>
          <w:tcPr>
            <w:tcW w:w="1500" w:type="dxa"/>
            <w:vAlign w:val="bottom"/>
          </w:tcPr>
          <w:p>
            <w:pPr>
              <w:ind w:left="300"/>
              <w:spacing w:after="0"/>
              <w:rPr>
                <w:sz w:val="20"/>
                <w:szCs w:val="20"/>
                <w:color w:val="auto"/>
              </w:rPr>
            </w:pPr>
            <w:r>
              <w:rPr>
                <w:rFonts w:ascii="Arial" w:cs="Arial" w:eastAsia="Arial" w:hAnsi="Arial"/>
                <w:sz w:val="14"/>
                <w:szCs w:val="14"/>
                <w:color w:val="auto"/>
              </w:rPr>
              <w:t>January 2014</w:t>
            </w:r>
          </w:p>
        </w:tc>
        <w:tc>
          <w:tcPr>
            <w:tcW w:w="1440" w:type="dxa"/>
            <w:vAlign w:val="bottom"/>
          </w:tcPr>
          <w:p>
            <w:pPr>
              <w:ind w:left="420"/>
              <w:spacing w:after="0"/>
              <w:rPr>
                <w:sz w:val="20"/>
                <w:szCs w:val="20"/>
                <w:color w:val="auto"/>
              </w:rPr>
            </w:pPr>
            <w:r>
              <w:rPr>
                <w:rFonts w:ascii="Arial" w:cs="Arial" w:eastAsia="Arial" w:hAnsi="Arial"/>
                <w:sz w:val="14"/>
                <w:szCs w:val="14"/>
                <w:color w:val="auto"/>
              </w:rPr>
              <w:t>The PRC</w:t>
            </w:r>
          </w:p>
        </w:tc>
        <w:tc>
          <w:tcPr>
            <w:tcW w:w="2160" w:type="dxa"/>
            <w:vAlign w:val="bottom"/>
          </w:tcPr>
          <w:p>
            <w:pPr>
              <w:ind w:left="240"/>
              <w:spacing w:after="0"/>
              <w:rPr>
                <w:sz w:val="20"/>
                <w:szCs w:val="20"/>
                <w:color w:val="auto"/>
              </w:rPr>
            </w:pPr>
            <w:r>
              <w:rPr>
                <w:rFonts w:ascii="Arial" w:cs="Arial" w:eastAsia="Arial" w:hAnsi="Arial"/>
                <w:sz w:val="14"/>
                <w:szCs w:val="14"/>
                <w:color w:val="auto"/>
              </w:rPr>
              <w:t>SaaS products offering</w:t>
            </w:r>
          </w:p>
        </w:tc>
        <w:tc>
          <w:tcPr>
            <w:tcW w:w="0" w:type="dxa"/>
            <w:vAlign w:val="bottom"/>
          </w:tcPr>
          <w:p>
            <w:pPr>
              <w:spacing w:after="0"/>
              <w:rPr>
                <w:sz w:val="1"/>
                <w:szCs w:val="1"/>
                <w:color w:val="auto"/>
              </w:rPr>
            </w:pPr>
          </w:p>
        </w:tc>
      </w:tr>
      <w:tr>
        <w:trPr>
          <w:trHeight w:val="176"/>
        </w:trPr>
        <w:tc>
          <w:tcPr>
            <w:tcW w:w="2820" w:type="dxa"/>
            <w:vAlign w:val="bottom"/>
          </w:tcPr>
          <w:p>
            <w:pPr>
              <w:ind w:left="60"/>
              <w:spacing w:after="0"/>
              <w:rPr>
                <w:sz w:val="20"/>
                <w:szCs w:val="20"/>
                <w:color w:val="auto"/>
              </w:rPr>
            </w:pPr>
            <w:r>
              <w:rPr>
                <w:rFonts w:ascii="Arial" w:cs="Arial" w:eastAsia="Arial" w:hAnsi="Arial"/>
                <w:sz w:val="14"/>
                <w:szCs w:val="14"/>
                <w:color w:val="auto"/>
              </w:rPr>
              <w:t>(“Changyi”) (Note (i),(ii))</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2820" w:type="dxa"/>
            <w:vAlign w:val="bottom"/>
          </w:tcPr>
          <w:p>
            <w:pPr>
              <w:spacing w:after="0"/>
              <w:rPr>
                <w:sz w:val="20"/>
                <w:szCs w:val="20"/>
                <w:color w:val="auto"/>
              </w:rPr>
            </w:pPr>
            <w:r>
              <w:rPr>
                <w:rFonts w:ascii="Arial" w:cs="Arial" w:eastAsia="Arial" w:hAnsi="Arial"/>
                <w:sz w:val="14"/>
                <w:szCs w:val="14"/>
                <w:color w:val="auto"/>
                <w:w w:val="99"/>
              </w:rPr>
              <w:t>Suzhou Changyi Information Technology Ltd.</w:t>
            </w:r>
          </w:p>
        </w:tc>
        <w:tc>
          <w:tcPr>
            <w:tcW w:w="1100" w:type="dxa"/>
            <w:vAlign w:val="bottom"/>
          </w:tcPr>
          <w:p>
            <w:pPr>
              <w:ind w:left="40"/>
              <w:spacing w:after="0"/>
              <w:rPr>
                <w:sz w:val="20"/>
                <w:szCs w:val="20"/>
                <w:color w:val="auto"/>
              </w:rPr>
            </w:pPr>
            <w:r>
              <w:rPr>
                <w:rFonts w:ascii="Arial" w:cs="Arial" w:eastAsia="Arial" w:hAnsi="Arial"/>
                <w:sz w:val="14"/>
                <w:szCs w:val="14"/>
                <w:color w:val="auto"/>
              </w:rPr>
              <w:t>Subsidiary</w:t>
            </w:r>
          </w:p>
        </w:tc>
        <w:tc>
          <w:tcPr>
            <w:tcW w:w="1240" w:type="dxa"/>
            <w:vAlign w:val="bottom"/>
          </w:tcPr>
          <w:p>
            <w:pPr>
              <w:ind w:left="340"/>
              <w:spacing w:after="0"/>
              <w:rPr>
                <w:sz w:val="20"/>
                <w:szCs w:val="20"/>
                <w:color w:val="auto"/>
              </w:rPr>
            </w:pPr>
            <w:r>
              <w:rPr>
                <w:rFonts w:ascii="Arial" w:cs="Arial" w:eastAsia="Arial" w:hAnsi="Arial"/>
                <w:sz w:val="14"/>
                <w:szCs w:val="14"/>
                <w:color w:val="auto"/>
              </w:rPr>
              <w:t>41.46%</w:t>
            </w:r>
          </w:p>
        </w:tc>
        <w:tc>
          <w:tcPr>
            <w:tcW w:w="1500" w:type="dxa"/>
            <w:vAlign w:val="bottom"/>
          </w:tcPr>
          <w:p>
            <w:pPr>
              <w:ind w:left="300"/>
              <w:spacing w:after="0"/>
              <w:rPr>
                <w:sz w:val="20"/>
                <w:szCs w:val="20"/>
                <w:color w:val="auto"/>
              </w:rPr>
            </w:pPr>
            <w:r>
              <w:rPr>
                <w:rFonts w:ascii="Arial" w:cs="Arial" w:eastAsia="Arial" w:hAnsi="Arial"/>
                <w:sz w:val="14"/>
                <w:szCs w:val="14"/>
                <w:color w:val="auto"/>
              </w:rPr>
              <w:t>August 2015</w:t>
            </w:r>
          </w:p>
        </w:tc>
        <w:tc>
          <w:tcPr>
            <w:tcW w:w="1440" w:type="dxa"/>
            <w:vAlign w:val="bottom"/>
          </w:tcPr>
          <w:p>
            <w:pPr>
              <w:ind w:left="420"/>
              <w:spacing w:after="0"/>
              <w:rPr>
                <w:sz w:val="20"/>
                <w:szCs w:val="20"/>
                <w:color w:val="auto"/>
              </w:rPr>
            </w:pPr>
            <w:r>
              <w:rPr>
                <w:rFonts w:ascii="Arial" w:cs="Arial" w:eastAsia="Arial" w:hAnsi="Arial"/>
                <w:sz w:val="14"/>
                <w:szCs w:val="14"/>
                <w:color w:val="auto"/>
              </w:rPr>
              <w:t>The PRC</w:t>
            </w:r>
          </w:p>
        </w:tc>
        <w:tc>
          <w:tcPr>
            <w:tcW w:w="2160" w:type="dxa"/>
            <w:vAlign w:val="bottom"/>
          </w:tcPr>
          <w:p>
            <w:pPr>
              <w:ind w:left="240"/>
              <w:spacing w:after="0"/>
              <w:rPr>
                <w:sz w:val="20"/>
                <w:szCs w:val="20"/>
                <w:color w:val="auto"/>
              </w:rPr>
            </w:pPr>
            <w:r>
              <w:rPr>
                <w:rFonts w:ascii="Arial" w:cs="Arial" w:eastAsia="Arial" w:hAnsi="Arial"/>
                <w:sz w:val="14"/>
                <w:szCs w:val="14"/>
                <w:color w:val="auto"/>
              </w:rPr>
              <w:t>SaaS products offering</w:t>
            </w:r>
          </w:p>
        </w:tc>
        <w:tc>
          <w:tcPr>
            <w:tcW w:w="0" w:type="dxa"/>
            <w:vAlign w:val="bottom"/>
          </w:tcPr>
          <w:p>
            <w:pPr>
              <w:spacing w:after="0"/>
              <w:rPr>
                <w:sz w:val="1"/>
                <w:szCs w:val="1"/>
                <w:color w:val="auto"/>
              </w:rPr>
            </w:pPr>
          </w:p>
        </w:tc>
      </w:tr>
      <w:tr>
        <w:trPr>
          <w:trHeight w:val="176"/>
        </w:trPr>
        <w:tc>
          <w:tcPr>
            <w:tcW w:w="2820" w:type="dxa"/>
            <w:vAlign w:val="bottom"/>
          </w:tcPr>
          <w:p>
            <w:pPr>
              <w:ind w:left="60"/>
              <w:spacing w:after="0"/>
              <w:rPr>
                <w:sz w:val="20"/>
                <w:szCs w:val="20"/>
                <w:color w:val="auto"/>
              </w:rPr>
            </w:pPr>
            <w:r>
              <w:rPr>
                <w:rFonts w:ascii="Arial" w:cs="Arial" w:eastAsia="Arial" w:hAnsi="Arial"/>
                <w:sz w:val="14"/>
                <w:szCs w:val="14"/>
                <w:color w:val="auto"/>
              </w:rPr>
              <w:t>(“Suzhou Changyi”) (Note (i))</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2820" w:type="dxa"/>
            <w:vAlign w:val="bottom"/>
          </w:tcPr>
          <w:p>
            <w:pPr>
              <w:spacing w:after="0"/>
              <w:rPr>
                <w:sz w:val="20"/>
                <w:szCs w:val="20"/>
                <w:color w:val="auto"/>
              </w:rPr>
            </w:pPr>
            <w:r>
              <w:rPr>
                <w:rFonts w:ascii="Arial" w:cs="Arial" w:eastAsia="Arial" w:hAnsi="Arial"/>
                <w:sz w:val="14"/>
                <w:szCs w:val="14"/>
                <w:color w:val="auto"/>
                <w:w w:val="98"/>
              </w:rPr>
              <w:t>Xi'an Changzhan Information Technology Ltd.</w:t>
            </w:r>
          </w:p>
        </w:tc>
        <w:tc>
          <w:tcPr>
            <w:tcW w:w="1100" w:type="dxa"/>
            <w:vAlign w:val="bottom"/>
          </w:tcPr>
          <w:p>
            <w:pPr>
              <w:ind w:left="40"/>
              <w:spacing w:after="0"/>
              <w:rPr>
                <w:sz w:val="20"/>
                <w:szCs w:val="20"/>
                <w:color w:val="auto"/>
              </w:rPr>
            </w:pPr>
            <w:r>
              <w:rPr>
                <w:rFonts w:ascii="Arial" w:cs="Arial" w:eastAsia="Arial" w:hAnsi="Arial"/>
                <w:sz w:val="14"/>
                <w:szCs w:val="14"/>
                <w:color w:val="auto"/>
              </w:rPr>
              <w:t>Subsidiary</w:t>
            </w:r>
          </w:p>
        </w:tc>
        <w:tc>
          <w:tcPr>
            <w:tcW w:w="1240" w:type="dxa"/>
            <w:vAlign w:val="bottom"/>
          </w:tcPr>
          <w:p>
            <w:pPr>
              <w:ind w:left="340"/>
              <w:spacing w:after="0"/>
              <w:rPr>
                <w:sz w:val="20"/>
                <w:szCs w:val="20"/>
                <w:color w:val="auto"/>
              </w:rPr>
            </w:pPr>
            <w:r>
              <w:rPr>
                <w:rFonts w:ascii="Arial" w:cs="Arial" w:eastAsia="Arial" w:hAnsi="Arial"/>
                <w:sz w:val="14"/>
                <w:szCs w:val="14"/>
                <w:color w:val="auto"/>
              </w:rPr>
              <w:t>41.46%</w:t>
            </w:r>
          </w:p>
        </w:tc>
        <w:tc>
          <w:tcPr>
            <w:tcW w:w="1500" w:type="dxa"/>
            <w:vAlign w:val="bottom"/>
          </w:tcPr>
          <w:p>
            <w:pPr>
              <w:ind w:left="300"/>
              <w:spacing w:after="0"/>
              <w:rPr>
                <w:sz w:val="20"/>
                <w:szCs w:val="20"/>
                <w:color w:val="auto"/>
              </w:rPr>
            </w:pPr>
            <w:r>
              <w:rPr>
                <w:rFonts w:ascii="Arial" w:cs="Arial" w:eastAsia="Arial" w:hAnsi="Arial"/>
                <w:sz w:val="14"/>
                <w:szCs w:val="14"/>
                <w:color w:val="auto"/>
              </w:rPr>
              <w:t>August 2019</w:t>
            </w:r>
          </w:p>
        </w:tc>
        <w:tc>
          <w:tcPr>
            <w:tcW w:w="1440" w:type="dxa"/>
            <w:vAlign w:val="bottom"/>
          </w:tcPr>
          <w:p>
            <w:pPr>
              <w:ind w:left="420"/>
              <w:spacing w:after="0"/>
              <w:rPr>
                <w:sz w:val="20"/>
                <w:szCs w:val="20"/>
                <w:color w:val="auto"/>
              </w:rPr>
            </w:pPr>
            <w:r>
              <w:rPr>
                <w:rFonts w:ascii="Arial" w:cs="Arial" w:eastAsia="Arial" w:hAnsi="Arial"/>
                <w:sz w:val="14"/>
                <w:szCs w:val="14"/>
                <w:color w:val="auto"/>
              </w:rPr>
              <w:t>The PRC</w:t>
            </w:r>
          </w:p>
        </w:tc>
        <w:tc>
          <w:tcPr>
            <w:tcW w:w="2160" w:type="dxa"/>
            <w:vAlign w:val="bottom"/>
          </w:tcPr>
          <w:p>
            <w:pPr>
              <w:ind w:left="240"/>
              <w:spacing w:after="0"/>
              <w:rPr>
                <w:sz w:val="20"/>
                <w:szCs w:val="20"/>
                <w:color w:val="auto"/>
              </w:rPr>
            </w:pPr>
            <w:r>
              <w:rPr>
                <w:rFonts w:ascii="Arial" w:cs="Arial" w:eastAsia="Arial" w:hAnsi="Arial"/>
                <w:sz w:val="14"/>
                <w:szCs w:val="14"/>
                <w:color w:val="auto"/>
              </w:rPr>
              <w:t>SaaS products offering</w:t>
            </w:r>
          </w:p>
        </w:tc>
        <w:tc>
          <w:tcPr>
            <w:tcW w:w="0" w:type="dxa"/>
            <w:vAlign w:val="bottom"/>
          </w:tcPr>
          <w:p>
            <w:pPr>
              <w:spacing w:after="0"/>
              <w:rPr>
                <w:sz w:val="1"/>
                <w:szCs w:val="1"/>
                <w:color w:val="auto"/>
              </w:rPr>
            </w:pPr>
          </w:p>
        </w:tc>
      </w:tr>
      <w:tr>
        <w:trPr>
          <w:trHeight w:val="176"/>
        </w:trPr>
        <w:tc>
          <w:tcPr>
            <w:tcW w:w="2820" w:type="dxa"/>
            <w:vAlign w:val="bottom"/>
          </w:tcPr>
          <w:p>
            <w:pPr>
              <w:ind w:left="60"/>
              <w:spacing w:after="0"/>
              <w:rPr>
                <w:sz w:val="20"/>
                <w:szCs w:val="20"/>
                <w:color w:val="auto"/>
              </w:rPr>
            </w:pPr>
            <w:r>
              <w:rPr>
                <w:rFonts w:ascii="Arial" w:cs="Arial" w:eastAsia="Arial" w:hAnsi="Arial"/>
                <w:sz w:val="14"/>
                <w:szCs w:val="14"/>
                <w:color w:val="auto"/>
              </w:rPr>
              <w:t>(“Xian Changyi”) (Note (i))</w:t>
            </w: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0"/>
                <w:szCs w:val="20"/>
                <w:color w:val="auto"/>
              </w:rPr>
            </w:pPr>
            <w:r>
              <w:rPr>
                <w:rFonts w:ascii="Arial" w:cs="Arial" w:eastAsia="Arial" w:hAnsi="Arial"/>
                <w:sz w:val="14"/>
                <w:szCs w:val="14"/>
                <w:color w:val="auto"/>
              </w:rPr>
              <w:t>Arda Holdings Limited</w:t>
            </w:r>
          </w:p>
        </w:tc>
        <w:tc>
          <w:tcPr>
            <w:tcW w:w="1100" w:type="dxa"/>
            <w:vAlign w:val="bottom"/>
          </w:tcPr>
          <w:p>
            <w:pPr>
              <w:ind w:left="40"/>
              <w:spacing w:after="0"/>
              <w:rPr>
                <w:sz w:val="20"/>
                <w:szCs w:val="20"/>
                <w:color w:val="auto"/>
              </w:rPr>
            </w:pPr>
            <w:r>
              <w:rPr>
                <w:rFonts w:ascii="Arial" w:cs="Arial" w:eastAsia="Arial" w:hAnsi="Arial"/>
                <w:sz w:val="14"/>
                <w:szCs w:val="14"/>
                <w:color w:val="auto"/>
              </w:rPr>
              <w:t>VIE</w:t>
            </w:r>
          </w:p>
        </w:tc>
        <w:tc>
          <w:tcPr>
            <w:tcW w:w="1240" w:type="dxa"/>
            <w:vAlign w:val="bottom"/>
          </w:tcPr>
          <w:p>
            <w:pPr>
              <w:ind w:left="340"/>
              <w:spacing w:after="0"/>
              <w:rPr>
                <w:sz w:val="20"/>
                <w:szCs w:val="20"/>
                <w:color w:val="auto"/>
              </w:rPr>
            </w:pPr>
            <w:r>
              <w:rPr>
                <w:rFonts w:ascii="Arial" w:cs="Arial" w:eastAsia="Arial" w:hAnsi="Arial"/>
                <w:sz w:val="14"/>
                <w:szCs w:val="14"/>
                <w:color w:val="auto"/>
              </w:rPr>
              <w:t>100%</w:t>
            </w:r>
          </w:p>
        </w:tc>
        <w:tc>
          <w:tcPr>
            <w:tcW w:w="1500" w:type="dxa"/>
            <w:vAlign w:val="bottom"/>
          </w:tcPr>
          <w:p>
            <w:pPr>
              <w:ind w:left="300"/>
              <w:spacing w:after="0"/>
              <w:rPr>
                <w:sz w:val="20"/>
                <w:szCs w:val="20"/>
                <w:color w:val="auto"/>
              </w:rPr>
            </w:pPr>
            <w:r>
              <w:rPr>
                <w:rFonts w:ascii="Arial" w:cs="Arial" w:eastAsia="Arial" w:hAnsi="Arial"/>
                <w:sz w:val="14"/>
                <w:szCs w:val="14"/>
                <w:color w:val="auto"/>
              </w:rPr>
              <w:t>May 2010</w:t>
            </w:r>
          </w:p>
        </w:tc>
        <w:tc>
          <w:tcPr>
            <w:tcW w:w="1440" w:type="dxa"/>
            <w:vAlign w:val="bottom"/>
          </w:tcPr>
          <w:p>
            <w:pPr>
              <w:ind w:left="420"/>
              <w:spacing w:after="0"/>
              <w:rPr>
                <w:sz w:val="20"/>
                <w:szCs w:val="20"/>
                <w:color w:val="auto"/>
              </w:rPr>
            </w:pPr>
            <w:r>
              <w:rPr>
                <w:rFonts w:ascii="Arial" w:cs="Arial" w:eastAsia="Arial" w:hAnsi="Arial"/>
                <w:sz w:val="14"/>
                <w:szCs w:val="14"/>
                <w:color w:val="auto"/>
              </w:rPr>
              <w:t>BVI</w:t>
            </w:r>
          </w:p>
        </w:tc>
        <w:tc>
          <w:tcPr>
            <w:tcW w:w="2160" w:type="dxa"/>
            <w:vAlign w:val="bottom"/>
          </w:tcPr>
          <w:p>
            <w:pPr>
              <w:ind w:left="240"/>
              <w:spacing w:after="0"/>
              <w:rPr>
                <w:sz w:val="20"/>
                <w:szCs w:val="20"/>
                <w:color w:val="auto"/>
              </w:rPr>
            </w:pPr>
            <w:r>
              <w:rPr>
                <w:rFonts w:ascii="Arial" w:cs="Arial" w:eastAsia="Arial" w:hAnsi="Arial"/>
                <w:sz w:val="14"/>
                <w:szCs w:val="14"/>
                <w:color w:val="auto"/>
              </w:rPr>
              <w:t>Treasury management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1036"/>
        <w:spacing w:after="0"/>
        <w:rPr>
          <w:sz w:val="20"/>
          <w:szCs w:val="20"/>
          <w:color w:val="auto"/>
        </w:rPr>
      </w:pPr>
      <w:r>
        <w:rPr>
          <w:rFonts w:ascii="Arial" w:cs="Arial" w:eastAsia="Arial" w:hAnsi="Arial"/>
          <w:sz w:val="17"/>
          <w:szCs w:val="17"/>
          <w:color w:val="auto"/>
        </w:rPr>
        <w:t>Note:</w:t>
      </w:r>
    </w:p>
    <w:p>
      <w:pPr>
        <w:spacing w:after="0" w:line="143" w:lineRule="exact"/>
        <w:rPr>
          <w:sz w:val="20"/>
          <w:szCs w:val="20"/>
          <w:color w:val="auto"/>
        </w:rPr>
      </w:pPr>
    </w:p>
    <w:p>
      <w:pPr>
        <w:jc w:val="both"/>
        <w:ind w:left="1956" w:hanging="1123"/>
        <w:spacing w:after="0" w:line="228" w:lineRule="auto"/>
        <w:tabs>
          <w:tab w:leader="none" w:pos="195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Although the Company owns less than 50% ownership in these entities, these entities are consolidated as the Company obtains control with its controlling voting right at the level of both shareholders and board of directors pursuant to agreements with other investors of these entities.</w:t>
      </w:r>
    </w:p>
    <w:p>
      <w:pPr>
        <w:spacing w:after="0" w:line="119" w:lineRule="exact"/>
        <w:rPr>
          <w:rFonts w:ascii="Arial" w:cs="Arial" w:eastAsia="Arial" w:hAnsi="Arial"/>
          <w:sz w:val="17"/>
          <w:szCs w:val="17"/>
          <w:color w:val="auto"/>
        </w:rPr>
      </w:pPr>
    </w:p>
    <w:p>
      <w:pPr>
        <w:jc w:val="both"/>
        <w:ind w:left="1956" w:hanging="1123"/>
        <w:spacing w:after="0" w:line="223" w:lineRule="auto"/>
        <w:tabs>
          <w:tab w:leader="none" w:pos="195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acquired 40% equity interest of Anhui Myhayo in November 2018 (Note 4(a)). In August 2019, there was a contribution from non-controlling interests of US$2,905 to Anhui Myhayo whereby the Company's equity interest in Anhui Myhayo was diluted to 36.8%. The transaction did not result in a loss of the Company’s control over Anhui Myhayo and was accounted for as a transaction with non-controlling interests.</w:t>
      </w:r>
    </w:p>
    <w:p>
      <w:pPr>
        <w:spacing w:after="0" w:line="119" w:lineRule="exact"/>
        <w:rPr>
          <w:rFonts w:ascii="Arial" w:cs="Arial" w:eastAsia="Arial" w:hAnsi="Arial"/>
          <w:sz w:val="17"/>
          <w:szCs w:val="17"/>
          <w:color w:val="auto"/>
        </w:rPr>
      </w:pPr>
    </w:p>
    <w:p>
      <w:pPr>
        <w:jc w:val="both"/>
        <w:ind w:left="1956" w:hanging="1123"/>
        <w:spacing w:after="0" w:line="223" w:lineRule="auto"/>
        <w:tabs>
          <w:tab w:leader="none" w:pos="195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acquired 34.38% equity interest of Changyi, which holds 100% equity interest of Suzhou Changyi and Xian Changyi, in January 2019 (Note 4(b)). In May 2019, the Company has injected a total cash of US$2,217 to Changyi as paid-up capital whereby the Company's equity interest in Changyi increased to 41.46%. The transaction did not change the Company’s control over Changyi and was accounted for as a transaction with non-controlling interests.</w:t>
      </w:r>
    </w:p>
    <w:p>
      <w:pPr>
        <w:spacing w:after="0" w:line="171" w:lineRule="exact"/>
        <w:rPr>
          <w:rFonts w:ascii="Arial" w:cs="Arial" w:eastAsia="Arial" w:hAnsi="Arial"/>
          <w:sz w:val="17"/>
          <w:szCs w:val="17"/>
          <w:color w:val="auto"/>
        </w:rPr>
      </w:pPr>
    </w:p>
    <w:p>
      <w:pPr>
        <w:ind w:left="5536" w:hanging="104"/>
        <w:spacing w:after="0"/>
        <w:tabs>
          <w:tab w:leader="none" w:pos="553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49" w:name="page150"/>
    <w:bookmarkEnd w:id="149"/>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372" w:lineRule="exact"/>
        <w:rPr>
          <w:sz w:val="20"/>
          <w:szCs w:val="20"/>
          <w:color w:val="auto"/>
        </w:rPr>
      </w:pPr>
    </w:p>
    <w:p>
      <w:pPr>
        <w:ind w:left="836" w:hanging="836"/>
        <w:spacing w:after="0"/>
        <w:tabs>
          <w:tab w:leader="none" w:pos="836"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principal activities (Continued)</w:t>
      </w:r>
    </w:p>
    <w:p>
      <w:pPr>
        <w:spacing w:after="0" w:line="182" w:lineRule="exact"/>
        <w:rPr>
          <w:sz w:val="20"/>
          <w:szCs w:val="20"/>
          <w:color w:val="auto"/>
        </w:rPr>
      </w:pPr>
    </w:p>
    <w:p>
      <w:pPr>
        <w:ind w:left="836" w:hanging="836"/>
        <w:spacing w:after="0"/>
        <w:tabs>
          <w:tab w:leader="none" w:pos="836"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Consolidated VIE and VIE’s subsidiaries</w:t>
      </w:r>
    </w:p>
    <w:p>
      <w:pPr>
        <w:spacing w:after="0" w:line="187" w:lineRule="exact"/>
        <w:rPr>
          <w:rFonts w:ascii="Arial" w:cs="Arial" w:eastAsia="Arial" w:hAnsi="Arial"/>
          <w:sz w:val="17"/>
          <w:szCs w:val="17"/>
          <w:b w:val="1"/>
          <w:bCs w:val="1"/>
          <w:color w:val="auto"/>
        </w:rPr>
      </w:pPr>
    </w:p>
    <w:p>
      <w:pPr>
        <w:jc w:val="both"/>
        <w:ind w:left="836"/>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and its subsidiaries Shanghai OptAim, Shanghai Myhayo and Anhui Myhayo (together, “OptAim VIE”). OptAim WFOE, a wholly-owned subsidiary of the Company, or a wholly foreign owned enterprise (“WFOE”) of the Company, entered into a series of contractual agreements among Beijing OptAim and Beijing OptAim’s legal shareholders.</w:t>
      </w:r>
    </w:p>
    <w:p>
      <w:pPr>
        <w:spacing w:after="0" w:line="155"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OptAim VIE</w:t>
      </w:r>
    </w:p>
    <w:p>
      <w:pPr>
        <w:spacing w:after="0" w:line="181"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color w:val="auto"/>
        </w:rPr>
        <w:t>The Company’s relationships with Beijing OptAim and its shareholders are governed by the following contractual arrangements:</w:t>
      </w:r>
    </w:p>
    <w:p>
      <w:pPr>
        <w:spacing w:after="0" w:line="168" w:lineRule="exact"/>
        <w:rPr>
          <w:rFonts w:ascii="Arial" w:cs="Arial" w:eastAsia="Arial" w:hAnsi="Arial"/>
          <w:sz w:val="17"/>
          <w:szCs w:val="17"/>
          <w:b w:val="1"/>
          <w:bCs w:val="1"/>
          <w:color w:val="auto"/>
        </w:rPr>
      </w:pPr>
    </w:p>
    <w:p>
      <w:pPr>
        <w:ind w:left="1656" w:hanging="823"/>
        <w:spacing w:after="0"/>
        <w:tabs>
          <w:tab w:leader="none" w:pos="1656" w:val="left"/>
        </w:tabs>
        <w:numPr>
          <w:ilvl w:val="1"/>
          <w:numId w:val="120"/>
        </w:numPr>
        <w:rPr>
          <w:rFonts w:ascii="Arial" w:cs="Arial" w:eastAsia="Arial" w:hAnsi="Arial"/>
          <w:sz w:val="17"/>
          <w:szCs w:val="17"/>
          <w:color w:val="auto"/>
        </w:rPr>
      </w:pPr>
      <w:r>
        <w:rPr>
          <w:rFonts w:ascii="Arial" w:cs="Arial" w:eastAsia="Arial" w:hAnsi="Arial"/>
          <w:sz w:val="17"/>
          <w:szCs w:val="17"/>
          <w:color w:val="auto"/>
        </w:rPr>
        <w:t>Cooperative Agreement</w:t>
      </w:r>
    </w:p>
    <w:p>
      <w:pPr>
        <w:spacing w:after="0" w:line="168" w:lineRule="exact"/>
        <w:rPr>
          <w:rFonts w:ascii="Arial" w:cs="Arial" w:eastAsia="Arial" w:hAnsi="Arial"/>
          <w:sz w:val="17"/>
          <w:szCs w:val="17"/>
          <w:color w:val="auto"/>
        </w:rPr>
      </w:pPr>
    </w:p>
    <w:p>
      <w:pPr>
        <w:jc w:val="both"/>
        <w:ind w:left="1656"/>
        <w:spacing w:after="0" w:line="263" w:lineRule="auto"/>
        <w:rPr>
          <w:rFonts w:ascii="Arial" w:cs="Arial" w:eastAsia="Arial" w:hAnsi="Arial"/>
          <w:sz w:val="17"/>
          <w:szCs w:val="17"/>
          <w:color w:val="auto"/>
        </w:rPr>
      </w:pPr>
      <w:r>
        <w:rPr>
          <w:rFonts w:ascii="Arial" w:cs="Arial" w:eastAsia="Arial" w:hAnsi="Arial"/>
          <w:sz w:val="17"/>
          <w:szCs w:val="17"/>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w:t>
      </w:r>
    </w:p>
    <w:p>
      <w:pPr>
        <w:spacing w:after="0" w:line="138" w:lineRule="exact"/>
        <w:rPr>
          <w:rFonts w:ascii="Arial" w:cs="Arial" w:eastAsia="Arial" w:hAnsi="Arial"/>
          <w:sz w:val="17"/>
          <w:szCs w:val="17"/>
          <w:color w:val="auto"/>
        </w:rPr>
      </w:pPr>
    </w:p>
    <w:p>
      <w:pPr>
        <w:ind w:left="1656" w:hanging="823"/>
        <w:spacing w:after="0"/>
        <w:tabs>
          <w:tab w:leader="none" w:pos="1656" w:val="left"/>
        </w:tabs>
        <w:numPr>
          <w:ilvl w:val="1"/>
          <w:numId w:val="120"/>
        </w:numPr>
        <w:rPr>
          <w:rFonts w:ascii="Arial" w:cs="Arial" w:eastAsia="Arial" w:hAnsi="Arial"/>
          <w:sz w:val="17"/>
          <w:szCs w:val="17"/>
          <w:color w:val="auto"/>
        </w:rPr>
      </w:pPr>
      <w:r>
        <w:rPr>
          <w:rFonts w:ascii="Arial" w:cs="Arial" w:eastAsia="Arial" w:hAnsi="Arial"/>
          <w:sz w:val="17"/>
          <w:szCs w:val="17"/>
          <w:color w:val="auto"/>
        </w:rPr>
        <w:t>Purchase Option Agreement</w:t>
      </w:r>
    </w:p>
    <w:p>
      <w:pPr>
        <w:spacing w:after="0" w:line="168" w:lineRule="exact"/>
        <w:rPr>
          <w:rFonts w:ascii="Arial" w:cs="Arial" w:eastAsia="Arial" w:hAnsi="Arial"/>
          <w:sz w:val="17"/>
          <w:szCs w:val="17"/>
          <w:color w:val="auto"/>
        </w:rPr>
      </w:pPr>
    </w:p>
    <w:p>
      <w:pPr>
        <w:jc w:val="both"/>
        <w:ind w:left="1656"/>
        <w:spacing w:after="0" w:line="260" w:lineRule="auto"/>
        <w:rPr>
          <w:rFonts w:ascii="Arial" w:cs="Arial" w:eastAsia="Arial" w:hAnsi="Arial"/>
          <w:sz w:val="17"/>
          <w:szCs w:val="17"/>
          <w:color w:val="auto"/>
        </w:rPr>
      </w:pPr>
      <w:r>
        <w:rPr>
          <w:rFonts w:ascii="Arial" w:cs="Arial" w:eastAsia="Arial" w:hAnsi="Arial"/>
          <w:sz w:val="17"/>
          <w:szCs w:val="17"/>
          <w:color w:val="auto"/>
        </w:rPr>
        <w:t>The parties to the purchase option agreement are OptAim WFOE, Beijing OptAim and each of the shareholders of Beijing OptAim. Under the purchase option agreement, each of the shareholders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130" w:lineRule="exact"/>
        <w:rPr>
          <w:rFonts w:ascii="Arial" w:cs="Arial" w:eastAsia="Arial" w:hAnsi="Arial"/>
          <w:sz w:val="17"/>
          <w:szCs w:val="17"/>
          <w:color w:val="auto"/>
        </w:rPr>
      </w:pPr>
    </w:p>
    <w:p>
      <w:pPr>
        <w:ind w:left="1656" w:hanging="823"/>
        <w:spacing w:after="0"/>
        <w:tabs>
          <w:tab w:leader="none" w:pos="1656" w:val="left"/>
        </w:tabs>
        <w:numPr>
          <w:ilvl w:val="1"/>
          <w:numId w:val="120"/>
        </w:numPr>
        <w:rPr>
          <w:rFonts w:ascii="Arial" w:cs="Arial" w:eastAsia="Arial" w:hAnsi="Arial"/>
          <w:sz w:val="17"/>
          <w:szCs w:val="17"/>
          <w:color w:val="auto"/>
        </w:rPr>
      </w:pPr>
      <w:r>
        <w:rPr>
          <w:rFonts w:ascii="Arial" w:cs="Arial" w:eastAsia="Arial" w:hAnsi="Arial"/>
          <w:sz w:val="17"/>
          <w:szCs w:val="17"/>
          <w:color w:val="auto"/>
        </w:rPr>
        <w:t>Power of Attorney</w:t>
      </w:r>
    </w:p>
    <w:p>
      <w:pPr>
        <w:spacing w:after="0" w:line="168" w:lineRule="exact"/>
        <w:rPr>
          <w:rFonts w:ascii="Arial" w:cs="Arial" w:eastAsia="Arial" w:hAnsi="Arial"/>
          <w:sz w:val="17"/>
          <w:szCs w:val="17"/>
          <w:color w:val="auto"/>
        </w:rPr>
      </w:pPr>
    </w:p>
    <w:p>
      <w:pPr>
        <w:jc w:val="both"/>
        <w:ind w:left="1656"/>
        <w:spacing w:after="0" w:line="287" w:lineRule="auto"/>
        <w:rPr>
          <w:rFonts w:ascii="Arial" w:cs="Arial" w:eastAsia="Arial" w:hAnsi="Arial"/>
          <w:sz w:val="17"/>
          <w:szCs w:val="17"/>
          <w:color w:val="auto"/>
        </w:rPr>
      </w:pPr>
      <w:r>
        <w:rPr>
          <w:rFonts w:ascii="Arial" w:cs="Arial" w:eastAsia="Arial" w:hAnsi="Arial"/>
          <w:sz w:val="16"/>
          <w:szCs w:val="16"/>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08" w:lineRule="exact"/>
        <w:rPr>
          <w:rFonts w:ascii="Arial" w:cs="Arial" w:eastAsia="Arial" w:hAnsi="Arial"/>
          <w:sz w:val="17"/>
          <w:szCs w:val="17"/>
          <w:color w:val="auto"/>
        </w:rPr>
      </w:pPr>
    </w:p>
    <w:p>
      <w:pPr>
        <w:ind w:left="1656" w:hanging="823"/>
        <w:spacing w:after="0"/>
        <w:tabs>
          <w:tab w:leader="none" w:pos="1656" w:val="left"/>
        </w:tabs>
        <w:numPr>
          <w:ilvl w:val="1"/>
          <w:numId w:val="120"/>
        </w:numPr>
        <w:rPr>
          <w:rFonts w:ascii="Arial" w:cs="Arial" w:eastAsia="Arial" w:hAnsi="Arial"/>
          <w:sz w:val="17"/>
          <w:szCs w:val="17"/>
          <w:color w:val="auto"/>
        </w:rPr>
      </w:pPr>
      <w:r>
        <w:rPr>
          <w:rFonts w:ascii="Arial" w:cs="Arial" w:eastAsia="Arial" w:hAnsi="Arial"/>
          <w:sz w:val="17"/>
          <w:szCs w:val="17"/>
          <w:color w:val="auto"/>
        </w:rPr>
        <w:t>Pledge Agreement</w:t>
      </w:r>
    </w:p>
    <w:p>
      <w:pPr>
        <w:spacing w:after="0" w:line="168" w:lineRule="exact"/>
        <w:rPr>
          <w:rFonts w:ascii="Arial" w:cs="Arial" w:eastAsia="Arial" w:hAnsi="Arial"/>
          <w:sz w:val="17"/>
          <w:szCs w:val="17"/>
          <w:color w:val="auto"/>
        </w:rPr>
      </w:pPr>
    </w:p>
    <w:p>
      <w:pPr>
        <w:jc w:val="both"/>
        <w:ind w:left="1656"/>
        <w:spacing w:after="0" w:line="260" w:lineRule="auto"/>
        <w:rPr>
          <w:rFonts w:ascii="Arial" w:cs="Arial" w:eastAsia="Arial" w:hAnsi="Arial"/>
          <w:sz w:val="17"/>
          <w:szCs w:val="17"/>
          <w:color w:val="auto"/>
        </w:rPr>
      </w:pPr>
      <w:r>
        <w:rPr>
          <w:rFonts w:ascii="Arial" w:cs="Arial" w:eastAsia="Arial" w:hAnsi="Arial"/>
          <w:sz w:val="17"/>
          <w:szCs w:val="17"/>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182" w:lineRule="exact"/>
        <w:rPr>
          <w:rFonts w:ascii="Arial" w:cs="Arial" w:eastAsia="Arial" w:hAnsi="Arial"/>
          <w:sz w:val="17"/>
          <w:szCs w:val="17"/>
          <w:color w:val="auto"/>
        </w:rPr>
      </w:pPr>
    </w:p>
    <w:p>
      <w:pPr>
        <w:ind w:left="5536" w:hanging="104"/>
        <w:spacing w:after="0"/>
        <w:tabs>
          <w:tab w:leader="none" w:pos="5536" w:val="left"/>
        </w:tabs>
        <w:numPr>
          <w:ilvl w:val="2"/>
          <w:numId w:val="120"/>
        </w:numPr>
        <w:rPr>
          <w:rFonts w:ascii="Arial" w:cs="Arial" w:eastAsia="Arial" w:hAnsi="Arial"/>
          <w:sz w:val="17"/>
          <w:szCs w:val="17"/>
          <w:color w:val="auto"/>
        </w:rPr>
      </w:pPr>
      <w:r>
        <w:rPr>
          <w:rFonts w:ascii="Arial" w:cs="Arial" w:eastAsia="Arial" w:hAnsi="Arial"/>
          <w:sz w:val="17"/>
          <w:szCs w:val="17"/>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50" w:name="page151"/>
    <w:bookmarkEnd w:id="150"/>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40" w:hanging="836"/>
        <w:spacing w:after="0"/>
        <w:tabs>
          <w:tab w:leader="none" w:pos="8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principal activities (Continued)</w:t>
      </w:r>
    </w:p>
    <w:p>
      <w:pPr>
        <w:spacing w:after="0" w:line="143" w:lineRule="exact"/>
        <w:rPr>
          <w:sz w:val="20"/>
          <w:szCs w:val="20"/>
          <w:color w:val="auto"/>
        </w:rPr>
      </w:pPr>
    </w:p>
    <w:p>
      <w:pPr>
        <w:ind w:left="840" w:hanging="836"/>
        <w:spacing w:after="0"/>
        <w:tabs>
          <w:tab w:leader="none" w:pos="8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Consolidated VIE and VIE’s subsidiaries (Continued)</w:t>
      </w:r>
    </w:p>
    <w:p>
      <w:pPr>
        <w:spacing w:after="0" w:line="213"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5"/>
          <w:szCs w:val="15"/>
          <w:color w:val="auto"/>
        </w:rPr>
        <w:t>Pledge Agreement (Continued)</w:t>
      </w:r>
    </w:p>
    <w:p>
      <w:pPr>
        <w:spacing w:after="0" w:line="247" w:lineRule="exact"/>
        <w:rPr>
          <w:sz w:val="20"/>
          <w:szCs w:val="20"/>
          <w:color w:val="auto"/>
        </w:rPr>
      </w:pPr>
    </w:p>
    <w:p>
      <w:pPr>
        <w:ind w:left="1660"/>
        <w:spacing w:after="0" w:line="286" w:lineRule="auto"/>
        <w:rPr>
          <w:sz w:val="20"/>
          <w:szCs w:val="20"/>
          <w:color w:val="auto"/>
        </w:rPr>
      </w:pPr>
      <w:r>
        <w:rPr>
          <w:rFonts w:ascii="Arial" w:cs="Arial" w:eastAsia="Arial" w:hAnsi="Arial"/>
          <w:sz w:val="17"/>
          <w:szCs w:val="17"/>
          <w:color w:val="auto"/>
        </w:rPr>
        <w:t>The shareholders of Beijing OptAim have completed the registration of the equity pledge with the relevant office of the Administration for Industry and Commerce in accordance with the PRC Property Rights Law on June 21, 2017.</w:t>
      </w:r>
    </w:p>
    <w:p>
      <w:pPr>
        <w:spacing w:after="0" w:line="120" w:lineRule="exact"/>
        <w:rPr>
          <w:sz w:val="20"/>
          <w:szCs w:val="20"/>
          <w:color w:val="auto"/>
        </w:rPr>
      </w:pPr>
    </w:p>
    <w:p>
      <w:pPr>
        <w:ind w:left="840"/>
        <w:spacing w:after="0" w:line="286" w:lineRule="auto"/>
        <w:rPr>
          <w:sz w:val="20"/>
          <w:szCs w:val="20"/>
          <w:color w:val="auto"/>
        </w:rPr>
      </w:pPr>
      <w:r>
        <w:rPr>
          <w:rFonts w:ascii="Arial" w:cs="Arial" w:eastAsia="Arial" w:hAnsi="Arial"/>
          <w:sz w:val="17"/>
          <w:szCs w:val="17"/>
          <w:color w:val="auto"/>
        </w:rPr>
        <w:t>Through the aforementioned contractual agreements, OptAim VIE is considered VIE in accordance with Generally Accepted Accounting Principles in the United States (“US GAAP”) because the Company, through OptAim WFOE, has the ability to:</w:t>
      </w:r>
    </w:p>
    <w:p>
      <w:pPr>
        <w:spacing w:after="0" w:line="133" w:lineRule="exact"/>
        <w:rPr>
          <w:sz w:val="20"/>
          <w:szCs w:val="20"/>
          <w:color w:val="auto"/>
        </w:rPr>
      </w:pPr>
    </w:p>
    <w:p>
      <w:pPr>
        <w:ind w:left="1660" w:hanging="823"/>
        <w:spacing w:after="0" w:line="286" w:lineRule="auto"/>
        <w:tabs>
          <w:tab w:leader="none" w:pos="1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exercise effective control over OptAim VIE whereby having the power to direct OptAim VIE’s activities that most significantly drive the economic results of OptAim VIE;</w:t>
      </w:r>
    </w:p>
    <w:p>
      <w:pPr>
        <w:spacing w:after="0" w:line="119" w:lineRule="exact"/>
        <w:rPr>
          <w:rFonts w:ascii="Arial" w:cs="Arial" w:eastAsia="Arial" w:hAnsi="Arial"/>
          <w:sz w:val="17"/>
          <w:szCs w:val="17"/>
          <w:color w:val="auto"/>
        </w:rPr>
      </w:pPr>
    </w:p>
    <w:p>
      <w:pPr>
        <w:ind w:left="1660" w:hanging="823"/>
        <w:spacing w:after="0" w:line="286" w:lineRule="auto"/>
        <w:tabs>
          <w:tab w:leader="none" w:pos="1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receive substantially all of the economic benefits and residual returns, and absorb substantially all the risks and expected losses from the OptAim VIE as if it was their sole shareholder; and</w:t>
      </w:r>
    </w:p>
    <w:p>
      <w:pPr>
        <w:spacing w:after="0" w:line="119" w:lineRule="exact"/>
        <w:rPr>
          <w:rFonts w:ascii="Arial" w:cs="Arial" w:eastAsia="Arial" w:hAnsi="Arial"/>
          <w:sz w:val="17"/>
          <w:szCs w:val="17"/>
          <w:color w:val="auto"/>
        </w:rPr>
      </w:pPr>
    </w:p>
    <w:p>
      <w:pPr>
        <w:ind w:left="1660" w:hanging="823"/>
        <w:spacing w:after="0"/>
        <w:tabs>
          <w:tab w:leader="none" w:pos="1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have an exclusive option to purchase all of the equity interests in OptAim VIE.</w:t>
      </w:r>
    </w:p>
    <w:p>
      <w:pPr>
        <w:spacing w:after="0" w:line="182"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Management evaluated the relationships among the Company, OptAim WFOE and OptAim VIE, and concluded that OptAim WFOE is the primary beneficiary of OptAim VIE. As a result, OptAim VIE’s results of operations, assets and liabilities have been included in the Group’s consolidated financial statements.</w:t>
      </w:r>
    </w:p>
    <w:p>
      <w:pPr>
        <w:spacing w:after="0" w:line="134" w:lineRule="exact"/>
        <w:rPr>
          <w:sz w:val="20"/>
          <w:szCs w:val="20"/>
          <w:color w:val="auto"/>
        </w:rPr>
      </w:pPr>
    </w:p>
    <w:p>
      <w:pPr>
        <w:jc w:val="both"/>
        <w:ind w:left="840"/>
        <w:spacing w:after="0" w:line="265" w:lineRule="auto"/>
        <w:rPr>
          <w:sz w:val="20"/>
          <w:szCs w:val="20"/>
          <w:color w:val="auto"/>
        </w:rPr>
      </w:pPr>
      <w:r>
        <w:rPr>
          <w:rFonts w:ascii="Arial" w:cs="Arial" w:eastAsia="Arial" w:hAnsi="Arial"/>
          <w:sz w:val="17"/>
          <w:szCs w:val="17"/>
          <w:color w:val="auto"/>
        </w:rPr>
        <w:t>As of December 31, 2018 and 2019, the total assets of OptAim VIE were US$5,706 and US$9,733, respectively, mainly comprising cash and cash equivalents, accounts receivable, property and equipment, intangible assets, right-of-use assets and other assets. As of December 31, 2018 and 2019, the total liabilities of the OptAim VIE were US$3,359 and US$2,993 respectively, mainly comprising deferred revenue, accrued liabilities and other current liabilities.</w:t>
      </w:r>
    </w:p>
    <w:p>
      <w:pPr>
        <w:spacing w:after="0" w:line="138" w:lineRule="exact"/>
        <w:rPr>
          <w:sz w:val="20"/>
          <w:szCs w:val="20"/>
          <w:color w:val="auto"/>
        </w:rPr>
      </w:pPr>
    </w:p>
    <w:p>
      <w:pPr>
        <w:jc w:val="both"/>
        <w:ind w:left="840"/>
        <w:spacing w:after="0" w:line="281" w:lineRule="auto"/>
        <w:rPr>
          <w:sz w:val="20"/>
          <w:szCs w:val="20"/>
          <w:color w:val="auto"/>
        </w:rPr>
      </w:pPr>
      <w:r>
        <w:rPr>
          <w:rFonts w:ascii="Arial" w:cs="Arial" w:eastAsia="Arial" w:hAnsi="Arial"/>
          <w:sz w:val="16"/>
          <w:szCs w:val="16"/>
          <w:color w:val="auto"/>
        </w:rPr>
        <w:t>In accordance with the aforementioned agreements, the Company has the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OptAim VIE amounting to US$2,081 and US$2,081, respectively, as of December 31, 2018 and 2019, respectively. As Beijing OptAim and its subsidiaries were incorporated as limited liability companies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139"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As the Company is conducting its PRC online marketing services business through OptAim VIE, the Company will, if needed, provide such support on a discretion basis in the future, which could expose the Company to a loss.</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There is no VIE where the Company has variable interest but is not the primary beneficiary.</w:t>
      </w:r>
    </w:p>
    <w:p>
      <w:pPr>
        <w:spacing w:after="0" w:line="182" w:lineRule="exact"/>
        <w:rPr>
          <w:sz w:val="20"/>
          <w:szCs w:val="20"/>
          <w:color w:val="auto"/>
        </w:rPr>
      </w:pPr>
    </w:p>
    <w:p>
      <w:pPr>
        <w:jc w:val="both"/>
        <w:ind w:left="840"/>
        <w:spacing w:after="0" w:line="265" w:lineRule="auto"/>
        <w:rPr>
          <w:sz w:val="20"/>
          <w:szCs w:val="20"/>
          <w:color w:val="auto"/>
        </w:rPr>
      </w:pPr>
      <w:r>
        <w:rPr>
          <w:rFonts w:ascii="Arial" w:cs="Arial" w:eastAsia="Arial" w:hAnsi="Arial"/>
          <w:sz w:val="17"/>
          <w:szCs w:val="17"/>
          <w:color w:val="auto"/>
        </w:rPr>
        <w:t>The Company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151"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hanging="836"/>
        <w:spacing w:after="0"/>
        <w:tabs>
          <w:tab w:leader="none" w:pos="836"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principal activities (Continued)</w:t>
      </w:r>
    </w:p>
    <w:p>
      <w:pPr>
        <w:spacing w:after="0" w:line="156" w:lineRule="exact"/>
        <w:rPr>
          <w:sz w:val="20"/>
          <w:szCs w:val="20"/>
          <w:color w:val="auto"/>
        </w:rPr>
      </w:pPr>
    </w:p>
    <w:p>
      <w:pPr>
        <w:ind w:left="836" w:hanging="836"/>
        <w:spacing w:after="0"/>
        <w:tabs>
          <w:tab w:leader="none" w:pos="836"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Initial Public Offering</w:t>
      </w:r>
    </w:p>
    <w:p>
      <w:pPr>
        <w:spacing w:after="0" w:line="187" w:lineRule="exact"/>
        <w:rPr>
          <w:rFonts w:ascii="Arial" w:cs="Arial" w:eastAsia="Arial" w:hAnsi="Arial"/>
          <w:sz w:val="17"/>
          <w:szCs w:val="17"/>
          <w:b w:val="1"/>
          <w:bCs w:val="1"/>
          <w:color w:val="auto"/>
        </w:rPr>
      </w:pPr>
    </w:p>
    <w:p>
      <w:pPr>
        <w:jc w:val="both"/>
        <w:ind w:left="836"/>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Company completed its initial public offering (“IPO”) on December 22, 2017 on the NASDAQ Global Market and the underwriters subsequently exercised their over-allotment option on December 27, 2017. The Company issued and sold a total of 4,312,500 American Depositary Shares (“ADSs”) pursuant to these transactions. Each ADS represents 0.5 common share. The net proceeds received by the Company, after deducting commissions and offering expenses, amounted to US$28,405. Upon the completion of the IPO, all of the Company’s outstanding preferred shares were converted into common shares immediately as of the same date.</w:t>
      </w:r>
    </w:p>
    <w:p>
      <w:pPr>
        <w:spacing w:after="0" w:line="146" w:lineRule="exact"/>
        <w:rPr>
          <w:sz w:val="20"/>
          <w:szCs w:val="20"/>
          <w:color w:val="auto"/>
        </w:rPr>
      </w:pPr>
    </w:p>
    <w:p>
      <w:pPr>
        <w:ind w:left="836" w:hanging="836"/>
        <w:spacing w:after="0"/>
        <w:tabs>
          <w:tab w:leader="none" w:pos="836"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w:t>
      </w:r>
    </w:p>
    <w:p>
      <w:pPr>
        <w:spacing w:after="0" w:line="182" w:lineRule="exact"/>
        <w:rPr>
          <w:sz w:val="20"/>
          <w:szCs w:val="20"/>
          <w:color w:val="auto"/>
        </w:rPr>
      </w:pPr>
    </w:p>
    <w:p>
      <w:pPr>
        <w:ind w:left="836" w:hanging="836"/>
        <w:spacing w:after="0"/>
        <w:tabs>
          <w:tab w:leader="none" w:pos="836"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187"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113" w:lineRule="exact"/>
        <w:rPr>
          <w:rFonts w:ascii="Arial" w:cs="Arial" w:eastAsia="Arial" w:hAnsi="Arial"/>
          <w:sz w:val="17"/>
          <w:szCs w:val="17"/>
          <w:b w:val="1"/>
          <w:bCs w:val="1"/>
          <w:color w:val="auto"/>
        </w:rPr>
      </w:pPr>
    </w:p>
    <w:p>
      <w:pPr>
        <w:ind w:left="836" w:hanging="836"/>
        <w:spacing w:after="0"/>
        <w:tabs>
          <w:tab w:leader="none" w:pos="836"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Use of estimates</w:t>
      </w:r>
    </w:p>
    <w:p>
      <w:pPr>
        <w:spacing w:after="0" w:line="187" w:lineRule="exact"/>
        <w:rPr>
          <w:rFonts w:ascii="Arial" w:cs="Arial" w:eastAsia="Arial" w:hAnsi="Arial"/>
          <w:sz w:val="17"/>
          <w:szCs w:val="17"/>
          <w:b w:val="1"/>
          <w:bCs w:val="1"/>
          <w:color w:val="auto"/>
        </w:rPr>
      </w:pPr>
    </w:p>
    <w:p>
      <w:pPr>
        <w:jc w:val="both"/>
        <w:ind w:left="836"/>
        <w:spacing w:after="0" w:line="323" w:lineRule="auto"/>
        <w:rPr>
          <w:rFonts w:ascii="Arial" w:cs="Arial" w:eastAsia="Arial" w:hAnsi="Arial"/>
          <w:sz w:val="17"/>
          <w:szCs w:val="17"/>
          <w:b w:val="1"/>
          <w:bCs w:val="1"/>
          <w:color w:val="auto"/>
        </w:rPr>
      </w:pPr>
      <w:r>
        <w:rPr>
          <w:rFonts w:ascii="Arial" w:cs="Arial" w:eastAsia="Arial" w:hAnsi="Arial"/>
          <w:sz w:val="15"/>
          <w:szCs w:val="15"/>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97"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Group believes that revenue recognition, rebates, consolidation of VIE, determination of share-based compensation, measurement of redemption value of redeemable preferred shares and convertible notes, and impairment assessment of long-lived assets and intangible assets that reflect more significant judgments and estimates used in the preparation of its consolidated financial statements.</w:t>
      </w:r>
    </w:p>
    <w:p>
      <w:pPr>
        <w:spacing w:after="0" w:line="146"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127" w:lineRule="exact"/>
        <w:rPr>
          <w:rFonts w:ascii="Arial" w:cs="Arial" w:eastAsia="Arial" w:hAnsi="Arial"/>
          <w:sz w:val="17"/>
          <w:szCs w:val="17"/>
          <w:b w:val="1"/>
          <w:bCs w:val="1"/>
          <w:color w:val="auto"/>
        </w:rPr>
      </w:pPr>
    </w:p>
    <w:p>
      <w:pPr>
        <w:ind w:left="836" w:hanging="836"/>
        <w:spacing w:after="0"/>
        <w:tabs>
          <w:tab w:leader="none" w:pos="836"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Consolidation</w:t>
      </w:r>
    </w:p>
    <w:p>
      <w:pPr>
        <w:spacing w:after="0" w:line="187"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Group’s consolidated financial statements include the financial statements of the Company, its subsidiaries, its VIEs and a VIE’s subsidiaries for which the Company or its subsidiary is the primary beneficiary. All transactions and balances among the Company, its subsidiaries, its VIEs and a VIE’s subsidiaries have been eliminated upon consolidation.</w:t>
      </w:r>
    </w:p>
    <w:p>
      <w:pPr>
        <w:spacing w:after="0" w:line="133" w:lineRule="exact"/>
        <w:rPr>
          <w:rFonts w:ascii="Arial" w:cs="Arial" w:eastAsia="Arial" w:hAnsi="Arial"/>
          <w:sz w:val="17"/>
          <w:szCs w:val="17"/>
          <w:b w:val="1"/>
          <w:bCs w:val="1"/>
          <w:color w:val="auto"/>
        </w:rPr>
      </w:pPr>
    </w:p>
    <w:p>
      <w:pPr>
        <w:jc w:val="both"/>
        <w:ind w:left="836"/>
        <w:spacing w:after="0" w:line="295" w:lineRule="auto"/>
        <w:rPr>
          <w:rFonts w:ascii="Arial" w:cs="Arial" w:eastAsia="Arial" w:hAnsi="Arial"/>
          <w:sz w:val="17"/>
          <w:szCs w:val="17"/>
          <w:b w:val="1"/>
          <w:bCs w:val="1"/>
          <w:color w:val="auto"/>
        </w:rPr>
      </w:pPr>
      <w:r>
        <w:rPr>
          <w:rFonts w:ascii="Arial" w:cs="Arial" w:eastAsia="Arial" w:hAnsi="Arial"/>
          <w:sz w:val="16"/>
          <w:szCs w:val="16"/>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28" w:lineRule="exact"/>
        <w:rPr>
          <w:rFonts w:ascii="Arial" w:cs="Arial" w:eastAsia="Arial" w:hAnsi="Arial"/>
          <w:sz w:val="17"/>
          <w:szCs w:val="17"/>
          <w:b w:val="1"/>
          <w:bCs w:val="1"/>
          <w:color w:val="auto"/>
        </w:rPr>
      </w:pPr>
    </w:p>
    <w:p>
      <w:pPr>
        <w:jc w:val="both"/>
        <w:ind w:left="836"/>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subsidiaries, and has been determined to be the primary beneficiary of the VIE.</w:t>
      </w:r>
    </w:p>
    <w:p>
      <w:pPr>
        <w:spacing w:after="0" w:line="181"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52" w:name="page153"/>
    <w:bookmarkEnd w:id="152"/>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82" w:lineRule="exact"/>
        <w:rPr>
          <w:sz w:val="20"/>
          <w:szCs w:val="20"/>
          <w:color w:val="auto"/>
        </w:rPr>
      </w:pPr>
    </w:p>
    <w:p>
      <w:pPr>
        <w:ind w:left="836" w:hanging="836"/>
        <w:spacing w:after="0"/>
        <w:tabs>
          <w:tab w:leader="none" w:pos="836"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Consolidation (Continued)</w:t>
      </w:r>
    </w:p>
    <w:p>
      <w:pPr>
        <w:spacing w:after="0" w:line="187"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Non-controlling interests are recognized to reflect the portion of their equity that is not attributable, directly or indirectly, to the Company as the controlling shareholder. Non-controlling interests in the results and equity of subsidiaries are shown separately in the consolidated statement of comprehensive loss, statement of changes in equity and balance sheet, respectively.</w:t>
      </w:r>
    </w:p>
    <w:p>
      <w:pPr>
        <w:spacing w:after="0" w:line="140" w:lineRule="exact"/>
        <w:rPr>
          <w:rFonts w:ascii="Arial" w:cs="Arial" w:eastAsia="Arial" w:hAnsi="Arial"/>
          <w:sz w:val="17"/>
          <w:szCs w:val="17"/>
          <w:b w:val="1"/>
          <w:bCs w:val="1"/>
          <w:color w:val="auto"/>
        </w:rPr>
      </w:pPr>
    </w:p>
    <w:p>
      <w:pPr>
        <w:ind w:left="836" w:hanging="836"/>
        <w:spacing w:after="0"/>
        <w:tabs>
          <w:tab w:leader="none" w:pos="836"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Foreign currency translation</w:t>
      </w:r>
    </w:p>
    <w:p>
      <w:pPr>
        <w:spacing w:after="0" w:line="187"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133" w:lineRule="exact"/>
        <w:rPr>
          <w:rFonts w:ascii="Arial" w:cs="Arial" w:eastAsia="Arial" w:hAnsi="Arial"/>
          <w:sz w:val="17"/>
          <w:szCs w:val="17"/>
          <w:b w:val="1"/>
          <w:bCs w:val="1"/>
          <w:color w:val="auto"/>
        </w:rPr>
      </w:pPr>
    </w:p>
    <w:p>
      <w:pPr>
        <w:jc w:val="both"/>
        <w:ind w:left="836"/>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gains,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deficit/equity and comprehensive loss.</w:t>
      </w:r>
    </w:p>
    <w:p>
      <w:pPr>
        <w:spacing w:after="0" w:line="161" w:lineRule="exact"/>
        <w:rPr>
          <w:rFonts w:ascii="Arial" w:cs="Arial" w:eastAsia="Arial" w:hAnsi="Arial"/>
          <w:sz w:val="17"/>
          <w:szCs w:val="17"/>
          <w:b w:val="1"/>
          <w:bCs w:val="1"/>
          <w:color w:val="auto"/>
        </w:rPr>
      </w:pPr>
    </w:p>
    <w:p>
      <w:pPr>
        <w:ind w:left="836" w:hanging="836"/>
        <w:spacing w:after="0"/>
        <w:tabs>
          <w:tab w:leader="none" w:pos="836"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87" w:lineRule="exact"/>
        <w:rPr>
          <w:rFonts w:ascii="Arial" w:cs="Arial" w:eastAsia="Arial" w:hAnsi="Arial"/>
          <w:sz w:val="17"/>
          <w:szCs w:val="17"/>
          <w:b w:val="1"/>
          <w:bCs w:val="1"/>
          <w:color w:val="auto"/>
        </w:rPr>
      </w:pPr>
    </w:p>
    <w:p>
      <w:pPr>
        <w:jc w:val="both"/>
        <w:ind w:left="836"/>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When available, the Company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Valuation techniques used to measure fair value must maximize the use of observable inputs and minimize the use of unobservable inputs.</w:t>
      </w:r>
    </w:p>
    <w:p>
      <w:pPr>
        <w:spacing w:after="0" w:line="155"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Fair value measurements are based on a fair value hierarchy, based on three levels of inputs, of which the first two are considered observable and the last unobservable, that may be used to measure fair value which are the following:</w:t>
      </w:r>
    </w:p>
    <w:p>
      <w:pPr>
        <w:spacing w:after="0" w:line="119"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Level 1 — Quoted prices (unadjusted) in active markets for identical assets or liabilities that the Company has the ability to access at the measurement date.</w:t>
      </w:r>
    </w:p>
    <w:p>
      <w:pPr>
        <w:spacing w:after="0" w:line="119" w:lineRule="exact"/>
        <w:rPr>
          <w:rFonts w:ascii="Arial" w:cs="Arial" w:eastAsia="Arial" w:hAnsi="Arial"/>
          <w:sz w:val="17"/>
          <w:szCs w:val="17"/>
          <w:b w:val="1"/>
          <w:bCs w:val="1"/>
          <w:color w:val="auto"/>
        </w:rPr>
      </w:pPr>
    </w:p>
    <w:p>
      <w:pPr>
        <w:jc w:val="both"/>
        <w:ind w:left="836"/>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Level 2 — Inputs other than quoted prices included within Level 1 that are observable for the asset or liability, either directly or indirectly, such as quoted market prices for similar assets and liabilities;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1"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6"/>
          <w:szCs w:val="16"/>
          <w:color w:val="auto"/>
        </w:rPr>
        <w:t>Level 3 — Unobservable inputs to the valuation methodology that are significant to the measurement of the fair value of the assets or liabilities.</w:t>
      </w:r>
    </w:p>
    <w:p>
      <w:pPr>
        <w:spacing w:after="0" w:line="193"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Observable inputs are based on market data obtained from independent sources. The Company’s derivative liabilities and convertible notes are measured using unobservable inputs that require a high level of judgment to determine fair value, and thus classified as Level 3 (Note 3(c) and Note 18).</w:t>
      </w:r>
    </w:p>
    <w:p>
      <w:pPr>
        <w:spacing w:after="0" w:line="172"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29"/>
        </w:numPr>
        <w:rPr>
          <w:rFonts w:ascii="Arial" w:cs="Arial" w:eastAsia="Arial" w:hAnsi="Arial"/>
          <w:sz w:val="17"/>
          <w:szCs w:val="17"/>
          <w:color w:val="auto"/>
        </w:rPr>
      </w:pPr>
      <w:r>
        <w:rPr>
          <w:rFonts w:ascii="Arial" w:cs="Arial" w:eastAsia="Arial" w:hAnsi="Arial"/>
          <w:sz w:val="17"/>
          <w:szCs w:val="17"/>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53" w:name="page154"/>
    <w:bookmarkEnd w:id="153"/>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hanging="836"/>
        <w:spacing w:after="0"/>
        <w:tabs>
          <w:tab w:leader="none" w:pos="836"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69" w:lineRule="exact"/>
        <w:rPr>
          <w:sz w:val="20"/>
          <w:szCs w:val="20"/>
          <w:color w:val="auto"/>
        </w:rPr>
      </w:pPr>
    </w:p>
    <w:p>
      <w:pPr>
        <w:ind w:left="836" w:hanging="836"/>
        <w:spacing w:after="0"/>
        <w:tabs>
          <w:tab w:leader="none" w:pos="836"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 (Continued)</w:t>
      </w:r>
    </w:p>
    <w:p>
      <w:pPr>
        <w:spacing w:after="0" w:line="174"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Company values its investments in wealth management products issued by a bank classified as short-term investments in the consolidated balance sheets using quoted subscription/redemption prices published by the bank, and accordingly, the Company classifies the valuation techniques that use these inputs as Level 2.</w:t>
      </w:r>
    </w:p>
    <w:p>
      <w:pPr>
        <w:spacing w:after="0" w:line="146" w:lineRule="exact"/>
        <w:rPr>
          <w:rFonts w:ascii="Arial" w:cs="Arial" w:eastAsia="Arial" w:hAnsi="Arial"/>
          <w:sz w:val="17"/>
          <w:szCs w:val="17"/>
          <w:b w:val="1"/>
          <w:bCs w:val="1"/>
          <w:color w:val="auto"/>
        </w:rPr>
      </w:pPr>
    </w:p>
    <w:p>
      <w:pPr>
        <w:jc w:val="both"/>
        <w:ind w:left="836"/>
        <w:spacing w:after="0" w:line="323" w:lineRule="auto"/>
        <w:rPr>
          <w:rFonts w:ascii="Arial" w:cs="Arial" w:eastAsia="Arial" w:hAnsi="Arial"/>
          <w:sz w:val="17"/>
          <w:szCs w:val="17"/>
          <w:b w:val="1"/>
          <w:bCs w:val="1"/>
          <w:color w:val="auto"/>
        </w:rPr>
      </w:pPr>
      <w:r>
        <w:rPr>
          <w:rFonts w:ascii="Arial" w:cs="Arial" w:eastAsia="Arial" w:hAnsi="Arial"/>
          <w:sz w:val="15"/>
          <w:szCs w:val="15"/>
          <w:color w:val="auto"/>
        </w:rPr>
        <w:t>The carrying amounts of cash and cash equivalents, time deposits, restricted cash, accounts receivable, rebate receivables, accounts payable, other financial assets and liabilities approximate their fair values due to the short-term nature of these instruments. Based on the borrowing rates currently available to the Group for debt with similar terms, the carrying amounts of the short-term loans approximate their fair values (using Level 2 inputs).</w:t>
      </w:r>
    </w:p>
    <w:p>
      <w:pPr>
        <w:spacing w:after="0" w:line="110" w:lineRule="exact"/>
        <w:rPr>
          <w:rFonts w:ascii="Arial" w:cs="Arial" w:eastAsia="Arial" w:hAnsi="Arial"/>
          <w:sz w:val="17"/>
          <w:szCs w:val="17"/>
          <w:b w:val="1"/>
          <w:bCs w:val="1"/>
          <w:color w:val="auto"/>
        </w:rPr>
      </w:pPr>
    </w:p>
    <w:p>
      <w:pPr>
        <w:jc w:val="both"/>
        <w:ind w:left="836"/>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The Group measures an equity investment accounted for using the equity method at fair value on a non-recurring basis only if an impairment charge were to be recognized. For the years ended December 31, 2017, 2018 and 2019, no impairments were recorded on the asset required to be measured at fair value on a non-recurring basis. Equity investments accounted for using the measurement alternative (Note 2(l)) are generally not categorized in the fair value hierarchy. However, if equity investments without readily determinable fair values were re-measured during the years ended December 31, 2017, 2018 and 2019, they were classified within Level 3 in the fair value hierarchy because the Group estimated the value of the investments based on valuation methods using the observable transaction price at the transaction date and other unobservable inputs.</w:t>
      </w:r>
    </w:p>
    <w:p>
      <w:pPr>
        <w:spacing w:after="0" w:line="158" w:lineRule="exact"/>
        <w:rPr>
          <w:rFonts w:ascii="Arial" w:cs="Arial" w:eastAsia="Arial" w:hAnsi="Arial"/>
          <w:sz w:val="17"/>
          <w:szCs w:val="17"/>
          <w:b w:val="1"/>
          <w:bCs w:val="1"/>
          <w:color w:val="auto"/>
        </w:rPr>
      </w:pPr>
    </w:p>
    <w:p>
      <w:pPr>
        <w:ind w:left="836" w:hanging="836"/>
        <w:spacing w:after="0"/>
        <w:tabs>
          <w:tab w:leader="none" w:pos="836"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Cash, cash equivalents and restricted cash</w:t>
      </w:r>
    </w:p>
    <w:p>
      <w:pPr>
        <w:spacing w:after="0" w:line="200"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119" w:lineRule="exact"/>
        <w:rPr>
          <w:rFonts w:ascii="Arial" w:cs="Arial" w:eastAsia="Arial" w:hAnsi="Arial"/>
          <w:sz w:val="17"/>
          <w:szCs w:val="17"/>
          <w:b w:val="1"/>
          <w:bCs w:val="1"/>
          <w:color w:val="auto"/>
        </w:rPr>
      </w:pPr>
    </w:p>
    <w:p>
      <w:pPr>
        <w:jc w:val="both"/>
        <w:ind w:left="836"/>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2019, the Group’s restricted cash represents balance held in restricted bank accounts as required by certain loan agreements. As of December 31, 2018, the Group did not have any restricted cash.</w:t>
      </w:r>
    </w:p>
    <w:p>
      <w:pPr>
        <w:spacing w:after="0" w:line="138" w:lineRule="exact"/>
        <w:rPr>
          <w:rFonts w:ascii="Arial" w:cs="Arial" w:eastAsia="Arial" w:hAnsi="Arial"/>
          <w:sz w:val="17"/>
          <w:szCs w:val="17"/>
          <w:b w:val="1"/>
          <w:bCs w:val="1"/>
          <w:color w:val="auto"/>
        </w:rPr>
      </w:pPr>
    </w:p>
    <w:p>
      <w:pPr>
        <w:jc w:val="both"/>
        <w:ind w:left="836"/>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In November 2016, the Financial Accounting Standard Board (“FASB”) issued Accounting Standards Update (“ASU”) No. 2016-18, Statements of Cash Flows (Topic 230): Restricted Cash, which requires companies to include amounts generally described as restricted cash and restricted cash equivalents in cash and cash equivalents when reconciling beginning-of-period and end-of-period total amounts presented in the statement of cash flows. The Group has adopted this new guidance on January 1, 2018, using the retrospective transition method. Following the adoption of this guidance in 2018:</w:t>
      </w:r>
    </w:p>
    <w:p>
      <w:pPr>
        <w:spacing w:after="0" w:line="151" w:lineRule="exact"/>
        <w:rPr>
          <w:rFonts w:ascii="Arial" w:cs="Arial" w:eastAsia="Arial" w:hAnsi="Arial"/>
          <w:sz w:val="17"/>
          <w:szCs w:val="17"/>
          <w:b w:val="1"/>
          <w:bCs w:val="1"/>
          <w:color w:val="auto"/>
        </w:rPr>
      </w:pPr>
    </w:p>
    <w:p>
      <w:pPr>
        <w:ind w:left="1656" w:hanging="823"/>
        <w:spacing w:after="0" w:line="286" w:lineRule="auto"/>
        <w:tabs>
          <w:tab w:leader="none" w:pos="1656"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Amounts generally described as restricted cash were presented with cash and cash equivalents when reconciling the beginning-of-period and end-of-period total amounts shown on the consolidated statements of cash flows.</w:t>
      </w:r>
    </w:p>
    <w:p>
      <w:pPr>
        <w:spacing w:after="0" w:line="119" w:lineRule="exact"/>
        <w:rPr>
          <w:rFonts w:ascii="Arial" w:cs="Arial" w:eastAsia="Arial" w:hAnsi="Arial"/>
          <w:sz w:val="17"/>
          <w:szCs w:val="17"/>
          <w:color w:val="auto"/>
        </w:rPr>
      </w:pPr>
    </w:p>
    <w:p>
      <w:pPr>
        <w:ind w:left="1656" w:hanging="823"/>
        <w:spacing w:after="0" w:line="319" w:lineRule="auto"/>
        <w:tabs>
          <w:tab w:leader="none" w:pos="165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Decrease in restricted cash under net cash used in investing activities amounting to US$5,234 for the year ended December 31, 2017 had been reclassified to net decrease in cash and cash equivalents and restricted cash in the consolidated statements of cash flows.</w:t>
      </w:r>
    </w:p>
    <w:p>
      <w:pPr>
        <w:spacing w:after="0" w:line="96" w:lineRule="exact"/>
        <w:rPr>
          <w:rFonts w:ascii="Arial" w:cs="Arial" w:eastAsia="Arial" w:hAnsi="Arial"/>
          <w:sz w:val="16"/>
          <w:szCs w:val="16"/>
          <w:color w:val="auto"/>
        </w:rPr>
      </w:pPr>
    </w:p>
    <w:p>
      <w:pPr>
        <w:ind w:left="1656" w:hanging="823"/>
        <w:spacing w:after="0" w:line="286" w:lineRule="auto"/>
        <w:tabs>
          <w:tab w:leader="none" w:pos="1656" w:val="left"/>
        </w:tabs>
        <w:numPr>
          <w:ilvl w:val="1"/>
          <w:numId w:val="131"/>
        </w:numPr>
        <w:rPr>
          <w:rFonts w:ascii="Arial" w:cs="Arial" w:eastAsia="Arial" w:hAnsi="Arial"/>
          <w:sz w:val="17"/>
          <w:szCs w:val="17"/>
          <w:color w:val="auto"/>
        </w:rPr>
      </w:pPr>
      <w:r>
        <w:rPr>
          <w:rFonts w:ascii="Arial" w:cs="Arial" w:eastAsia="Arial" w:hAnsi="Arial"/>
          <w:sz w:val="17"/>
          <w:szCs w:val="17"/>
          <w:color w:val="auto"/>
        </w:rPr>
        <w:t>No impact to the consolidated statements of cash flows for the year ended December 31, 2018 as there was no restricted cash during the year.</w:t>
      </w:r>
    </w:p>
    <w:p>
      <w:pPr>
        <w:spacing w:after="0" w:line="119" w:lineRule="exact"/>
        <w:rPr>
          <w:rFonts w:ascii="Arial" w:cs="Arial" w:eastAsia="Arial" w:hAnsi="Arial"/>
          <w:sz w:val="17"/>
          <w:szCs w:val="17"/>
          <w:color w:val="auto"/>
        </w:rPr>
      </w:pPr>
    </w:p>
    <w:p>
      <w:pPr>
        <w:ind w:left="1656" w:hanging="823"/>
        <w:spacing w:after="0"/>
        <w:tabs>
          <w:tab w:leader="none" w:pos="165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Group also added a reconciliation of cash, cash equivalents, and restricted cash to the consolidated statements of cash flows.</w:t>
      </w:r>
    </w:p>
    <w:p>
      <w:pPr>
        <w:spacing w:after="0" w:line="219" w:lineRule="exact"/>
        <w:rPr>
          <w:rFonts w:ascii="Arial" w:cs="Arial" w:eastAsia="Arial" w:hAnsi="Arial"/>
          <w:sz w:val="16"/>
          <w:szCs w:val="16"/>
          <w:color w:val="auto"/>
        </w:rPr>
      </w:pPr>
    </w:p>
    <w:p>
      <w:pPr>
        <w:ind w:left="5536" w:hanging="104"/>
        <w:spacing w:after="0"/>
        <w:tabs>
          <w:tab w:leader="none" w:pos="5536" w:val="left"/>
        </w:tabs>
        <w:numPr>
          <w:ilvl w:val="2"/>
          <w:numId w:val="131"/>
        </w:numPr>
        <w:rPr>
          <w:rFonts w:ascii="Arial" w:cs="Arial" w:eastAsia="Arial" w:hAnsi="Arial"/>
          <w:sz w:val="17"/>
          <w:szCs w:val="17"/>
          <w:color w:val="auto"/>
        </w:rPr>
      </w:pPr>
      <w:r>
        <w:rPr>
          <w:rFonts w:ascii="Arial" w:cs="Arial" w:eastAsia="Arial" w:hAnsi="Arial"/>
          <w:sz w:val="17"/>
          <w:szCs w:val="17"/>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54" w:name="page155"/>
    <w:bookmarkEnd w:id="154"/>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82" w:lineRule="exact"/>
        <w:rPr>
          <w:sz w:val="20"/>
          <w:szCs w:val="20"/>
          <w:color w:val="auto"/>
        </w:rPr>
      </w:pPr>
    </w:p>
    <w:p>
      <w:pPr>
        <w:ind w:left="836" w:hanging="836"/>
        <w:spacing w:after="0"/>
        <w:tabs>
          <w:tab w:leader="none" w:pos="836"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Time deposits</w:t>
      </w:r>
    </w:p>
    <w:p>
      <w:pPr>
        <w:spacing w:after="0" w:line="187"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Time deposits represent demand deposits placed with banks with original maturities of more than three months but less than one year. Interest income is recognized using the effective interest method in the consolidated statements of comprehensive loss during the periods. Time deposits are valued based on the prevailing interest rates in the market.</w:t>
      </w:r>
    </w:p>
    <w:p>
      <w:pPr>
        <w:spacing w:after="0" w:line="140" w:lineRule="exact"/>
        <w:rPr>
          <w:rFonts w:ascii="Arial" w:cs="Arial" w:eastAsia="Arial" w:hAnsi="Arial"/>
          <w:sz w:val="17"/>
          <w:szCs w:val="17"/>
          <w:b w:val="1"/>
          <w:bCs w:val="1"/>
          <w:color w:val="auto"/>
        </w:rPr>
      </w:pPr>
    </w:p>
    <w:p>
      <w:pPr>
        <w:ind w:left="836" w:hanging="836"/>
        <w:spacing w:after="0"/>
        <w:tabs>
          <w:tab w:leader="none" w:pos="836"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 net</w:t>
      </w:r>
    </w:p>
    <w:p>
      <w:pPr>
        <w:spacing w:after="0" w:line="187" w:lineRule="exact"/>
        <w:rPr>
          <w:rFonts w:ascii="Arial" w:cs="Arial" w:eastAsia="Arial" w:hAnsi="Arial"/>
          <w:sz w:val="17"/>
          <w:szCs w:val="17"/>
          <w:b w:val="1"/>
          <w:bCs w:val="1"/>
          <w:color w:val="auto"/>
        </w:rPr>
      </w:pPr>
    </w:p>
    <w:p>
      <w:pPr>
        <w:jc w:val="both"/>
        <w:ind w:left="836"/>
        <w:spacing w:after="0" w:line="295" w:lineRule="auto"/>
        <w:rPr>
          <w:rFonts w:ascii="Arial" w:cs="Arial" w:eastAsia="Arial" w:hAnsi="Arial"/>
          <w:sz w:val="17"/>
          <w:szCs w:val="17"/>
          <w:b w:val="1"/>
          <w:bCs w:val="1"/>
          <w:color w:val="auto"/>
        </w:rPr>
      </w:pPr>
      <w:r>
        <w:rPr>
          <w:rFonts w:ascii="Arial" w:cs="Arial" w:eastAsia="Arial" w:hAnsi="Arial"/>
          <w:sz w:val="16"/>
          <w:szCs w:val="16"/>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115" w:lineRule="exact"/>
        <w:rPr>
          <w:rFonts w:ascii="Arial" w:cs="Arial" w:eastAsia="Arial" w:hAnsi="Arial"/>
          <w:sz w:val="17"/>
          <w:szCs w:val="17"/>
          <w:b w:val="1"/>
          <w:bCs w:val="1"/>
          <w:color w:val="auto"/>
        </w:rPr>
      </w:pPr>
    </w:p>
    <w:p>
      <w:pPr>
        <w:jc w:val="both"/>
        <w:ind w:left="836"/>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The Group maintains an allowance for doubtful accounts which reflects its best estimate of amounts that potentially will not be collected. The Group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Group makes specific bad debt provisions based on any specific knowledge the Group has acquired that might indicate that an account is uncollectible. The facts and circumstances of each account may require the Group to use substantial judgment in assessing its collectability.</w:t>
      </w:r>
    </w:p>
    <w:p>
      <w:pPr>
        <w:spacing w:after="0" w:line="119" w:lineRule="exact"/>
        <w:rPr>
          <w:rFonts w:ascii="Arial" w:cs="Arial" w:eastAsia="Arial" w:hAnsi="Arial"/>
          <w:sz w:val="17"/>
          <w:szCs w:val="17"/>
          <w:b w:val="1"/>
          <w:bCs w:val="1"/>
          <w:color w:val="auto"/>
        </w:rPr>
      </w:pPr>
    </w:p>
    <w:p>
      <w:pPr>
        <w:ind w:left="836" w:hanging="836"/>
        <w:spacing w:after="0"/>
        <w:tabs>
          <w:tab w:leader="none" w:pos="836"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Rebates receivable</w:t>
      </w:r>
    </w:p>
    <w:p>
      <w:pPr>
        <w:spacing w:after="0" w:line="187"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Rebates receivable represent sales rebates that have already been earned but not received from third party publishers. The Group earns its rebates from purchasing advertising spaces from these website publishers.</w:t>
      </w:r>
    </w:p>
    <w:p>
      <w:pPr>
        <w:spacing w:after="0" w:line="126" w:lineRule="exact"/>
        <w:rPr>
          <w:rFonts w:ascii="Arial" w:cs="Arial" w:eastAsia="Arial" w:hAnsi="Arial"/>
          <w:sz w:val="17"/>
          <w:szCs w:val="17"/>
          <w:b w:val="1"/>
          <w:bCs w:val="1"/>
          <w:color w:val="auto"/>
        </w:rPr>
      </w:pPr>
    </w:p>
    <w:p>
      <w:pPr>
        <w:ind w:left="836" w:hanging="836"/>
        <w:spacing w:after="0"/>
        <w:tabs>
          <w:tab w:leader="none" w:pos="836"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Short-term investments</w:t>
      </w:r>
    </w:p>
    <w:p>
      <w:pPr>
        <w:spacing w:after="0" w:line="187" w:lineRule="exact"/>
        <w:rPr>
          <w:rFonts w:ascii="Arial" w:cs="Arial" w:eastAsia="Arial" w:hAnsi="Arial"/>
          <w:sz w:val="17"/>
          <w:szCs w:val="17"/>
          <w:b w:val="1"/>
          <w:bCs w:val="1"/>
          <w:color w:val="auto"/>
        </w:rPr>
      </w:pPr>
    </w:p>
    <w:p>
      <w:pPr>
        <w:jc w:val="both"/>
        <w:ind w:left="836"/>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Short-term investments include investments in wealth management products issued by a bank in the PRC which are redeemable by the Group at any time. The wealth management products are unsecured with variable interest rates and primarily invested in debt securities issued by the PRC government, corporate debt securities and central bank bills. The Group measures the short-term investments at fair value using the quoted subscription or redemption prices published by the bank. The change in fair value recorded in the consolidated statements of comprehensive loss amounted to US$nil, US$25 and US$107 for the years ended December 31, 2017, 2018 and 2019, respectively.</w:t>
      </w:r>
    </w:p>
    <w:p>
      <w:pPr>
        <w:spacing w:after="0" w:line="119" w:lineRule="exact"/>
        <w:rPr>
          <w:rFonts w:ascii="Arial" w:cs="Arial" w:eastAsia="Arial" w:hAnsi="Arial"/>
          <w:sz w:val="17"/>
          <w:szCs w:val="17"/>
          <w:b w:val="1"/>
          <w:bCs w:val="1"/>
          <w:color w:val="auto"/>
        </w:rPr>
      </w:pPr>
    </w:p>
    <w:p>
      <w:pPr>
        <w:ind w:left="836" w:hanging="836"/>
        <w:spacing w:after="0"/>
        <w:tabs>
          <w:tab w:leader="none" w:pos="836"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 an equity investee</w:t>
      </w:r>
    </w:p>
    <w:p>
      <w:pPr>
        <w:spacing w:after="0" w:line="187"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Investment in an equity investee represents the Group's investment in a privately held company. The Group applies the equity method to account for an equity investment in common stock or in-substance common stock, according to ASC 323 “Investment — Equity Method and Joint Ventures,” over which it has significant influence but does not own a majority equity interest or otherwise control.</w:t>
      </w:r>
    </w:p>
    <w:p>
      <w:pPr>
        <w:spacing w:after="0" w:line="133" w:lineRule="exact"/>
        <w:rPr>
          <w:rFonts w:ascii="Arial" w:cs="Arial" w:eastAsia="Arial" w:hAnsi="Arial"/>
          <w:sz w:val="17"/>
          <w:szCs w:val="17"/>
          <w:b w:val="1"/>
          <w:bCs w:val="1"/>
          <w:color w:val="auto"/>
        </w:rPr>
      </w:pPr>
    </w:p>
    <w:p>
      <w:pPr>
        <w:jc w:val="both"/>
        <w:ind w:left="836"/>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Under the equity method, the Group initially records the investments at cost and the difference between the cost of the equity investee and the fair value of the underlying net assets of the equity investee is recognized as equity method goodwill and intangible assets acquired, which is included in the equity method investments on the consolidated balance sheets. The Group subsequently adjusts the carrying amount of the investments to recognize its (i) proportionate share of each equity investee’s post-acquisition net income or loss into earnings, (ii) share of post-acquisition movements in accumulated other comprehensive income into other comprehensive income, and (iii) cash distributions from investees, after the date of investment. When the Group's share of loss in the equity investee equals or exceeds its interest in the equity investee, the Group does not recognize further loss, unless the Group has incurred obligations or made payments or guarantees on behalf of the equity investee.</w:t>
      </w:r>
    </w:p>
    <w:p>
      <w:pPr>
        <w:spacing w:after="0" w:line="167"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33"/>
        </w:numPr>
        <w:rPr>
          <w:rFonts w:ascii="Arial" w:cs="Arial" w:eastAsia="Arial" w:hAnsi="Arial"/>
          <w:sz w:val="17"/>
          <w:szCs w:val="17"/>
          <w:color w:val="auto"/>
        </w:rPr>
      </w:pPr>
      <w:r>
        <w:rPr>
          <w:rFonts w:ascii="Arial" w:cs="Arial" w:eastAsia="Arial" w:hAnsi="Arial"/>
          <w:sz w:val="17"/>
          <w:szCs w:val="17"/>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55" w:name="page156"/>
    <w:bookmarkEnd w:id="155"/>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221" w:lineRule="exact"/>
        <w:rPr>
          <w:sz w:val="20"/>
          <w:szCs w:val="20"/>
          <w:color w:val="auto"/>
        </w:rPr>
      </w:pPr>
    </w:p>
    <w:p>
      <w:pPr>
        <w:ind w:left="836" w:hanging="836"/>
        <w:spacing w:after="0"/>
        <w:tabs>
          <w:tab w:leader="none" w:pos="836"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 an equity investee (Continued)</w:t>
      </w:r>
    </w:p>
    <w:p>
      <w:pPr>
        <w:spacing w:after="0" w:line="226"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Group evaluates its equity method investment for impairment under ASC 323-10. An impairment loss on the equity method investment is recognized in the consolidated statement of comprehensive loss when the decline in value is determined to be other-than-temporary. No impairment loss has been recorded during the years ended December 31, 2017, 2018 and 2019.</w:t>
      </w:r>
    </w:p>
    <w:p>
      <w:pPr>
        <w:spacing w:after="0" w:line="166" w:lineRule="exact"/>
        <w:rPr>
          <w:rFonts w:ascii="Arial" w:cs="Arial" w:eastAsia="Arial" w:hAnsi="Arial"/>
          <w:sz w:val="17"/>
          <w:szCs w:val="17"/>
          <w:b w:val="1"/>
          <w:bCs w:val="1"/>
          <w:color w:val="auto"/>
        </w:rPr>
      </w:pPr>
    </w:p>
    <w:p>
      <w:pPr>
        <w:ind w:left="836" w:hanging="836"/>
        <w:spacing w:after="0"/>
        <w:tabs>
          <w:tab w:leader="none" w:pos="836"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Other long-term investments</w:t>
      </w:r>
    </w:p>
    <w:p>
      <w:pPr>
        <w:spacing w:after="0" w:line="226"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6"/>
          <w:szCs w:val="16"/>
          <w:color w:val="auto"/>
        </w:rPr>
        <w:t>The Group’s other long-term investments as of December 31, 2018 and 2019 consist of equity securities without readily determinable fair value.</w:t>
      </w:r>
    </w:p>
    <w:p>
      <w:pPr>
        <w:spacing w:after="0" w:line="232" w:lineRule="exact"/>
        <w:rPr>
          <w:rFonts w:ascii="Arial" w:cs="Arial" w:eastAsia="Arial" w:hAnsi="Arial"/>
          <w:sz w:val="17"/>
          <w:szCs w:val="17"/>
          <w:b w:val="1"/>
          <w:bCs w:val="1"/>
          <w:color w:val="auto"/>
        </w:rPr>
      </w:pPr>
    </w:p>
    <w:p>
      <w:pPr>
        <w:jc w:val="both"/>
        <w:ind w:left="836"/>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Group adopted Accounting Standards Codification (“ASC”) 321 “Investments—Equity Securities” on January 1, 2018 and is required to measure its equity investments at fair value and any changes in fair value are recognized in earnings. For equity securities without readily determinable fair value and does not qualify for the existing practical expedient in ASC 820 “Fair Value Measurements and Disclosures” (“ASC 820”) to estimate fair value using the net asset value per share (or its equivalent) of the investments, the Group elected to use the measurement alternative to measure its equity investments at cost, less any impairment, plus or minus changes resulting from observable price changes in orderly transactions for identical or similar investments of the same issuer, if any.</w:t>
      </w:r>
    </w:p>
    <w:p>
      <w:pPr>
        <w:spacing w:after="0" w:line="175" w:lineRule="exact"/>
        <w:rPr>
          <w:rFonts w:ascii="Arial" w:cs="Arial" w:eastAsia="Arial" w:hAnsi="Arial"/>
          <w:sz w:val="17"/>
          <w:szCs w:val="17"/>
          <w:b w:val="1"/>
          <w:bCs w:val="1"/>
          <w:color w:val="auto"/>
        </w:rPr>
      </w:pPr>
    </w:p>
    <w:p>
      <w:pPr>
        <w:ind w:left="836" w:hanging="836"/>
        <w:spacing w:after="0"/>
        <w:tabs>
          <w:tab w:leader="none" w:pos="836"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87"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236"/>
          </w:cols>
          <w:pgMar w:left="324" w:top="121" w:right="339" w:bottom="1440" w:gutter="0" w:footer="0" w:header="0"/>
        </w:sectPr>
      </w:pPr>
    </w:p>
    <w:p>
      <w:pPr>
        <w:spacing w:after="0" w:line="367" w:lineRule="exact"/>
        <w:rPr>
          <w:sz w:val="20"/>
          <w:szCs w:val="20"/>
          <w:color w:val="auto"/>
        </w:rPr>
      </w:pPr>
    </w:p>
    <w:p>
      <w:pPr>
        <w:ind w:left="1016"/>
        <w:spacing w:after="0"/>
        <w:rPr>
          <w:sz w:val="20"/>
          <w:szCs w:val="20"/>
          <w:color w:val="auto"/>
        </w:rPr>
      </w:pPr>
      <w:r>
        <w:rPr>
          <w:rFonts w:ascii="Arial" w:cs="Arial" w:eastAsia="Arial" w:hAnsi="Arial"/>
          <w:sz w:val="15"/>
          <w:szCs w:val="15"/>
          <w:color w:val="auto"/>
        </w:rPr>
        <w:t>Leasehold improvements</w:t>
      </w:r>
    </w:p>
    <w:p>
      <w:pPr>
        <w:spacing w:after="0" w:line="48" w:lineRule="exact"/>
        <w:rPr>
          <w:sz w:val="20"/>
          <w:szCs w:val="20"/>
          <w:color w:val="auto"/>
        </w:rPr>
      </w:pPr>
    </w:p>
    <w:p>
      <w:pPr>
        <w:ind w:left="1016"/>
        <w:spacing w:after="0"/>
        <w:rPr>
          <w:sz w:val="20"/>
          <w:szCs w:val="20"/>
          <w:color w:val="auto"/>
        </w:rPr>
      </w:pPr>
      <w:r>
        <w:rPr>
          <w:rFonts w:ascii="Arial" w:cs="Arial" w:eastAsia="Arial" w:hAnsi="Arial"/>
          <w:sz w:val="17"/>
          <w:szCs w:val="17"/>
          <w:color w:val="auto"/>
        </w:rPr>
        <w:t>Furniture and fixtures</w:t>
      </w:r>
    </w:p>
    <w:p>
      <w:pPr>
        <w:spacing w:after="0" w:line="13" w:lineRule="exact"/>
        <w:rPr>
          <w:sz w:val="20"/>
          <w:szCs w:val="20"/>
          <w:color w:val="auto"/>
        </w:rPr>
      </w:pPr>
    </w:p>
    <w:p>
      <w:pPr>
        <w:ind w:left="1016"/>
        <w:spacing w:after="0"/>
        <w:rPr>
          <w:sz w:val="20"/>
          <w:szCs w:val="20"/>
          <w:color w:val="auto"/>
        </w:rPr>
      </w:pPr>
      <w:r>
        <w:rPr>
          <w:rFonts w:ascii="Arial" w:cs="Arial" w:eastAsia="Arial" w:hAnsi="Arial"/>
          <w:sz w:val="17"/>
          <w:szCs w:val="17"/>
          <w:color w:val="auto"/>
        </w:rPr>
        <w:t>Office equipment</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color w:val="auto"/>
        </w:rPr>
        <w:t>Over the shorter of lease term or 2 – 5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 – 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3 – 5 years</w:t>
      </w:r>
    </w:p>
    <w:p>
      <w:pPr>
        <w:spacing w:after="0" w:line="200" w:lineRule="exact"/>
        <w:rPr>
          <w:sz w:val="20"/>
          <w:szCs w:val="20"/>
          <w:color w:val="auto"/>
        </w:rPr>
      </w:pPr>
    </w:p>
    <w:p>
      <w:pPr>
        <w:sectPr>
          <w:pgSz w:w="11900" w:h="16838" w:orient="portrait"/>
          <w:cols w:equalWidth="0" w:num="2">
            <w:col w:w="2856" w:space="720"/>
            <w:col w:w="7660"/>
          </w:cols>
          <w:pgMar w:left="324" w:top="121" w:right="339" w:bottom="1440" w:gutter="0" w:footer="0" w:header="0"/>
          <w:type w:val="continuous"/>
        </w:sectPr>
      </w:pPr>
    </w:p>
    <w:p>
      <w:pPr>
        <w:spacing w:after="0" w:line="8" w:lineRule="exact"/>
        <w:rPr>
          <w:sz w:val="20"/>
          <w:szCs w:val="20"/>
          <w:color w:val="auto"/>
        </w:rPr>
      </w:pPr>
    </w:p>
    <w:p>
      <w:pPr>
        <w:ind w:left="836"/>
        <w:spacing w:after="0" w:line="356" w:lineRule="auto"/>
        <w:rPr>
          <w:sz w:val="20"/>
          <w:szCs w:val="20"/>
          <w:color w:val="auto"/>
        </w:rPr>
      </w:pPr>
      <w:r>
        <w:rPr>
          <w:rFonts w:ascii="Arial" w:cs="Arial" w:eastAsia="Arial" w:hAnsi="Arial"/>
          <w:sz w:val="15"/>
          <w:szCs w:val="15"/>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321"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type w:val="continuous"/>
        </w:sectPr>
      </w:pPr>
    </w:p>
    <w:bookmarkStart w:id="156" w:name="page157"/>
    <w:bookmarkEnd w:id="156"/>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221" w:lineRule="exact"/>
        <w:rPr>
          <w:sz w:val="20"/>
          <w:szCs w:val="20"/>
          <w:color w:val="auto"/>
        </w:rPr>
      </w:pPr>
    </w:p>
    <w:p>
      <w:pPr>
        <w:ind w:left="836" w:hanging="836"/>
        <w:spacing w:after="0"/>
        <w:tabs>
          <w:tab w:leader="none" w:pos="836"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w:t>
      </w:r>
    </w:p>
    <w:p>
      <w:pPr>
        <w:spacing w:after="0" w:line="187" w:lineRule="exact"/>
        <w:rPr>
          <w:rFonts w:ascii="Arial" w:cs="Arial" w:eastAsia="Arial" w:hAnsi="Arial"/>
          <w:sz w:val="17"/>
          <w:szCs w:val="17"/>
          <w:b w:val="1"/>
          <w:bCs w:val="1"/>
          <w:color w:val="auto"/>
        </w:rPr>
      </w:pPr>
    </w:p>
    <w:p>
      <w:pPr>
        <w:jc w:val="both"/>
        <w:ind w:left="836"/>
        <w:spacing w:after="0" w:line="275" w:lineRule="auto"/>
        <w:rPr>
          <w:rFonts w:ascii="Arial" w:cs="Arial" w:eastAsia="Arial" w:hAnsi="Arial"/>
          <w:sz w:val="17"/>
          <w:szCs w:val="17"/>
          <w:b w:val="1"/>
          <w:bCs w:val="1"/>
          <w:color w:val="auto"/>
        </w:rPr>
      </w:pPr>
      <w:r>
        <w:rPr>
          <w:rFonts w:ascii="Arial" w:cs="Arial" w:eastAsia="Arial" w:hAnsi="Arial"/>
          <w:sz w:val="16"/>
          <w:szCs w:val="16"/>
          <w:color w:val="auto"/>
        </w:rPr>
        <w:t>The Group accounts for acquisitions of entities that include inputs and processes and have the ability to create outputs as business combinations. The Group accounts for its business combinations using the acquisition method of accounting in accordance with ASC 805 “Business Combinations” (“ASC 805”). The cost of an acquisition is measured as the aggregate of the acquisition date fair value of the assets transferred to the sellers and liabilities incurred by the Group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loss as gain on bargain purchase. During the measurement period, which can be up to one year from the acquisition date, the Group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 of comprehensive loss.</w:t>
      </w:r>
    </w:p>
    <w:p>
      <w:pPr>
        <w:spacing w:after="0" w:line="144" w:lineRule="exact"/>
        <w:rPr>
          <w:rFonts w:ascii="Arial" w:cs="Arial" w:eastAsia="Arial" w:hAnsi="Arial"/>
          <w:sz w:val="17"/>
          <w:szCs w:val="17"/>
          <w:b w:val="1"/>
          <w:bCs w:val="1"/>
          <w:color w:val="auto"/>
        </w:rPr>
      </w:pPr>
    </w:p>
    <w:p>
      <w:pPr>
        <w:ind w:left="836" w:hanging="836"/>
        <w:spacing w:after="0"/>
        <w:tabs>
          <w:tab w:leader="none" w:pos="836"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 net</w:t>
      </w:r>
    </w:p>
    <w:p>
      <w:pPr>
        <w:spacing w:after="0" w:line="187" w:lineRule="exact"/>
        <w:rPr>
          <w:rFonts w:ascii="Arial" w:cs="Arial" w:eastAsia="Arial" w:hAnsi="Arial"/>
          <w:sz w:val="17"/>
          <w:szCs w:val="17"/>
          <w:b w:val="1"/>
          <w:bCs w:val="1"/>
          <w:color w:val="auto"/>
        </w:rPr>
      </w:pPr>
    </w:p>
    <w:p>
      <w:pPr>
        <w:jc w:val="both"/>
        <w:ind w:left="836"/>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Intangible assets mainly consist of computer software licenses purchased from external parties and computer software and systems acquired through the acquisitions of OptAim, Buzzinate Company Limited, Myhayo and Changyi, respectively. It also includes developed technologies, customer relationship and contract backlog acquired through the acquisition of Changyi. Identifiable intangible assets are carried at acquisition cost less accumulated amortization and impairment loss, if any. Amortization of finite lived intangible assets is computed using the straight-line method over the following estimated useful lives, which are as follows:</w:t>
      </w:r>
    </w:p>
    <w:p>
      <w:pPr>
        <w:sectPr>
          <w:pgSz w:w="11900" w:h="16838" w:orient="portrait"/>
          <w:cols w:equalWidth="0" w:num="1">
            <w:col w:w="11236"/>
          </w:cols>
          <w:pgMar w:left="324" w:top="121" w:right="339" w:bottom="1440" w:gutter="0" w:footer="0" w:header="0"/>
        </w:sectPr>
      </w:pPr>
    </w:p>
    <w:p>
      <w:pPr>
        <w:spacing w:after="0" w:line="178" w:lineRule="exact"/>
        <w:rPr>
          <w:sz w:val="20"/>
          <w:szCs w:val="20"/>
          <w:color w:val="auto"/>
        </w:rPr>
      </w:pPr>
    </w:p>
    <w:p>
      <w:pPr>
        <w:ind w:left="836"/>
        <w:spacing w:after="0"/>
        <w:rPr>
          <w:sz w:val="20"/>
          <w:szCs w:val="20"/>
          <w:color w:val="auto"/>
        </w:rPr>
      </w:pPr>
      <w:r>
        <w:rPr>
          <w:rFonts w:ascii="Arial" w:cs="Arial" w:eastAsia="Arial" w:hAnsi="Arial"/>
          <w:sz w:val="15"/>
          <w:szCs w:val="15"/>
          <w:color w:val="auto"/>
        </w:rPr>
        <w:t>Computer software and systems</w:t>
      </w:r>
    </w:p>
    <w:p>
      <w:pPr>
        <w:spacing w:after="0" w:line="48" w:lineRule="exact"/>
        <w:rPr>
          <w:sz w:val="20"/>
          <w:szCs w:val="20"/>
          <w:color w:val="auto"/>
        </w:rPr>
      </w:pPr>
    </w:p>
    <w:p>
      <w:pPr>
        <w:ind w:left="836"/>
        <w:spacing w:after="0"/>
        <w:rPr>
          <w:sz w:val="20"/>
          <w:szCs w:val="20"/>
          <w:color w:val="auto"/>
        </w:rPr>
      </w:pPr>
      <w:r>
        <w:rPr>
          <w:rFonts w:ascii="Arial" w:cs="Arial" w:eastAsia="Arial" w:hAnsi="Arial"/>
          <w:sz w:val="17"/>
          <w:szCs w:val="17"/>
          <w:color w:val="auto"/>
        </w:rPr>
        <w:t>Developed technologies</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Customer relationship</w:t>
      </w:r>
    </w:p>
    <w:p>
      <w:pPr>
        <w:spacing w:after="0" w:line="13" w:lineRule="exact"/>
        <w:rPr>
          <w:sz w:val="20"/>
          <w:szCs w:val="20"/>
          <w:color w:val="auto"/>
        </w:rPr>
      </w:pPr>
    </w:p>
    <w:p>
      <w:pPr>
        <w:ind w:left="836"/>
        <w:spacing w:after="0"/>
        <w:rPr>
          <w:sz w:val="20"/>
          <w:szCs w:val="20"/>
          <w:color w:val="auto"/>
        </w:rPr>
      </w:pPr>
      <w:r>
        <w:rPr>
          <w:rFonts w:ascii="Arial" w:cs="Arial" w:eastAsia="Arial" w:hAnsi="Arial"/>
          <w:sz w:val="17"/>
          <w:szCs w:val="17"/>
          <w:color w:val="auto"/>
        </w:rPr>
        <w:t>Contract backlog</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2 – 5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200" w:lineRule="exact"/>
        <w:rPr>
          <w:sz w:val="20"/>
          <w:szCs w:val="20"/>
          <w:color w:val="auto"/>
        </w:rPr>
      </w:pPr>
    </w:p>
    <w:p>
      <w:pPr>
        <w:sectPr>
          <w:pgSz w:w="11900" w:h="16838" w:orient="portrait"/>
          <w:cols w:equalWidth="0" w:num="2">
            <w:col w:w="3096" w:space="720"/>
            <w:col w:w="7420"/>
          </w:cols>
          <w:pgMar w:left="324" w:top="121" w:right="339" w:bottom="1440" w:gutter="0" w:footer="0" w:header="0"/>
          <w:type w:val="continuous"/>
        </w:sectPr>
      </w:pPr>
    </w:p>
    <w:p>
      <w:pPr>
        <w:spacing w:after="0" w:line="2" w:lineRule="exact"/>
        <w:rPr>
          <w:sz w:val="20"/>
          <w:szCs w:val="20"/>
          <w:color w:val="auto"/>
        </w:rPr>
      </w:pPr>
    </w:p>
    <w:p>
      <w:pPr>
        <w:ind w:left="836" w:hanging="836"/>
        <w:spacing w:after="0"/>
        <w:tabs>
          <w:tab w:leader="none" w:pos="836"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Impairment of long-lived assets and intangible assets</w:t>
      </w:r>
    </w:p>
    <w:p>
      <w:pPr>
        <w:spacing w:after="0" w:line="187" w:lineRule="exact"/>
        <w:rPr>
          <w:rFonts w:ascii="Arial" w:cs="Arial" w:eastAsia="Arial" w:hAnsi="Arial"/>
          <w:sz w:val="17"/>
          <w:szCs w:val="17"/>
          <w:b w:val="1"/>
          <w:bCs w:val="1"/>
          <w:color w:val="auto"/>
        </w:rPr>
      </w:pPr>
    </w:p>
    <w:p>
      <w:pPr>
        <w:jc w:val="both"/>
        <w:ind w:left="836"/>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200" w:lineRule="exact"/>
        <w:rPr>
          <w:rFonts w:ascii="Arial" w:cs="Arial" w:eastAsia="Arial" w:hAnsi="Arial"/>
          <w:sz w:val="17"/>
          <w:szCs w:val="17"/>
          <w:b w:val="1"/>
          <w:bCs w:val="1"/>
          <w:color w:val="auto"/>
        </w:rPr>
      </w:pPr>
    </w:p>
    <w:p>
      <w:pPr>
        <w:spacing w:after="0" w:line="397"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38"/>
        </w:numPr>
        <w:rPr>
          <w:rFonts w:ascii="Arial" w:cs="Arial" w:eastAsia="Arial" w:hAnsi="Arial"/>
          <w:sz w:val="17"/>
          <w:szCs w:val="17"/>
          <w:color w:val="auto"/>
        </w:rPr>
      </w:pPr>
      <w:r>
        <w:rPr>
          <w:rFonts w:ascii="Arial" w:cs="Arial" w:eastAsia="Arial" w:hAnsi="Arial"/>
          <w:sz w:val="17"/>
          <w:szCs w:val="17"/>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type w:val="continuous"/>
        </w:sectPr>
      </w:pPr>
    </w:p>
    <w:bookmarkStart w:id="157" w:name="page158"/>
    <w:bookmarkEnd w:id="157"/>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221" w:lineRule="exact"/>
        <w:rPr>
          <w:sz w:val="20"/>
          <w:szCs w:val="20"/>
          <w:color w:val="auto"/>
        </w:rPr>
      </w:pPr>
    </w:p>
    <w:p>
      <w:pPr>
        <w:ind w:left="836" w:hanging="836"/>
        <w:spacing w:after="0"/>
        <w:tabs>
          <w:tab w:leader="none" w:pos="836"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Impairment of goodwill</w:t>
      </w:r>
    </w:p>
    <w:p>
      <w:pPr>
        <w:spacing w:after="0" w:line="187" w:lineRule="exact"/>
        <w:rPr>
          <w:rFonts w:ascii="Arial" w:cs="Arial" w:eastAsia="Arial" w:hAnsi="Arial"/>
          <w:sz w:val="17"/>
          <w:szCs w:val="17"/>
          <w:b w:val="1"/>
          <w:bCs w:val="1"/>
          <w:color w:val="auto"/>
        </w:rPr>
      </w:pPr>
    </w:p>
    <w:p>
      <w:pPr>
        <w:jc w:val="both"/>
        <w:ind w:left="836"/>
        <w:spacing w:after="0" w:line="274" w:lineRule="auto"/>
        <w:rPr>
          <w:rFonts w:ascii="Arial" w:cs="Arial" w:eastAsia="Arial" w:hAnsi="Arial"/>
          <w:sz w:val="17"/>
          <w:szCs w:val="17"/>
          <w:b w:val="1"/>
          <w:bCs w:val="1"/>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Application of a goodwill impairment test requires significant management judgment, including the identification of reporting units, assigning assets, liabilities and goodwill to reporting units, and determining the fair value of each reporting unit. The judgment in estimating the fair value of each reporting unit includes estimating future cash flows, determining appropriate discount rates, control premium, comparable companies’ multipliers and making other assumptions. Changes in these estimates and assumptions could materially affect the determination of fair value for each reporting unit.</w:t>
      </w:r>
    </w:p>
    <w:p>
      <w:pPr>
        <w:spacing w:after="0" w:line="145" w:lineRule="exact"/>
        <w:rPr>
          <w:rFonts w:ascii="Arial" w:cs="Arial" w:eastAsia="Arial" w:hAnsi="Arial"/>
          <w:sz w:val="17"/>
          <w:szCs w:val="17"/>
          <w:b w:val="1"/>
          <w:bCs w:val="1"/>
          <w:color w:val="auto"/>
        </w:rPr>
      </w:pPr>
    </w:p>
    <w:p>
      <w:pPr>
        <w:ind w:left="836" w:hanging="836"/>
        <w:spacing w:after="0"/>
        <w:tabs>
          <w:tab w:leader="none" w:pos="836"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Adoption of ASC 842</w:t>
      </w:r>
    </w:p>
    <w:p>
      <w:pPr>
        <w:spacing w:after="0" w:line="187" w:lineRule="exact"/>
        <w:rPr>
          <w:rFonts w:ascii="Arial" w:cs="Arial" w:eastAsia="Arial" w:hAnsi="Arial"/>
          <w:sz w:val="17"/>
          <w:szCs w:val="17"/>
          <w:b w:val="1"/>
          <w:bCs w:val="1"/>
          <w:color w:val="auto"/>
        </w:rPr>
      </w:pPr>
    </w:p>
    <w:p>
      <w:pPr>
        <w:jc w:val="both"/>
        <w:ind w:left="836"/>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On January 1, 2019, the Group adopted ASC 842, which requires the recognition of the right-of-use assets (“ROU assets”), and related lease liabilities on the consolidated balance sheets using a modified retrospective approach. The consolidated financial statements related to periods prior to January 1, 2019 were not restated, and continue to be reported under ASC Topic 840—Leases ("ASC 840"), which did not require the recognition of operating lease liabilities on the consolidated balance sheets. As a result the consolidated financial statements related to periods prior to January 1, 2019 are not entirely comparative with current and future periods. As permitted under ASC 842, the Group elected several practical expedients that permit the Group to not reassess (1) whether existing contracts are or contain a lease, (2) the classification of existing leases, and (3) whether previously capitalized costs continue to qualify as initial indirect costs. In addition, the Group has elected not to recognize short-term leases on the consolidated balance sheets. In addition, the Group did not use hindsight to determine lease term.</w:t>
      </w:r>
    </w:p>
    <w:p>
      <w:pPr>
        <w:spacing w:after="0" w:line="129"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For the identified leases, the Group used its incremental borrowing rate to discount the related future payment obligations as of January 1, 2019 to determine its lease liability as of the adoption date. As of the adoption date, the Group recognized a lease liability of US$2,634 and a corresponding ROU asset of US$2,634, with no equity impact from the adoption.</w:t>
      </w:r>
    </w:p>
    <w:p>
      <w:pPr>
        <w:spacing w:after="0" w:line="133" w:lineRule="exact"/>
        <w:rPr>
          <w:rFonts w:ascii="Arial" w:cs="Arial" w:eastAsia="Arial" w:hAnsi="Arial"/>
          <w:sz w:val="17"/>
          <w:szCs w:val="17"/>
          <w:b w:val="1"/>
          <w:bCs w:val="1"/>
          <w:color w:val="auto"/>
        </w:rPr>
      </w:pPr>
    </w:p>
    <w:p>
      <w:pPr>
        <w:jc w:val="both"/>
        <w:ind w:left="836"/>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Group records rent expense for operating leases, including leases of office locations and equipment, on a straight-line basis over the lease term. The Group begins recognition of rent expense on the commencement date, which is generally the date that the asset is made available for use. The lease liability is included in lease liabilities, current and lease liabilities, non-current within the consolidated balance sheets, which are reduced as lease related payments are made. The ROU asset is amortized on a periodic basis over the expected term of the lease. See Note 14 for additional information.</w:t>
      </w:r>
    </w:p>
    <w:p>
      <w:pPr>
        <w:spacing w:after="0" w:line="200" w:lineRule="exact"/>
        <w:rPr>
          <w:rFonts w:ascii="Arial" w:cs="Arial" w:eastAsia="Arial" w:hAnsi="Arial"/>
          <w:sz w:val="17"/>
          <w:szCs w:val="17"/>
          <w:b w:val="1"/>
          <w:bCs w:val="1"/>
          <w:color w:val="auto"/>
        </w:rPr>
      </w:pPr>
    </w:p>
    <w:p>
      <w:pPr>
        <w:spacing w:after="0" w:line="355"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40"/>
        </w:numPr>
        <w:rPr>
          <w:rFonts w:ascii="Arial" w:cs="Arial" w:eastAsia="Arial" w:hAnsi="Arial"/>
          <w:sz w:val="17"/>
          <w:szCs w:val="17"/>
          <w:color w:val="auto"/>
        </w:rPr>
      </w:pPr>
      <w:r>
        <w:rPr>
          <w:rFonts w:ascii="Arial" w:cs="Arial" w:eastAsia="Arial" w:hAnsi="Arial"/>
          <w:sz w:val="17"/>
          <w:szCs w:val="17"/>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58" w:name="page159"/>
    <w:bookmarkEnd w:id="158"/>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hanging="836"/>
        <w:spacing w:after="0"/>
        <w:tabs>
          <w:tab w:leader="none" w:pos="836"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43" w:lineRule="exact"/>
        <w:rPr>
          <w:sz w:val="20"/>
          <w:szCs w:val="20"/>
          <w:color w:val="auto"/>
        </w:rPr>
      </w:pPr>
    </w:p>
    <w:p>
      <w:pPr>
        <w:ind w:left="836" w:hanging="836"/>
        <w:spacing w:after="0"/>
        <w:tabs>
          <w:tab w:leader="none" w:pos="836"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Deferred revenue</w:t>
      </w:r>
    </w:p>
    <w:p>
      <w:pPr>
        <w:spacing w:after="0" w:line="148" w:lineRule="exact"/>
        <w:rPr>
          <w:rFonts w:ascii="Arial" w:cs="Arial" w:eastAsia="Arial" w:hAnsi="Arial"/>
          <w:sz w:val="17"/>
          <w:szCs w:val="17"/>
          <w:b w:val="1"/>
          <w:bCs w:val="1"/>
          <w:color w:val="auto"/>
        </w:rPr>
      </w:pPr>
    </w:p>
    <w:p>
      <w:pPr>
        <w:ind w:left="836"/>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125" w:lineRule="exact"/>
        <w:rPr>
          <w:rFonts w:ascii="Arial" w:cs="Arial" w:eastAsia="Arial" w:hAnsi="Arial"/>
          <w:sz w:val="17"/>
          <w:szCs w:val="17"/>
          <w:b w:val="1"/>
          <w:bCs w:val="1"/>
          <w:color w:val="auto"/>
        </w:rPr>
      </w:pPr>
    </w:p>
    <w:p>
      <w:pPr>
        <w:ind w:left="836" w:hanging="836"/>
        <w:spacing w:after="0"/>
        <w:tabs>
          <w:tab w:leader="none" w:pos="836"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 financial instruments</w:t>
      </w:r>
    </w:p>
    <w:p>
      <w:pPr>
        <w:spacing w:after="0" w:line="148" w:lineRule="exact"/>
        <w:rPr>
          <w:rFonts w:ascii="Arial" w:cs="Arial" w:eastAsia="Arial" w:hAnsi="Arial"/>
          <w:sz w:val="17"/>
          <w:szCs w:val="17"/>
          <w:b w:val="1"/>
          <w:bCs w:val="1"/>
          <w:color w:val="auto"/>
        </w:rPr>
      </w:pPr>
    </w:p>
    <w:p>
      <w:pPr>
        <w:jc w:val="both"/>
        <w:ind w:left="836"/>
        <w:spacing w:after="0" w:line="231" w:lineRule="auto"/>
        <w:rPr>
          <w:rFonts w:ascii="Arial" w:cs="Arial" w:eastAsia="Arial" w:hAnsi="Arial"/>
          <w:sz w:val="17"/>
          <w:szCs w:val="17"/>
          <w:b w:val="1"/>
          <w:bCs w:val="1"/>
          <w:color w:val="auto"/>
        </w:rPr>
      </w:pPr>
      <w:r>
        <w:rPr>
          <w:rFonts w:ascii="Arial" w:cs="Arial" w:eastAsia="Arial" w:hAnsi="Arial"/>
          <w:sz w:val="16"/>
          <w:szCs w:val="16"/>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 The Group’s derivative financial instruments included the conversion features and redemption features of the preferred shares classifies as “derivative liabilities”. For the year ended December 31, 2017, the Group recognized fair value losses of US$10,190 on derivative financial instruments. There was no derivative financial instrument as of December 31, 2018 and 2019.</w:t>
      </w:r>
    </w:p>
    <w:p>
      <w:pPr>
        <w:spacing w:after="0" w:line="154" w:lineRule="exact"/>
        <w:rPr>
          <w:rFonts w:ascii="Arial" w:cs="Arial" w:eastAsia="Arial" w:hAnsi="Arial"/>
          <w:sz w:val="17"/>
          <w:szCs w:val="17"/>
          <w:b w:val="1"/>
          <w:bCs w:val="1"/>
          <w:color w:val="auto"/>
        </w:rPr>
      </w:pPr>
    </w:p>
    <w:p>
      <w:pPr>
        <w:ind w:left="836" w:hanging="836"/>
        <w:spacing w:after="0"/>
        <w:tabs>
          <w:tab w:leader="none" w:pos="836"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debts</w:t>
      </w:r>
    </w:p>
    <w:p>
      <w:pPr>
        <w:spacing w:after="0" w:line="148" w:lineRule="exact"/>
        <w:rPr>
          <w:rFonts w:ascii="Arial" w:cs="Arial" w:eastAsia="Arial" w:hAnsi="Arial"/>
          <w:sz w:val="17"/>
          <w:szCs w:val="17"/>
          <w:b w:val="1"/>
          <w:bCs w:val="1"/>
          <w:color w:val="auto"/>
        </w:rPr>
      </w:pPr>
    </w:p>
    <w:p>
      <w:pPr>
        <w:jc w:val="both"/>
        <w:ind w:left="836"/>
        <w:spacing w:after="0" w:line="223" w:lineRule="auto"/>
        <w:rPr>
          <w:rFonts w:ascii="Arial" w:cs="Arial" w:eastAsia="Arial" w:hAnsi="Arial"/>
          <w:sz w:val="17"/>
          <w:szCs w:val="17"/>
          <w:b w:val="1"/>
          <w:bCs w:val="1"/>
          <w:color w:val="auto"/>
        </w:rPr>
      </w:pPr>
      <w:r>
        <w:rPr>
          <w:rFonts w:ascii="Arial" w:cs="Arial" w:eastAsia="Arial" w:hAnsi="Arial"/>
          <w:sz w:val="17"/>
          <w:szCs w:val="17"/>
          <w:color w:val="auto"/>
        </w:rPr>
        <w:t>The Group determines the appropriate accounting treatment of its convertible debts in accordance with the terms in relation to the conversion feature, call and put option, and beneficial conversion feature (“BCF”). After considering the impact of such features, the Group may account for such instrument as a liability in its entirety, or separate the instrument into debt and equity components following the respective guidance described under ASC 815 and ASC 470 “Debt”.</w:t>
      </w:r>
    </w:p>
    <w:p>
      <w:pPr>
        <w:spacing w:after="0" w:line="119" w:lineRule="exact"/>
        <w:rPr>
          <w:rFonts w:ascii="Arial" w:cs="Arial" w:eastAsia="Arial" w:hAnsi="Arial"/>
          <w:sz w:val="17"/>
          <w:szCs w:val="17"/>
          <w:b w:val="1"/>
          <w:bCs w:val="1"/>
          <w:color w:val="auto"/>
        </w:rPr>
      </w:pPr>
    </w:p>
    <w:p>
      <w:pPr>
        <w:jc w:val="both"/>
        <w:ind w:left="836"/>
        <w:spacing w:after="0" w:line="216" w:lineRule="auto"/>
        <w:rPr>
          <w:rFonts w:ascii="Arial" w:cs="Arial" w:eastAsia="Arial" w:hAnsi="Arial"/>
          <w:sz w:val="17"/>
          <w:szCs w:val="17"/>
          <w:b w:val="1"/>
          <w:bCs w:val="1"/>
          <w:color w:val="auto"/>
        </w:rPr>
      </w:pPr>
      <w:r>
        <w:rPr>
          <w:rFonts w:ascii="Arial" w:cs="Arial" w:eastAsia="Arial" w:hAnsi="Arial"/>
          <w:sz w:val="17"/>
          <w:szCs w:val="17"/>
          <w:color w:val="auto"/>
        </w:rPr>
        <w:t>The conversion features of the convertible notes of the Group meets the definition of a derivative whereby no BCF shall be separately accounted for. Moreover, the Group has elected the fair value option for convertible debts accounted for as a liability in its entirety whereby the conversion features that meet the definition of a derivative are not bifurcated given that the entire debt instrument is legally a single contract therefore not to be separated into parts for purposes of applying the fair value option. Such fair value option permits the irrevocable election on an instrument-by-instrument basis at initial recognition of an asset or liability or upon an event, that gives rise to a new basis of accounting for that instrument. The convertible debts accounted for under the fair value option are carried at fair value with realized or unrealized gains and losses recorded in the consolidated statements of comprehensive loss.</w:t>
      </w:r>
    </w:p>
    <w:p>
      <w:pPr>
        <w:spacing w:after="0" w:line="134" w:lineRule="exact"/>
        <w:rPr>
          <w:rFonts w:ascii="Arial" w:cs="Arial" w:eastAsia="Arial" w:hAnsi="Arial"/>
          <w:sz w:val="17"/>
          <w:szCs w:val="17"/>
          <w:b w:val="1"/>
          <w:bCs w:val="1"/>
          <w:color w:val="auto"/>
        </w:rPr>
      </w:pPr>
    </w:p>
    <w:p>
      <w:pPr>
        <w:ind w:left="836"/>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Convertible debts are classified as current liabilities if they are convertible or redeemable on demand or if their due date is or will be within one year from the balance sheet date.</w:t>
      </w:r>
    </w:p>
    <w:p>
      <w:pPr>
        <w:spacing w:after="0" w:line="125" w:lineRule="exact"/>
        <w:rPr>
          <w:rFonts w:ascii="Arial" w:cs="Arial" w:eastAsia="Arial" w:hAnsi="Arial"/>
          <w:sz w:val="17"/>
          <w:szCs w:val="17"/>
          <w:b w:val="1"/>
          <w:bCs w:val="1"/>
          <w:color w:val="auto"/>
        </w:rPr>
      </w:pPr>
    </w:p>
    <w:p>
      <w:pPr>
        <w:ind w:left="836" w:hanging="836"/>
        <w:spacing w:after="0"/>
        <w:tabs>
          <w:tab w:leader="none" w:pos="836"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Treasury shares</w:t>
      </w:r>
    </w:p>
    <w:p>
      <w:pPr>
        <w:spacing w:after="0" w:line="187" w:lineRule="exact"/>
        <w:rPr>
          <w:rFonts w:ascii="Arial" w:cs="Arial" w:eastAsia="Arial" w:hAnsi="Arial"/>
          <w:sz w:val="17"/>
          <w:szCs w:val="17"/>
          <w:b w:val="1"/>
          <w:bCs w:val="1"/>
          <w:color w:val="auto"/>
        </w:rPr>
      </w:pPr>
    </w:p>
    <w:p>
      <w:pPr>
        <w:jc w:val="both"/>
        <w:ind w:left="836"/>
        <w:spacing w:after="0" w:line="323" w:lineRule="auto"/>
        <w:rPr>
          <w:rFonts w:ascii="Arial" w:cs="Arial" w:eastAsia="Arial" w:hAnsi="Arial"/>
          <w:sz w:val="17"/>
          <w:szCs w:val="17"/>
          <w:b w:val="1"/>
          <w:bCs w:val="1"/>
          <w:color w:val="auto"/>
        </w:rPr>
      </w:pPr>
      <w:r>
        <w:rPr>
          <w:rFonts w:ascii="Arial" w:cs="Arial" w:eastAsia="Arial" w:hAnsi="Arial"/>
          <w:sz w:val="15"/>
          <w:szCs w:val="15"/>
          <w:color w:val="auto"/>
        </w:rPr>
        <w:t>The Company accounted for those shares repurchased as treasury shares at cost in accordance with ASC 505-30, and the treasury shares acquired are shown separately in shareholders’ equity as the Company has not yet decided on the ultimate disposition of those shares. If and when the Company cancels the treasury shares, the difference between the original issuance price and the repurchase price will be debited into additional paid-in capital.</w:t>
      </w:r>
    </w:p>
    <w:p>
      <w:pPr>
        <w:spacing w:after="0" w:line="78" w:lineRule="exact"/>
        <w:rPr>
          <w:rFonts w:ascii="Arial" w:cs="Arial" w:eastAsia="Arial" w:hAnsi="Arial"/>
          <w:sz w:val="17"/>
          <w:szCs w:val="17"/>
          <w:b w:val="1"/>
          <w:bCs w:val="1"/>
          <w:color w:val="auto"/>
        </w:rPr>
      </w:pPr>
    </w:p>
    <w:p>
      <w:pPr>
        <w:ind w:left="836" w:hanging="836"/>
        <w:spacing w:after="0"/>
        <w:tabs>
          <w:tab w:leader="none" w:pos="836"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 and cost of revenues</w:t>
      </w:r>
    </w:p>
    <w:p>
      <w:pPr>
        <w:spacing w:after="0" w:line="148" w:lineRule="exact"/>
        <w:rPr>
          <w:rFonts w:ascii="Arial" w:cs="Arial" w:eastAsia="Arial" w:hAnsi="Arial"/>
          <w:sz w:val="17"/>
          <w:szCs w:val="17"/>
          <w:b w:val="1"/>
          <w:bCs w:val="1"/>
          <w:color w:val="auto"/>
        </w:rPr>
      </w:pPr>
    </w:p>
    <w:p>
      <w:pPr>
        <w:jc w:val="both"/>
        <w:ind w:left="836"/>
        <w:spacing w:after="0" w:line="218" w:lineRule="auto"/>
        <w:rPr>
          <w:rFonts w:ascii="Arial" w:cs="Arial" w:eastAsia="Arial" w:hAnsi="Arial"/>
          <w:sz w:val="17"/>
          <w:szCs w:val="17"/>
          <w:b w:val="1"/>
          <w:bCs w:val="1"/>
          <w:color w:val="auto"/>
        </w:rPr>
      </w:pPr>
      <w:r>
        <w:rPr>
          <w:rFonts w:ascii="Arial" w:cs="Arial" w:eastAsia="Arial" w:hAnsi="Arial"/>
          <w:sz w:val="17"/>
          <w:szCs w:val="17"/>
          <w:color w:val="auto"/>
        </w:rPr>
        <w:t>On January 1, 2018, the Group adopted ASU 2014-09 “Revenue from Contracts with Customers (Topic 606)” and subsequent amendments to the initial guidance or implementation guidance issued between August 2015 and December 2016 within ASU 2015-14, ASU 2016-08, ASU 2016-10, ASU 2016-12 and ASU 2016-20 (collectively, “ASC 606”) using a modified retrospective approach applied to contracts that were not completed as of January 1, 2018. The adoption did not have a material impact on the accumulated deficit as of January 1, 2018. Results for reporting periods beginning on or after January 1, 2018 are presented under ASC 606, while prior period amounts are not adjusted and continue to be reported in accordance with the Group’s historic accounting policies under ASC 605.</w:t>
      </w:r>
    </w:p>
    <w:p>
      <w:pPr>
        <w:spacing w:after="0" w:line="200" w:lineRule="exact"/>
        <w:rPr>
          <w:rFonts w:ascii="Arial" w:cs="Arial" w:eastAsia="Arial" w:hAnsi="Arial"/>
          <w:sz w:val="17"/>
          <w:szCs w:val="17"/>
          <w:b w:val="1"/>
          <w:bCs w:val="1"/>
          <w:color w:val="auto"/>
        </w:rPr>
      </w:pPr>
    </w:p>
    <w:p>
      <w:pPr>
        <w:spacing w:after="0" w:line="269"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42"/>
        </w:numPr>
        <w:rPr>
          <w:rFonts w:ascii="Arial" w:cs="Arial" w:eastAsia="Arial" w:hAnsi="Arial"/>
          <w:sz w:val="17"/>
          <w:szCs w:val="17"/>
          <w:color w:val="auto"/>
        </w:rPr>
      </w:pPr>
      <w:r>
        <w:rPr>
          <w:rFonts w:ascii="Arial" w:cs="Arial" w:eastAsia="Arial" w:hAnsi="Arial"/>
          <w:sz w:val="17"/>
          <w:szCs w:val="17"/>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59" w:name="page160"/>
    <w:bookmarkEnd w:id="159"/>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69" w:lineRule="exact"/>
        <w:rPr>
          <w:sz w:val="20"/>
          <w:szCs w:val="20"/>
          <w:color w:val="auto"/>
        </w:rPr>
      </w:pPr>
    </w:p>
    <w:p>
      <w:pPr>
        <w:ind w:left="840" w:hanging="836"/>
        <w:spacing w:after="0"/>
        <w:tabs>
          <w:tab w:leader="none" w:pos="84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 and cost of revenues (Continued)</w:t>
      </w:r>
    </w:p>
    <w:p>
      <w:pPr>
        <w:spacing w:after="0" w:line="148"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our revenue recognized from contracts with customers disaggregated by the four types of pricing models: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gridSpan w:val="3"/>
          </w:tcPr>
          <w:p>
            <w:pPr>
              <w:ind w:left="140"/>
              <w:spacing w:after="0"/>
              <w:rPr>
                <w:sz w:val="20"/>
                <w:szCs w:val="20"/>
                <w:color w:val="auto"/>
              </w:rPr>
            </w:pPr>
            <w:r>
              <w:rPr>
                <w:rFonts w:ascii="Arial" w:cs="Arial" w:eastAsia="Arial" w:hAnsi="Arial"/>
                <w:sz w:val="17"/>
                <w:szCs w:val="17"/>
                <w:color w:val="auto"/>
                <w:w w:val="98"/>
              </w:rPr>
              <w:t>For the years ended</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December 31,</w:t>
            </w:r>
          </w:p>
        </w:tc>
        <w:tc>
          <w:tcPr>
            <w:tcW w:w="2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December 31,</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December 31,</w:t>
            </w:r>
          </w:p>
        </w:tc>
      </w:tr>
      <w:tr>
        <w:trPr>
          <w:trHeight w:val="221"/>
        </w:trPr>
        <w:tc>
          <w:tcPr>
            <w:tcW w:w="6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2017</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r>
      <w:tr>
        <w:trPr>
          <w:trHeight w:val="209"/>
        </w:trPr>
        <w:tc>
          <w:tcPr>
            <w:tcW w:w="6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Under ASC</w:t>
            </w:r>
          </w:p>
        </w:tc>
        <w:tc>
          <w:tcPr>
            <w:tcW w:w="2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Under ASC</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Under ASC</w:t>
            </w:r>
          </w:p>
        </w:tc>
      </w:tr>
      <w:tr>
        <w:trPr>
          <w:trHeight w:val="221"/>
        </w:trPr>
        <w:tc>
          <w:tcPr>
            <w:tcW w:w="6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605</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606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606</w:t>
            </w:r>
          </w:p>
        </w:tc>
        <w:tc>
          <w:tcPr>
            <w:tcW w:w="80" w:type="dxa"/>
            <w:vAlign w:val="bottom"/>
          </w:tcPr>
          <w:p>
            <w:pPr>
              <w:spacing w:after="0"/>
              <w:rPr>
                <w:sz w:val="19"/>
                <w:szCs w:val="19"/>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Recognized over time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6140" w:type="dxa"/>
            <w:vAlign w:val="bottom"/>
          </w:tcPr>
          <w:p>
            <w:pPr>
              <w:ind w:left="240"/>
              <w:spacing w:after="0"/>
              <w:rPr>
                <w:sz w:val="20"/>
                <w:szCs w:val="20"/>
                <w:color w:val="auto"/>
              </w:rPr>
            </w:pPr>
            <w:r>
              <w:rPr>
                <w:rFonts w:ascii="Arial" w:cs="Arial" w:eastAsia="Arial" w:hAnsi="Arial"/>
                <w:sz w:val="17"/>
                <w:szCs w:val="17"/>
                <w:color w:val="auto"/>
              </w:rPr>
              <w:t>- Sales agent</w:t>
            </w:r>
          </w:p>
        </w:tc>
        <w:tc>
          <w:tcPr>
            <w:tcW w:w="1220" w:type="dxa"/>
            <w:vAlign w:val="bottom"/>
          </w:tcPr>
          <w:p>
            <w:pPr>
              <w:jc w:val="right"/>
              <w:spacing w:after="0"/>
              <w:rPr>
                <w:sz w:val="20"/>
                <w:szCs w:val="20"/>
                <w:color w:val="auto"/>
              </w:rPr>
            </w:pPr>
            <w:r>
              <w:rPr>
                <w:rFonts w:ascii="Arial" w:cs="Arial" w:eastAsia="Arial" w:hAnsi="Arial"/>
                <w:sz w:val="17"/>
                <w:szCs w:val="17"/>
                <w:color w:val="auto"/>
              </w:rPr>
              <w:t>8,311</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8,671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6,563</w:t>
            </w:r>
          </w:p>
        </w:tc>
        <w:tc>
          <w:tcPr>
            <w:tcW w:w="80" w:type="dxa"/>
            <w:vAlign w:val="bottom"/>
          </w:tcPr>
          <w:p>
            <w:pPr>
              <w:spacing w:after="0"/>
              <w:rPr>
                <w:sz w:val="19"/>
                <w:szCs w:val="19"/>
                <w:color w:val="auto"/>
              </w:rPr>
            </w:pPr>
          </w:p>
        </w:tc>
      </w:tr>
      <w:tr>
        <w:trPr>
          <w:trHeight w:val="221"/>
        </w:trPr>
        <w:tc>
          <w:tcPr>
            <w:tcW w:w="6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Cost-plus</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10,788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12,192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17,146</w:t>
            </w:r>
          </w:p>
        </w:tc>
        <w:tc>
          <w:tcPr>
            <w:tcW w:w="80" w:type="dxa"/>
            <w:vAlign w:val="bottom"/>
            <w:shd w:val="clear" w:color="auto" w:fill="CFF0FC"/>
          </w:tcPr>
          <w:p>
            <w:pPr>
              <w:spacing w:after="0"/>
              <w:rPr>
                <w:sz w:val="19"/>
                <w:szCs w:val="19"/>
                <w:color w:val="auto"/>
              </w:rPr>
            </w:pPr>
          </w:p>
        </w:tc>
      </w:tr>
      <w:tr>
        <w:trPr>
          <w:trHeight w:val="221"/>
        </w:trPr>
        <w:tc>
          <w:tcPr>
            <w:tcW w:w="61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 SaaS products offering</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8,687</w:t>
            </w:r>
          </w:p>
        </w:tc>
        <w:tc>
          <w:tcPr>
            <w:tcW w:w="80" w:type="dxa"/>
            <w:vAlign w:val="bottom"/>
            <w:tcBorders>
              <w:bottom w:val="single" w:sz="8" w:color="CFF0FC"/>
            </w:tcBorders>
          </w:tcPr>
          <w:p>
            <w:pPr>
              <w:spacing w:after="0"/>
              <w:rPr>
                <w:sz w:val="19"/>
                <w:szCs w:val="19"/>
                <w:color w:val="auto"/>
              </w:rPr>
            </w:pPr>
          </w:p>
        </w:tc>
      </w:tr>
      <w:tr>
        <w:trPr>
          <w:trHeight w:val="214"/>
        </w:trPr>
        <w:tc>
          <w:tcPr>
            <w:tcW w:w="6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19,099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20,863</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32,396</w:t>
            </w:r>
          </w:p>
        </w:tc>
        <w:tc>
          <w:tcPr>
            <w:tcW w:w="80" w:type="dxa"/>
            <w:vAlign w:val="bottom"/>
            <w:shd w:val="clear" w:color="auto" w:fill="CFF0FC"/>
          </w:tcPr>
          <w:p>
            <w:pPr>
              <w:spacing w:after="0"/>
              <w:rPr>
                <w:sz w:val="18"/>
                <w:szCs w:val="18"/>
                <w:color w:val="auto"/>
              </w:rPr>
            </w:pPr>
          </w:p>
        </w:tc>
      </w:tr>
      <w:tr>
        <w:trPr>
          <w:trHeight w:val="214"/>
        </w:trPr>
        <w:tc>
          <w:tcPr>
            <w:tcW w:w="6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Recognized at point in time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6140" w:type="dxa"/>
            <w:vAlign w:val="bottom"/>
          </w:tcPr>
          <w:p>
            <w:pPr>
              <w:ind w:left="240"/>
              <w:spacing w:after="0"/>
              <w:rPr>
                <w:sz w:val="20"/>
                <w:szCs w:val="20"/>
                <w:color w:val="auto"/>
              </w:rPr>
            </w:pPr>
            <w:r>
              <w:rPr>
                <w:rFonts w:ascii="Arial" w:cs="Arial" w:eastAsia="Arial" w:hAnsi="Arial"/>
                <w:sz w:val="17"/>
                <w:szCs w:val="17"/>
                <w:color w:val="auto"/>
              </w:rPr>
              <w:t>- Specified actions</w:t>
            </w:r>
          </w:p>
        </w:tc>
        <w:tc>
          <w:tcPr>
            <w:tcW w:w="1220" w:type="dxa"/>
            <w:vAlign w:val="bottom"/>
          </w:tcPr>
          <w:p>
            <w:pPr>
              <w:jc w:val="right"/>
              <w:spacing w:after="0"/>
              <w:rPr>
                <w:sz w:val="20"/>
                <w:szCs w:val="20"/>
                <w:color w:val="auto"/>
              </w:rPr>
            </w:pPr>
            <w:r>
              <w:rPr>
                <w:rFonts w:ascii="Arial" w:cs="Arial" w:eastAsia="Arial" w:hAnsi="Arial"/>
                <w:sz w:val="17"/>
                <w:szCs w:val="17"/>
                <w:color w:val="auto"/>
              </w:rPr>
              <w:t>106,159</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139,154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165,263</w:t>
            </w:r>
          </w:p>
        </w:tc>
        <w:tc>
          <w:tcPr>
            <w:tcW w:w="80" w:type="dxa"/>
            <w:vAlign w:val="bottom"/>
          </w:tcPr>
          <w:p>
            <w:pPr>
              <w:spacing w:after="0"/>
              <w:rPr>
                <w:sz w:val="19"/>
                <w:szCs w:val="19"/>
                <w:color w:val="auto"/>
              </w:rPr>
            </w:pPr>
          </w:p>
        </w:tc>
      </w:tr>
      <w:tr>
        <w:trPr>
          <w:trHeight w:val="221"/>
        </w:trPr>
        <w:tc>
          <w:tcPr>
            <w:tcW w:w="6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 SaaS products offering</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1,749</w:t>
            </w:r>
          </w:p>
        </w:tc>
        <w:tc>
          <w:tcPr>
            <w:tcW w:w="80" w:type="dxa"/>
            <w:vAlign w:val="bottom"/>
            <w:shd w:val="clear" w:color="auto" w:fill="CFF0FC"/>
          </w:tcPr>
          <w:p>
            <w:pPr>
              <w:spacing w:after="0"/>
              <w:rPr>
                <w:sz w:val="19"/>
                <w:szCs w:val="19"/>
                <w:color w:val="auto"/>
              </w:rPr>
            </w:pPr>
          </w:p>
        </w:tc>
      </w:tr>
      <w:tr>
        <w:trPr>
          <w:trHeight w:val="214"/>
        </w:trPr>
        <w:tc>
          <w:tcPr>
            <w:tcW w:w="61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106,159</w:t>
            </w:r>
          </w:p>
        </w:tc>
        <w:tc>
          <w:tcPr>
            <w:tcW w:w="22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139,154</w:t>
            </w:r>
          </w:p>
        </w:tc>
        <w:tc>
          <w:tcPr>
            <w:tcW w:w="2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167,012</w:t>
            </w:r>
          </w:p>
        </w:tc>
        <w:tc>
          <w:tcPr>
            <w:tcW w:w="80" w:type="dxa"/>
            <w:vAlign w:val="bottom"/>
            <w:tcBorders>
              <w:bottom w:val="single" w:sz="8" w:color="CFF0FC"/>
            </w:tcBorders>
          </w:tcPr>
          <w:p>
            <w:pPr>
              <w:spacing w:after="0"/>
              <w:rPr>
                <w:sz w:val="18"/>
                <w:szCs w:val="18"/>
                <w:color w:val="auto"/>
              </w:rPr>
            </w:pPr>
          </w:p>
        </w:tc>
      </w:tr>
      <w:tr>
        <w:trPr>
          <w:trHeight w:val="214"/>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125,258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160,017</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199,408</w:t>
            </w:r>
          </w:p>
        </w:tc>
        <w:tc>
          <w:tcPr>
            <w:tcW w:w="80" w:type="dxa"/>
            <w:vAlign w:val="bottom"/>
            <w:shd w:val="clear" w:color="auto" w:fill="CFF0FC"/>
          </w:tcPr>
          <w:p>
            <w:pPr>
              <w:spacing w:after="0"/>
              <w:rPr>
                <w:sz w:val="18"/>
                <w:szCs w:val="18"/>
                <w:color w:val="auto"/>
              </w:rPr>
            </w:pPr>
          </w:p>
        </w:tc>
      </w:tr>
      <w:tr>
        <w:trPr>
          <w:trHeight w:val="20"/>
        </w:trPr>
        <w:tc>
          <w:tcPr>
            <w:tcW w:w="61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4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As noted above, in accordance with the modified retrospective method upon adoption of ASC 606, prior period amounts have not been adjusted.</w:t>
      </w:r>
    </w:p>
    <w:p>
      <w:pPr>
        <w:spacing w:after="0" w:line="193" w:lineRule="exact"/>
        <w:rPr>
          <w:sz w:val="20"/>
          <w:szCs w:val="20"/>
          <w:color w:val="auto"/>
        </w:rPr>
      </w:pPr>
    </w:p>
    <w:p>
      <w:pPr>
        <w:jc w:val="both"/>
        <w:ind w:left="840"/>
        <w:spacing w:after="0" w:line="231" w:lineRule="auto"/>
        <w:rPr>
          <w:sz w:val="20"/>
          <w:szCs w:val="20"/>
          <w:color w:val="auto"/>
        </w:rPr>
      </w:pPr>
      <w:r>
        <w:rPr>
          <w:rFonts w:ascii="Arial" w:cs="Arial" w:eastAsia="Arial" w:hAnsi="Arial"/>
          <w:sz w:val="16"/>
          <w:szCs w:val="16"/>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cost per impression (“CPM”), cost per click (“CPC”), cost per action (“CPA”), cost per sale (“CPS”), cost per lead (“CPL”) or return on investment (“ROI”)) and related campaign budgets, depending on the customers’ preferences and their campaigns launched. Subsequent to the acquisition of Changyi and its subsidiary Suzhou Changyi (together, “Changyi Group”) on January 1, 2019, the Group’s services also generate revenue from the offering of SaaS products.</w:t>
      </w:r>
    </w:p>
    <w:p>
      <w:pPr>
        <w:spacing w:after="0" w:line="225" w:lineRule="exact"/>
        <w:rPr>
          <w:sz w:val="20"/>
          <w:szCs w:val="20"/>
          <w:color w:val="auto"/>
        </w:rPr>
      </w:pPr>
    </w:p>
    <w:p>
      <w:pPr>
        <w:jc w:val="both"/>
        <w:ind w:left="840"/>
        <w:spacing w:after="0" w:line="261" w:lineRule="auto"/>
        <w:rPr>
          <w:sz w:val="20"/>
          <w:szCs w:val="20"/>
          <w:color w:val="auto"/>
        </w:rPr>
      </w:pPr>
      <w:r>
        <w:rPr>
          <w:rFonts w:ascii="Arial" w:cs="Arial" w:eastAsia="Arial" w:hAnsi="Arial"/>
          <w:sz w:val="17"/>
          <w:szCs w:val="17"/>
          <w:color w:val="auto"/>
        </w:rPr>
        <w:t>The Group recognizes revenue when the Group satisfies a performance obligation by transferring a promised service to a customer. The Group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 Revenues are recorded net of value-added taxes.</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17"/>
          <w:szCs w:val="17"/>
          <w:i w:val="1"/>
          <w:iCs w:val="1"/>
          <w:color w:val="auto"/>
        </w:rPr>
        <w:t>Sales agent</w:t>
      </w:r>
    </w:p>
    <w:p>
      <w:pPr>
        <w:spacing w:after="0" w:line="195" w:lineRule="exact"/>
        <w:rPr>
          <w:sz w:val="20"/>
          <w:szCs w:val="20"/>
          <w:color w:val="auto"/>
        </w:rPr>
      </w:pPr>
    </w:p>
    <w:p>
      <w:pPr>
        <w:jc w:val="both"/>
        <w:ind w:left="840"/>
        <w:spacing w:after="0" w:line="287" w:lineRule="auto"/>
        <w:rPr>
          <w:sz w:val="20"/>
          <w:szCs w:val="20"/>
          <w:color w:val="auto"/>
        </w:rPr>
      </w:pPr>
      <w:r>
        <w:rPr>
          <w:rFonts w:ascii="Arial" w:cs="Arial" w:eastAsia="Arial" w:hAnsi="Arial"/>
          <w:sz w:val="16"/>
          <w:szCs w:val="16"/>
          <w:color w:val="auto"/>
        </w:rPr>
        <w:t>In the arrangement with a particular publisher, the Group acts as a sales agent for this publisher in selling marketing spaces to marketing clients. In return, the Group earns incentives from this publisher based on contractually stipulated amounts when certain spending thresholds are achieved. The Group considers this particular publisher as a customer and record such incentives as net revenues. Incentives from this publisher are calculated on both a quarterly and an annual basis in accordance with the terms as set out in the arrangement.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69" w:lineRule="exact"/>
        <w:rPr>
          <w:sz w:val="20"/>
          <w:szCs w:val="20"/>
          <w:color w:val="auto"/>
        </w:rPr>
      </w:pPr>
    </w:p>
    <w:p>
      <w:pPr>
        <w:ind w:left="836" w:right="6420" w:hanging="836"/>
        <w:spacing w:after="0" w:line="442" w:lineRule="auto"/>
        <w:tabs>
          <w:tab w:leader="none" w:pos="836"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and cost of revenues (Continued) </w:t>
      </w:r>
      <w:r>
        <w:rPr>
          <w:rFonts w:ascii="Arial" w:cs="Arial" w:eastAsia="Arial" w:hAnsi="Arial"/>
          <w:sz w:val="17"/>
          <w:szCs w:val="17"/>
          <w:i w:val="1"/>
          <w:iCs w:val="1"/>
          <w:color w:val="auto"/>
        </w:rPr>
        <w:t>Sales agent (Continued)</w:t>
      </w:r>
    </w:p>
    <w:p>
      <w:pPr>
        <w:spacing w:after="0" w:line="1" w:lineRule="exact"/>
        <w:rPr>
          <w:rFonts w:ascii="Arial" w:cs="Arial" w:eastAsia="Arial" w:hAnsi="Arial"/>
          <w:sz w:val="17"/>
          <w:szCs w:val="17"/>
          <w:b w:val="1"/>
          <w:bCs w:val="1"/>
          <w:color w:val="auto"/>
        </w:rPr>
      </w:pPr>
    </w:p>
    <w:p>
      <w:pPr>
        <w:jc w:val="both"/>
        <w:ind w:left="836"/>
        <w:spacing w:after="0" w:line="237" w:lineRule="auto"/>
        <w:rPr>
          <w:rFonts w:ascii="Arial" w:cs="Arial" w:eastAsia="Arial" w:hAnsi="Arial"/>
          <w:sz w:val="17"/>
          <w:szCs w:val="17"/>
          <w:b w:val="1"/>
          <w:bCs w:val="1"/>
          <w:color w:val="auto"/>
        </w:rPr>
      </w:pPr>
      <w:r>
        <w:rPr>
          <w:rFonts w:ascii="Arial" w:cs="Arial" w:eastAsia="Arial" w:hAnsi="Arial"/>
          <w:sz w:val="16"/>
          <w:szCs w:val="16"/>
          <w:color w:val="auto"/>
        </w:rPr>
        <w:t>Revenue under this arrangement is recognized over-time given the Group considers this particular publisher simultaneously receives and consumes the benefits provided by the Group's performance as the Group performs. In other words, when the Group purchases marketing spaces on behalf of the marketing clients throughout the marketing campaigns as requested by them, this particular publisher simultaneously receives and consumes the benefit of the marketing spaces being purchased and therefore the Group is entitled to incentive payment from this publisher.</w:t>
      </w:r>
    </w:p>
    <w:p>
      <w:pPr>
        <w:spacing w:after="0" w:line="118" w:lineRule="exact"/>
        <w:rPr>
          <w:rFonts w:ascii="Arial" w:cs="Arial" w:eastAsia="Arial" w:hAnsi="Arial"/>
          <w:sz w:val="17"/>
          <w:szCs w:val="17"/>
          <w:b w:val="1"/>
          <w:bCs w:val="1"/>
          <w:color w:val="auto"/>
        </w:rPr>
      </w:pPr>
    </w:p>
    <w:p>
      <w:pPr>
        <w:jc w:val="both"/>
        <w:ind w:left="836"/>
        <w:spacing w:after="0" w:line="228" w:lineRule="auto"/>
        <w:rPr>
          <w:rFonts w:ascii="Arial" w:cs="Arial" w:eastAsia="Arial" w:hAnsi="Arial"/>
          <w:sz w:val="17"/>
          <w:szCs w:val="17"/>
          <w:b w:val="1"/>
          <w:bCs w:val="1"/>
          <w:color w:val="auto"/>
        </w:rPr>
      </w:pPr>
      <w:r>
        <w:rPr>
          <w:rFonts w:ascii="Arial" w:cs="Arial" w:eastAsia="Arial" w:hAnsi="Arial"/>
          <w:sz w:val="17"/>
          <w:szCs w:val="17"/>
          <w:color w:val="auto"/>
        </w:rPr>
        <w:t>The Group grants rebates to marketing clients under the sales agent arrangement. The majority of marketing clients under this arrangement are not customers under either the cost-plus arrangement or specified actions arrangement. The Group records rebates granted to such marketing clients as reduction of revenue.</w:t>
      </w:r>
    </w:p>
    <w:p>
      <w:pPr>
        <w:spacing w:after="0" w:line="119" w:lineRule="exact"/>
        <w:rPr>
          <w:rFonts w:ascii="Arial" w:cs="Arial" w:eastAsia="Arial" w:hAnsi="Arial"/>
          <w:sz w:val="17"/>
          <w:szCs w:val="17"/>
          <w:b w:val="1"/>
          <w:bCs w:val="1"/>
          <w:color w:val="auto"/>
        </w:rPr>
      </w:pPr>
    </w:p>
    <w:p>
      <w:pPr>
        <w:jc w:val="both"/>
        <w:ind w:left="816" w:firstLine="11"/>
        <w:spacing w:after="0" w:line="214" w:lineRule="auto"/>
        <w:rPr>
          <w:rFonts w:ascii="Arial" w:cs="Arial" w:eastAsia="Arial" w:hAnsi="Arial"/>
          <w:sz w:val="17"/>
          <w:szCs w:val="17"/>
          <w:b w:val="1"/>
          <w:bCs w:val="1"/>
          <w:color w:val="auto"/>
        </w:rPr>
      </w:pPr>
      <w:r>
        <w:rPr>
          <w:rFonts w:ascii="Arial" w:cs="Arial" w:eastAsia="Arial" w:hAnsi="Arial"/>
          <w:sz w:val="17"/>
          <w:szCs w:val="17"/>
          <w:color w:val="auto"/>
        </w:rPr>
        <w:t>Under ASC 605, the Group recorded rebates granted to marketing clients under the sales agent arrangement as cost of revenues as (i) the Group considered these rebates were for an identifiable benefit that was separable from the marketing clients’ purchase of the Group's services and (ii) the Group was able to reasonably estimate the fair value of the benefit received from granting these rebates. However, the notion of “separate identifiable benefit” under ASC 605 was not carried forward into ASC 606. ASC 606 requires the rebates granted to marketing clients under sales agent arrangement to be recorded as a reduction of revenue unless the Group is receiving a distinct good or service with the payment to the marketing clients. Given the Group cannot establish such a distinct good or service with the payment to marketing clients under the sales agent arrangement, rebates to marketing clients under this arrangement are recorded as a reduction of revenue under ASC 606. The resulting impact to the consolidated financial statements for the year ended December 31, 2018 was a decrease of US$2,654 in net revenues, with a corresponding decrease in cost of revenues.</w:t>
      </w:r>
    </w:p>
    <w:p>
      <w:pPr>
        <w:spacing w:after="0" w:line="135"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Cost-plus</w:t>
      </w:r>
    </w:p>
    <w:p>
      <w:pPr>
        <w:spacing w:after="0" w:line="142" w:lineRule="exact"/>
        <w:rPr>
          <w:rFonts w:ascii="Arial" w:cs="Arial" w:eastAsia="Arial" w:hAnsi="Arial"/>
          <w:sz w:val="17"/>
          <w:szCs w:val="17"/>
          <w:b w:val="1"/>
          <w:bCs w:val="1"/>
          <w:color w:val="auto"/>
        </w:rPr>
      </w:pPr>
    </w:p>
    <w:p>
      <w:pPr>
        <w:jc w:val="both"/>
        <w:ind w:left="836"/>
        <w:spacing w:after="0" w:line="228" w:lineRule="auto"/>
        <w:rPr>
          <w:rFonts w:ascii="Arial" w:cs="Arial" w:eastAsia="Arial" w:hAnsi="Arial"/>
          <w:sz w:val="17"/>
          <w:szCs w:val="17"/>
          <w:b w:val="1"/>
          <w:bCs w:val="1"/>
          <w:color w:val="auto"/>
        </w:rPr>
      </w:pPr>
      <w:r>
        <w:rPr>
          <w:rFonts w:ascii="Arial" w:cs="Arial" w:eastAsia="Arial" w:hAnsi="Arial"/>
          <w:sz w:val="16"/>
          <w:szCs w:val="16"/>
          <w:color w:val="auto"/>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the Group is acting as the principal or an agent in the transactions. In the normal course of business, the Group acts as an intermediary in executing transactions between website publishers and marketing clients. The specified service in the cost-plus arrangement is the provision of marketing space, which is controlled by the website publishers, rather than the Group. The Group assists the marketing clients to place orders with specific website publishers based on specification set out the marketing clients. The Group does not have the ability to direct the use of marketing space and does not have any inventory risk. Pricing is generally based on the actual advertising spending incurred by the marketing clients plus a margin. Accordingly, the Group concludes that it is not the principal in these arrangements and reports revenue earned and costs incurred related to these transactions on a net basis.</w:t>
      </w:r>
    </w:p>
    <w:p>
      <w:pPr>
        <w:spacing w:after="0" w:line="118" w:lineRule="exact"/>
        <w:rPr>
          <w:rFonts w:ascii="Arial" w:cs="Arial" w:eastAsia="Arial" w:hAnsi="Arial"/>
          <w:sz w:val="17"/>
          <w:szCs w:val="17"/>
          <w:b w:val="1"/>
          <w:bCs w:val="1"/>
          <w:color w:val="auto"/>
        </w:rPr>
      </w:pPr>
    </w:p>
    <w:p>
      <w:pPr>
        <w:jc w:val="both"/>
        <w:ind w:left="836"/>
        <w:spacing w:after="0" w:line="223" w:lineRule="auto"/>
        <w:rPr>
          <w:rFonts w:ascii="Arial" w:cs="Arial" w:eastAsia="Arial" w:hAnsi="Arial"/>
          <w:sz w:val="17"/>
          <w:szCs w:val="17"/>
          <w:b w:val="1"/>
          <w:bCs w:val="1"/>
          <w:color w:val="auto"/>
        </w:rPr>
      </w:pPr>
      <w:r>
        <w:rPr>
          <w:rFonts w:ascii="Arial" w:cs="Arial" w:eastAsia="Arial" w:hAnsi="Arial"/>
          <w:sz w:val="17"/>
          <w:szCs w:val="17"/>
          <w:color w:val="auto"/>
        </w:rPr>
        <w:t>Revenue under this arrangement is recognized over-time as the Group considers its customers simultaneously receive and consume the benefits provided by the Group's performance. At the time the Group purchases marketing spaces during the contract term for its customers, the customers’ advertisements could be placed throughout the marketing campaign. Revenue recognition under this arrangement is not based on an occurrence of significant act or milestone method.</w:t>
      </w:r>
    </w:p>
    <w:p>
      <w:pPr>
        <w:spacing w:after="0" w:line="132" w:lineRule="exact"/>
        <w:rPr>
          <w:rFonts w:ascii="Arial" w:cs="Arial" w:eastAsia="Arial" w:hAnsi="Arial"/>
          <w:sz w:val="17"/>
          <w:szCs w:val="17"/>
          <w:b w:val="1"/>
          <w:bCs w:val="1"/>
          <w:color w:val="auto"/>
        </w:rPr>
      </w:pPr>
    </w:p>
    <w:p>
      <w:pPr>
        <w:jc w:val="both"/>
        <w:ind w:left="836"/>
        <w:spacing w:after="0" w:line="216" w:lineRule="auto"/>
        <w:rPr>
          <w:rFonts w:ascii="Arial" w:cs="Arial" w:eastAsia="Arial" w:hAnsi="Arial"/>
          <w:sz w:val="17"/>
          <w:szCs w:val="17"/>
          <w:b w:val="1"/>
          <w:bCs w:val="1"/>
          <w:color w:val="auto"/>
        </w:rPr>
      </w:pPr>
      <w:r>
        <w:rPr>
          <w:rFonts w:ascii="Arial" w:cs="Arial" w:eastAsia="Arial" w:hAnsi="Arial"/>
          <w:sz w:val="17"/>
          <w:szCs w:val="17"/>
          <w:color w:val="auto"/>
        </w:rPr>
        <w:t>Throughout the various services delivered to clients under the cost-plus arrangements, the Group earns rebates from publishers and grant rebates to marketing clients. The rebates that the Group grants to marketing clients under cost-plus arrangement are recorded as reduction of revenue and are recorded based on the amount the marketing clients would ultimately need to spend to earn the corresponding level of rebates. The Group is also able to reasonably estimate the spending the customers can ultimately achieve based on the historical spending patterns of the customers with similar arrangements. The rebates that the Group receives from publishers under the cost-plus arrangements are recorded as revenue. These rebates are recognized when a particular milestone is achieved (i.e. applying the relevant rebates based on the level of spending threshold actually achieved) and spending has actually occurred.</w:t>
      </w:r>
    </w:p>
    <w:p>
      <w:pPr>
        <w:spacing w:after="0" w:line="200" w:lineRule="exact"/>
        <w:rPr>
          <w:rFonts w:ascii="Arial" w:cs="Arial" w:eastAsia="Arial" w:hAnsi="Arial"/>
          <w:sz w:val="17"/>
          <w:szCs w:val="17"/>
          <w:b w:val="1"/>
          <w:bCs w:val="1"/>
          <w:color w:val="auto"/>
        </w:rPr>
      </w:pPr>
    </w:p>
    <w:p>
      <w:pPr>
        <w:spacing w:after="0" w:line="311"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46"/>
        </w:numPr>
        <w:rPr>
          <w:rFonts w:ascii="Arial" w:cs="Arial" w:eastAsia="Arial" w:hAnsi="Arial"/>
          <w:sz w:val="17"/>
          <w:szCs w:val="17"/>
          <w:color w:val="auto"/>
        </w:rPr>
      </w:pPr>
      <w:r>
        <w:rPr>
          <w:rFonts w:ascii="Arial" w:cs="Arial" w:eastAsia="Arial" w:hAnsi="Arial"/>
          <w:sz w:val="17"/>
          <w:szCs w:val="17"/>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61" w:name="page162"/>
    <w:bookmarkEnd w:id="161"/>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hanging="836"/>
        <w:spacing w:after="0"/>
        <w:tabs>
          <w:tab w:leader="none" w:pos="836"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43" w:lineRule="exact"/>
        <w:rPr>
          <w:sz w:val="20"/>
          <w:szCs w:val="20"/>
          <w:color w:val="auto"/>
        </w:rPr>
      </w:pPr>
    </w:p>
    <w:p>
      <w:pPr>
        <w:ind w:left="836" w:right="6420" w:hanging="836"/>
        <w:spacing w:after="0" w:line="426" w:lineRule="auto"/>
        <w:tabs>
          <w:tab w:leader="none" w:pos="836"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and cost of revenues (Continued) </w:t>
      </w:r>
      <w:r>
        <w:rPr>
          <w:rFonts w:ascii="Arial" w:cs="Arial" w:eastAsia="Arial" w:hAnsi="Arial"/>
          <w:sz w:val="17"/>
          <w:szCs w:val="17"/>
          <w:i w:val="1"/>
          <w:iCs w:val="1"/>
          <w:color w:val="auto"/>
        </w:rPr>
        <w:t>Specified actions</w:t>
      </w:r>
    </w:p>
    <w:p>
      <w:pPr>
        <w:spacing w:after="0" w:line="1" w:lineRule="exact"/>
        <w:rPr>
          <w:rFonts w:ascii="Arial" w:cs="Arial" w:eastAsia="Arial" w:hAnsi="Arial"/>
          <w:sz w:val="17"/>
          <w:szCs w:val="17"/>
          <w:b w:val="1"/>
          <w:bCs w:val="1"/>
          <w:color w:val="auto"/>
        </w:rPr>
      </w:pPr>
    </w:p>
    <w:p>
      <w:pPr>
        <w:jc w:val="both"/>
        <w:ind w:left="836"/>
        <w:spacing w:after="0" w:line="228" w:lineRule="auto"/>
        <w:rPr>
          <w:rFonts w:ascii="Arial" w:cs="Arial" w:eastAsia="Arial" w:hAnsi="Arial"/>
          <w:sz w:val="17"/>
          <w:szCs w:val="17"/>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For the specified actions advertisement campaigns, the Group is the principal as it has the obligation to deliver successful actions requested by marketing clients. Also, the Group will only be paid if successful actions can be delivered and is exposed to risk of loss. In terms of pricing, the Group has complete latitude in establishing the selling prices of each of the CPM, CPC, CPA, CPS, CPL or ROI pricing model. The Group's margin may vary as the costs incurred to deliver successful actions may vary and is therefore exposed to risk of loss whereby validating its degree of responsibility to its customers. Although the inventory risk under specified actions arrangement is considered to be low, the Group concludes that it is the principal in such arrangement as it is the principal ultimately responsible for delivering successful actions and in charge of establishing the price per action. Accordingly, the Group reports revenue earned and costs incurred related to these transactions on a gross basis.</w:t>
      </w:r>
    </w:p>
    <w:p>
      <w:pPr>
        <w:spacing w:after="0" w:line="118" w:lineRule="exact"/>
        <w:rPr>
          <w:rFonts w:ascii="Arial" w:cs="Arial" w:eastAsia="Arial" w:hAnsi="Arial"/>
          <w:sz w:val="17"/>
          <w:szCs w:val="17"/>
          <w:b w:val="1"/>
          <w:bCs w:val="1"/>
          <w:color w:val="auto"/>
        </w:rPr>
      </w:pPr>
    </w:p>
    <w:p>
      <w:pPr>
        <w:jc w:val="both"/>
        <w:ind w:left="836"/>
        <w:spacing w:after="0" w:line="248" w:lineRule="auto"/>
        <w:rPr>
          <w:rFonts w:ascii="Arial" w:cs="Arial" w:eastAsia="Arial" w:hAnsi="Arial"/>
          <w:sz w:val="17"/>
          <w:szCs w:val="17"/>
          <w:b w:val="1"/>
          <w:bCs w:val="1"/>
          <w:color w:val="auto"/>
        </w:rPr>
      </w:pPr>
      <w:r>
        <w:rPr>
          <w:rFonts w:ascii="Arial" w:cs="Arial" w:eastAsia="Arial" w:hAnsi="Arial"/>
          <w:sz w:val="15"/>
          <w:szCs w:val="15"/>
          <w:color w:val="auto"/>
        </w:rPr>
        <w:t>Revenues under this arrangement is recognized at point-in-time when the Group is able to deliver the specified actions as requested by the customers. Upon the occurrence of the specified actions, the customers take control of the specified actions and this is when the Group recognizes the corresponding revenue. Unlike the cost-plus arrangement, when the Group purchases marketing spaces in order to deliver the specified actions, the customers do not receive and consume the benefit as the benefit to be received by the customers is the occurrence of the specified actions. Also, the Group does not create or enhance an asset that the customers control as the marketing spaces ultimately belong to the publishers. The Group does not have any right to payment for simply purchasing the marketing spaces and would only be compensated upon delivery of the specified actions.</w:t>
      </w:r>
    </w:p>
    <w:p>
      <w:pPr>
        <w:spacing w:after="0" w:line="114" w:lineRule="exact"/>
        <w:rPr>
          <w:rFonts w:ascii="Arial" w:cs="Arial" w:eastAsia="Arial" w:hAnsi="Arial"/>
          <w:sz w:val="17"/>
          <w:szCs w:val="17"/>
          <w:b w:val="1"/>
          <w:bCs w:val="1"/>
          <w:color w:val="auto"/>
        </w:rPr>
      </w:pPr>
    </w:p>
    <w:p>
      <w:pPr>
        <w:jc w:val="both"/>
        <w:ind w:left="836"/>
        <w:spacing w:after="0" w:line="218" w:lineRule="auto"/>
        <w:rPr>
          <w:rFonts w:ascii="Arial" w:cs="Arial" w:eastAsia="Arial" w:hAnsi="Arial"/>
          <w:sz w:val="17"/>
          <w:szCs w:val="17"/>
          <w:b w:val="1"/>
          <w:bCs w:val="1"/>
          <w:color w:val="auto"/>
        </w:rPr>
      </w:pPr>
      <w:r>
        <w:rPr>
          <w:rFonts w:ascii="Arial" w:cs="Arial" w:eastAsia="Arial" w:hAnsi="Arial"/>
          <w:sz w:val="17"/>
          <w:szCs w:val="17"/>
          <w:color w:val="auto"/>
        </w:rPr>
        <w:t>The Group also grants rebates to marketing clients under the specified actions arrangement. Same as the treatment under cost-plus arrangement, the rebates that the Group grants to marketing clients under cost-plus arrangement are recorded as reduction of revenue and are recorded based on the amount the marketing clients would ultimately need to spend to earn the corresponding level of rebates. The rebates that the Group receives from publishers under the specified actions arrangement are recorded as a reduction of cost of revenues. These rebates are recognized when a particular milestone is achieved (i.e. applying the relevant rebates based on the level of spending threshold actually achieved) and spending has actually occurred.</w:t>
      </w:r>
    </w:p>
    <w:p>
      <w:pPr>
        <w:spacing w:after="0" w:line="131" w:lineRule="exact"/>
        <w:rPr>
          <w:rFonts w:ascii="Arial" w:cs="Arial" w:eastAsia="Arial" w:hAnsi="Arial"/>
          <w:sz w:val="17"/>
          <w:szCs w:val="17"/>
          <w:b w:val="1"/>
          <w:bCs w:val="1"/>
          <w:color w:val="auto"/>
        </w:rPr>
      </w:pPr>
    </w:p>
    <w:p>
      <w:pPr>
        <w:jc w:val="both"/>
        <w:ind w:left="836"/>
        <w:spacing w:after="0" w:line="247" w:lineRule="auto"/>
        <w:rPr>
          <w:rFonts w:ascii="Arial" w:cs="Arial" w:eastAsia="Arial" w:hAnsi="Arial"/>
          <w:sz w:val="17"/>
          <w:szCs w:val="17"/>
          <w:b w:val="1"/>
          <w:bCs w:val="1"/>
          <w:color w:val="auto"/>
        </w:rPr>
      </w:pPr>
      <w:r>
        <w:rPr>
          <w:rFonts w:ascii="Arial" w:cs="Arial" w:eastAsia="Arial" w:hAnsi="Arial"/>
          <w:sz w:val="17"/>
          <w:szCs w:val="17"/>
          <w:color w:val="auto"/>
        </w:rPr>
        <w:t xml:space="preserve">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reduction of cost of revenues when the Group is acting as a principal in a transaction. Following recent reforms of PRC tax laws, business tax is gradually being replaced by VAT, which is recorded as a reduction of revenue. </w:t>
      </w:r>
      <w:r>
        <w:rPr>
          <w:rFonts w:ascii="Arial" w:cs="Arial" w:eastAsia="Arial" w:hAnsi="Arial"/>
          <w:sz w:val="17"/>
          <w:szCs w:val="17"/>
          <w:i w:val="1"/>
          <w:iCs w:val="1"/>
          <w:color w:val="auto"/>
        </w:rPr>
        <w:t>SaaS products offering</w:t>
      </w:r>
    </w:p>
    <w:p>
      <w:pPr>
        <w:spacing w:after="0" w:line="113" w:lineRule="exact"/>
        <w:rPr>
          <w:rFonts w:ascii="Arial" w:cs="Arial" w:eastAsia="Arial" w:hAnsi="Arial"/>
          <w:sz w:val="17"/>
          <w:szCs w:val="17"/>
          <w:b w:val="1"/>
          <w:bCs w:val="1"/>
          <w:color w:val="auto"/>
        </w:rPr>
      </w:pPr>
    </w:p>
    <w:p>
      <w:pPr>
        <w:jc w:val="both"/>
        <w:ind w:left="836"/>
        <w:spacing w:after="0" w:line="218" w:lineRule="auto"/>
        <w:rPr>
          <w:rFonts w:ascii="Arial" w:cs="Arial" w:eastAsia="Arial" w:hAnsi="Arial"/>
          <w:sz w:val="17"/>
          <w:szCs w:val="17"/>
          <w:b w:val="1"/>
          <w:bCs w:val="1"/>
          <w:color w:val="auto"/>
        </w:rPr>
      </w:pPr>
      <w:r>
        <w:rPr>
          <w:rFonts w:ascii="Arial" w:cs="Arial" w:eastAsia="Arial" w:hAnsi="Arial"/>
          <w:sz w:val="17"/>
          <w:szCs w:val="17"/>
          <w:color w:val="auto"/>
        </w:rPr>
        <w:t>Under this arrangement, the Group offers SaaS products which are cloud-hosted software offering Enterprise Solutions to customers through provision of software licenses and retail and customer relationship management (“CRM”) solutions.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and maintenance services provided by the Group. Contracts with customers under this arrangement are generally with a term of 1 to 24 months.</w:t>
      </w:r>
    </w:p>
    <w:p>
      <w:pPr>
        <w:spacing w:after="0" w:line="339"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48"/>
        </w:numPr>
        <w:rPr>
          <w:rFonts w:ascii="Arial" w:cs="Arial" w:eastAsia="Arial" w:hAnsi="Arial"/>
          <w:sz w:val="17"/>
          <w:szCs w:val="17"/>
          <w:color w:val="auto"/>
        </w:rPr>
      </w:pPr>
      <w:r>
        <w:rPr>
          <w:rFonts w:ascii="Arial" w:cs="Arial" w:eastAsia="Arial" w:hAnsi="Arial"/>
          <w:sz w:val="17"/>
          <w:szCs w:val="17"/>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2" w:right="339" w:bottom="1440" w:gutter="0" w:footer="0" w:header="0"/>
        </w:sectPr>
      </w:pPr>
    </w:p>
    <w:bookmarkStart w:id="162" w:name="page163"/>
    <w:bookmarkEnd w:id="162"/>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hanging="836"/>
        <w:spacing w:after="0"/>
        <w:tabs>
          <w:tab w:leader="none" w:pos="836"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43" w:lineRule="exact"/>
        <w:rPr>
          <w:sz w:val="20"/>
          <w:szCs w:val="20"/>
          <w:color w:val="auto"/>
        </w:rPr>
      </w:pPr>
    </w:p>
    <w:p>
      <w:pPr>
        <w:ind w:left="836" w:right="6420" w:hanging="836"/>
        <w:spacing w:after="0" w:line="418" w:lineRule="auto"/>
        <w:tabs>
          <w:tab w:leader="none" w:pos="836"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and cost of revenues (Continued) </w:t>
      </w:r>
      <w:r>
        <w:rPr>
          <w:rFonts w:ascii="Arial" w:cs="Arial" w:eastAsia="Arial" w:hAnsi="Arial"/>
          <w:sz w:val="17"/>
          <w:szCs w:val="17"/>
          <w:i w:val="1"/>
          <w:iCs w:val="1"/>
          <w:color w:val="auto"/>
        </w:rPr>
        <w:t>SaaS products offering (Continued)</w:t>
      </w:r>
    </w:p>
    <w:p>
      <w:pPr>
        <w:spacing w:after="0" w:line="1" w:lineRule="exact"/>
        <w:rPr>
          <w:rFonts w:ascii="Arial" w:cs="Arial" w:eastAsia="Arial" w:hAnsi="Arial"/>
          <w:sz w:val="17"/>
          <w:szCs w:val="17"/>
          <w:b w:val="1"/>
          <w:bCs w:val="1"/>
          <w:color w:val="auto"/>
        </w:rPr>
      </w:pPr>
    </w:p>
    <w:p>
      <w:pPr>
        <w:jc w:val="both"/>
        <w:ind w:left="836"/>
        <w:spacing w:after="0" w:line="253" w:lineRule="auto"/>
        <w:rPr>
          <w:rFonts w:ascii="Arial" w:cs="Arial" w:eastAsia="Arial" w:hAnsi="Arial"/>
          <w:sz w:val="17"/>
          <w:szCs w:val="17"/>
          <w:b w:val="1"/>
          <w:bCs w:val="1"/>
          <w:color w:val="auto"/>
        </w:rPr>
      </w:pPr>
      <w:r>
        <w:rPr>
          <w:rFonts w:ascii="Arial" w:cs="Arial" w:eastAsia="Arial" w:hAnsi="Arial"/>
          <w:sz w:val="16"/>
          <w:szCs w:val="16"/>
          <w:color w:val="auto"/>
        </w:rPr>
        <w:t>Revenues from licensing of existing cloud applications are generally recognized ratably over time over the contract term beginning on the date that the licensing service is made available to the customer, whereby the Group considers that its customers simultaneously receive and consume the benefits provided by the use of existing cloud applications. The Group does not have other right to consideration in exchange for goods or service that the Group has transferred to a customer when that right is conditioned on something other than the passage of time.</w:t>
      </w:r>
    </w:p>
    <w:p>
      <w:pPr>
        <w:spacing w:after="0" w:line="121" w:lineRule="exact"/>
        <w:rPr>
          <w:rFonts w:ascii="Arial" w:cs="Arial" w:eastAsia="Arial" w:hAnsi="Arial"/>
          <w:sz w:val="17"/>
          <w:szCs w:val="17"/>
          <w:b w:val="1"/>
          <w:bCs w:val="1"/>
          <w:color w:val="auto"/>
        </w:rPr>
      </w:pPr>
    </w:p>
    <w:p>
      <w:pPr>
        <w:jc w:val="both"/>
        <w:ind w:left="836"/>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Revenues of developing new cloud applications exclusively customized for customers is recognized at point-in-time when the Group is able to deliver the cloud applications to customers. The Group considers the transfer of control of new cloud applications to customer, which represents a distinct performance obligation, to be completed when such cloud applications are on-premise and fully functional such that the customer can use and benefit from the cloud applications on its own.</w:t>
      </w:r>
    </w:p>
    <w:p>
      <w:pPr>
        <w:spacing w:after="0" w:line="145" w:lineRule="exact"/>
        <w:rPr>
          <w:rFonts w:ascii="Arial" w:cs="Arial" w:eastAsia="Arial" w:hAnsi="Arial"/>
          <w:sz w:val="17"/>
          <w:szCs w:val="17"/>
          <w:b w:val="1"/>
          <w:bCs w:val="1"/>
          <w:color w:val="auto"/>
        </w:rPr>
      </w:pPr>
    </w:p>
    <w:p>
      <w:pPr>
        <w:jc w:val="both"/>
        <w:ind w:left="836"/>
        <w:spacing w:after="0" w:line="275" w:lineRule="auto"/>
        <w:rPr>
          <w:rFonts w:ascii="Arial" w:cs="Arial" w:eastAsia="Arial" w:hAnsi="Arial"/>
          <w:sz w:val="17"/>
          <w:szCs w:val="17"/>
          <w:b w:val="1"/>
          <w:bCs w:val="1"/>
          <w:color w:val="auto"/>
        </w:rPr>
      </w:pPr>
      <w:r>
        <w:rPr>
          <w:rFonts w:ascii="Arial" w:cs="Arial" w:eastAsia="Arial" w:hAnsi="Arial"/>
          <w:sz w:val="15"/>
          <w:szCs w:val="15"/>
          <w:color w:val="auto"/>
        </w:rPr>
        <w:t>Besides, the Group also provides certain additional maintenance services along with the above arrangements of cloud application development and licensing, such as technical support and bug fixes. These additional maintenance services are considered to be a series of distinct services that are substantially the same and have the same duration and measure of progress; therefore, the Group concludes that they represent a separate combined performance obligation. Revenues from such additional maintenance services are recognized ratably over-time over the contract period.</w:t>
      </w:r>
    </w:p>
    <w:p>
      <w:pPr>
        <w:spacing w:after="0" w:line="107" w:lineRule="exact"/>
        <w:rPr>
          <w:rFonts w:ascii="Arial" w:cs="Arial" w:eastAsia="Arial" w:hAnsi="Arial"/>
          <w:sz w:val="17"/>
          <w:szCs w:val="17"/>
          <w:b w:val="1"/>
          <w:bCs w:val="1"/>
          <w:color w:val="auto"/>
        </w:rPr>
      </w:pPr>
    </w:p>
    <w:p>
      <w:pPr>
        <w:ind w:left="836"/>
        <w:spacing w:after="0" w:line="285" w:lineRule="auto"/>
        <w:rPr>
          <w:rFonts w:ascii="Arial" w:cs="Arial" w:eastAsia="Arial" w:hAnsi="Arial"/>
          <w:sz w:val="17"/>
          <w:szCs w:val="17"/>
          <w:b w:val="1"/>
          <w:bCs w:val="1"/>
          <w:color w:val="auto"/>
        </w:rPr>
      </w:pPr>
      <w:r>
        <w:rPr>
          <w:rFonts w:ascii="Arial" w:cs="Arial" w:eastAsia="Arial" w:hAnsi="Arial"/>
          <w:sz w:val="16"/>
          <w:szCs w:val="16"/>
          <w:color w:val="auto"/>
        </w:rPr>
        <w:t>The respective stand-alone selling prices of each of the three performance obligations are determined based upon observable prices in stand-alone transactions and contractually stated price whereby no allocation of selling prices among individual performance obligations are required.</w:t>
      </w:r>
    </w:p>
    <w:p>
      <w:pPr>
        <w:spacing w:after="0" w:line="96" w:lineRule="exact"/>
        <w:rPr>
          <w:rFonts w:ascii="Arial" w:cs="Arial" w:eastAsia="Arial" w:hAnsi="Arial"/>
          <w:sz w:val="17"/>
          <w:szCs w:val="17"/>
          <w:b w:val="1"/>
          <w:bCs w:val="1"/>
          <w:color w:val="auto"/>
        </w:rPr>
      </w:pPr>
    </w:p>
    <w:p>
      <w:pPr>
        <w:ind w:left="836"/>
        <w:spacing w:after="0" w:line="285" w:lineRule="auto"/>
        <w:rPr>
          <w:rFonts w:ascii="Arial" w:cs="Arial" w:eastAsia="Arial" w:hAnsi="Arial"/>
          <w:sz w:val="17"/>
          <w:szCs w:val="17"/>
          <w:b w:val="1"/>
          <w:bCs w:val="1"/>
          <w:color w:val="auto"/>
        </w:rPr>
      </w:pPr>
      <w:r>
        <w:rPr>
          <w:rFonts w:ascii="Arial" w:cs="Arial" w:eastAsia="Arial" w:hAnsi="Arial"/>
          <w:sz w:val="16"/>
          <w:szCs w:val="16"/>
          <w:color w:val="auto"/>
        </w:rPr>
        <w:t>Cost of revenues for SaaS products primarily comprises amortization expenses related to the Group’s computer software and systems, salaries and benefits of relevant operations and support personnel, depreciation of relevant property and equipment and other direct services costs.</w:t>
      </w:r>
    </w:p>
    <w:p>
      <w:pPr>
        <w:spacing w:after="0" w:line="109"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Contract balances</w:t>
      </w:r>
    </w:p>
    <w:p>
      <w:pPr>
        <w:spacing w:after="0" w:line="155" w:lineRule="exact"/>
        <w:rPr>
          <w:rFonts w:ascii="Arial" w:cs="Arial" w:eastAsia="Arial" w:hAnsi="Arial"/>
          <w:sz w:val="17"/>
          <w:szCs w:val="17"/>
          <w:b w:val="1"/>
          <w:bCs w:val="1"/>
          <w:color w:val="auto"/>
        </w:rPr>
      </w:pPr>
    </w:p>
    <w:p>
      <w:pPr>
        <w:jc w:val="both"/>
        <w:ind w:left="836"/>
        <w:spacing w:after="0" w:line="249" w:lineRule="auto"/>
        <w:rPr>
          <w:rFonts w:ascii="Arial" w:cs="Arial" w:eastAsia="Arial" w:hAnsi="Arial"/>
          <w:sz w:val="17"/>
          <w:szCs w:val="17"/>
          <w:b w:val="1"/>
          <w:bCs w:val="1"/>
          <w:color w:val="auto"/>
        </w:rPr>
      </w:pPr>
      <w:r>
        <w:rPr>
          <w:rFonts w:ascii="Arial" w:cs="Arial" w:eastAsia="Arial" w:hAnsi="Arial"/>
          <w:sz w:val="16"/>
          <w:szCs w:val="16"/>
          <w:color w:val="auto"/>
        </w:rPr>
        <w:t>Timing of revenue recognition may differ from the timing of invoicing to customers. Accounts receivable represents amounts invoiced and revenue recognized prior to invoicing when the Group has satisfied its performance obligations and has the unconditional right to payment. The allowance for doubtful accounts is estimated based upon the Group’s assessment of various factors, including historical experience, the age of the accounts receivable balances, current economic conditions and other factors that may affect the Group’s customers’ ability to pay. The Group normally does not have contract assets, which are primarily unbilled accounts receivable that are conditional on something other than the passage of time.</w:t>
      </w:r>
    </w:p>
    <w:p>
      <w:pPr>
        <w:spacing w:after="0" w:line="138" w:lineRule="exact"/>
        <w:rPr>
          <w:rFonts w:ascii="Arial" w:cs="Arial" w:eastAsia="Arial" w:hAnsi="Arial"/>
          <w:sz w:val="17"/>
          <w:szCs w:val="17"/>
          <w:b w:val="1"/>
          <w:bCs w:val="1"/>
          <w:color w:val="auto"/>
        </w:rPr>
      </w:pPr>
    </w:p>
    <w:p>
      <w:pPr>
        <w:jc w:val="both"/>
        <w:ind w:left="836"/>
        <w:spacing w:after="0" w:line="260" w:lineRule="auto"/>
        <w:rPr>
          <w:rFonts w:ascii="Arial" w:cs="Arial" w:eastAsia="Arial" w:hAnsi="Arial"/>
          <w:sz w:val="17"/>
          <w:szCs w:val="17"/>
          <w:b w:val="1"/>
          <w:bCs w:val="1"/>
          <w:color w:val="auto"/>
        </w:rPr>
      </w:pPr>
      <w:r>
        <w:rPr>
          <w:rFonts w:ascii="Arial" w:cs="Arial" w:eastAsia="Arial" w:hAnsi="Arial"/>
          <w:sz w:val="17"/>
          <w:szCs w:val="17"/>
          <w:color w:val="auto"/>
        </w:rPr>
        <w:t>Deferred revenue represents contract liabilities which related to unsatisfied performance obligations at the end of the period. Due to the generally short-term duration of the contracts, the majority of the performance obligations are satisfied in the following reporting period. Revenue recognized during the years ended December 31, 2018 and 2019, respectively, relating to deferred revenue as of January 1, 2018 and 2019 was US$25,410 and US$15,768, respectively. For the amount remained as deferred revenue as of January 1, 2018 and 2019, respectively, but not recognized as revenue during the years ended December 31, 2018 and 2019, respectively, there is still a contractual obligation for the Group to provide service whereby the Group is not obliged to make any refund of the amount received from customers. Such amount will be recognized as revenue when all of the revenue recognition criteria are met.</w:t>
      </w:r>
    </w:p>
    <w:p>
      <w:pPr>
        <w:spacing w:after="0" w:line="182"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color w:val="auto"/>
        </w:rPr>
        <w:t>Revenue recognized in the current period from performance obligations related to prior periods was not material.</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37"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50"/>
        </w:numPr>
        <w:rPr>
          <w:rFonts w:ascii="Arial" w:cs="Arial" w:eastAsia="Arial" w:hAnsi="Arial"/>
          <w:sz w:val="17"/>
          <w:szCs w:val="17"/>
          <w:color w:val="auto"/>
        </w:rPr>
      </w:pPr>
      <w:r>
        <w:rPr>
          <w:rFonts w:ascii="Arial" w:cs="Arial" w:eastAsia="Arial" w:hAnsi="Arial"/>
          <w:sz w:val="17"/>
          <w:szCs w:val="17"/>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2" w:right="339" w:bottom="1440" w:gutter="0" w:footer="0" w:header="0"/>
        </w:sectPr>
      </w:pPr>
    </w:p>
    <w:bookmarkStart w:id="163" w:name="page164"/>
    <w:bookmarkEnd w:id="163"/>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hanging="836"/>
        <w:spacing w:after="0"/>
        <w:tabs>
          <w:tab w:leader="none" w:pos="836"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43" w:lineRule="exact"/>
        <w:rPr>
          <w:sz w:val="20"/>
          <w:szCs w:val="20"/>
          <w:color w:val="auto"/>
        </w:rPr>
      </w:pPr>
    </w:p>
    <w:p>
      <w:pPr>
        <w:ind w:left="836" w:right="6420" w:hanging="836"/>
        <w:spacing w:after="0" w:line="418" w:lineRule="auto"/>
        <w:tabs>
          <w:tab w:leader="none" w:pos="836"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and cost of revenues (Continued) </w:t>
      </w:r>
      <w:r>
        <w:rPr>
          <w:rFonts w:ascii="Arial" w:cs="Arial" w:eastAsia="Arial" w:hAnsi="Arial"/>
          <w:sz w:val="17"/>
          <w:szCs w:val="17"/>
          <w:i w:val="1"/>
          <w:iCs w:val="1"/>
          <w:color w:val="auto"/>
        </w:rPr>
        <w:t>Adoption of ASC 606</w:t>
      </w:r>
    </w:p>
    <w:p>
      <w:pPr>
        <w:spacing w:after="0" w:line="1" w:lineRule="exact"/>
        <w:rPr>
          <w:rFonts w:ascii="Arial" w:cs="Arial" w:eastAsia="Arial" w:hAnsi="Arial"/>
          <w:sz w:val="17"/>
          <w:szCs w:val="17"/>
          <w:b w:val="1"/>
          <w:bCs w:val="1"/>
          <w:color w:val="auto"/>
        </w:rPr>
      </w:pPr>
    </w:p>
    <w:p>
      <w:pPr>
        <w:jc w:val="both"/>
        <w:ind w:left="836"/>
        <w:spacing w:after="0" w:line="228" w:lineRule="auto"/>
        <w:rPr>
          <w:rFonts w:ascii="Arial" w:cs="Arial" w:eastAsia="Arial" w:hAnsi="Arial"/>
          <w:sz w:val="17"/>
          <w:szCs w:val="17"/>
          <w:b w:val="1"/>
          <w:bCs w:val="1"/>
          <w:color w:val="auto"/>
        </w:rPr>
      </w:pPr>
      <w:r>
        <w:rPr>
          <w:rFonts w:ascii="Arial" w:cs="Arial" w:eastAsia="Arial" w:hAnsi="Arial"/>
          <w:sz w:val="17"/>
          <w:szCs w:val="17"/>
          <w:color w:val="auto"/>
        </w:rPr>
        <w:t>The following table illustrates the effect of the adoption of ASC 606 by presenting a comparison of selected line items from the Group’s consolidated statements of comprehensive loss for the year ended December 31, 2018, as actually reported and as they would have been reported under ASC 605, without the adoption of ASC 606 (in thousands, except per share data):</w:t>
      </w:r>
    </w:p>
    <w:p>
      <w:pPr>
        <w:spacing w:after="0" w:line="145" w:lineRule="exact"/>
        <w:rPr>
          <w:sz w:val="20"/>
          <w:szCs w:val="20"/>
          <w:color w:val="auto"/>
        </w:rPr>
      </w:pPr>
    </w:p>
    <w:tbl>
      <w:tblPr>
        <w:tblLayout w:type="fixed"/>
        <w:tblInd w:w="916" w:type="dxa"/>
        <w:tblCellMar>
          <w:top w:w="0" w:type="dxa"/>
          <w:left w:w="0" w:type="dxa"/>
          <w:bottom w:w="0" w:type="dxa"/>
          <w:right w:w="0" w:type="dxa"/>
        </w:tblCellMar>
      </w:tblPr>
      <w:tr>
        <w:trPr>
          <w:trHeight w:val="208"/>
        </w:trPr>
        <w:tc>
          <w:tcPr>
            <w:tcW w:w="6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Without</w:t>
            </w:r>
          </w:p>
        </w:tc>
        <w:tc>
          <w:tcPr>
            <w:tcW w:w="1360" w:type="dxa"/>
            <w:vAlign w:val="bottom"/>
          </w:tcPr>
          <w:p>
            <w:pPr>
              <w:spacing w:after="0"/>
              <w:rPr>
                <w:sz w:val="18"/>
                <w:szCs w:val="18"/>
                <w:color w:val="auto"/>
              </w:rPr>
            </w:pPr>
          </w:p>
        </w:tc>
      </w:tr>
      <w:tr>
        <w:trPr>
          <w:trHeight w:val="221"/>
        </w:trPr>
        <w:tc>
          <w:tcPr>
            <w:tcW w:w="6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adoption of</w:t>
            </w:r>
          </w:p>
        </w:tc>
        <w:tc>
          <w:tcPr>
            <w:tcW w:w="1360" w:type="dxa"/>
            <w:vAlign w:val="bottom"/>
          </w:tcPr>
          <w:p>
            <w:pPr>
              <w:jc w:val="right"/>
              <w:ind w:right="13"/>
              <w:spacing w:after="0"/>
              <w:rPr>
                <w:sz w:val="20"/>
                <w:szCs w:val="20"/>
                <w:color w:val="auto"/>
              </w:rPr>
            </w:pPr>
            <w:r>
              <w:rPr>
                <w:rFonts w:ascii="Arial" w:cs="Arial" w:eastAsia="Arial" w:hAnsi="Arial"/>
                <w:sz w:val="17"/>
                <w:szCs w:val="17"/>
                <w:color w:val="auto"/>
              </w:rPr>
              <w:t>Effect of change</w:t>
            </w:r>
          </w:p>
        </w:tc>
      </w:tr>
      <w:tr>
        <w:trPr>
          <w:trHeight w:val="221"/>
        </w:trPr>
        <w:tc>
          <w:tcPr>
            <w:tcW w:w="6000" w:type="dxa"/>
            <w:vAlign w:val="bottom"/>
          </w:tcPr>
          <w:p>
            <w:pPr>
              <w:spacing w:after="0"/>
              <w:rPr>
                <w:sz w:val="19"/>
                <w:szCs w:val="19"/>
                <w:color w:val="auto"/>
              </w:rPr>
            </w:pPr>
          </w:p>
        </w:tc>
        <w:tc>
          <w:tcPr>
            <w:tcW w:w="1700" w:type="dxa"/>
            <w:vAlign w:val="bottom"/>
          </w:tcPr>
          <w:p>
            <w:pPr>
              <w:jc w:val="right"/>
              <w:ind w:right="273"/>
              <w:spacing w:after="0"/>
              <w:rPr>
                <w:sz w:val="20"/>
                <w:szCs w:val="20"/>
                <w:color w:val="auto"/>
              </w:rPr>
            </w:pPr>
            <w:r>
              <w:rPr>
                <w:rFonts w:ascii="Arial" w:cs="Arial" w:eastAsia="Arial" w:hAnsi="Arial"/>
                <w:sz w:val="17"/>
                <w:szCs w:val="17"/>
                <w:color w:val="auto"/>
              </w:rPr>
              <w:t>As reported</w:t>
            </w: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ASC 606</w:t>
            </w:r>
          </w:p>
        </w:tc>
        <w:tc>
          <w:tcPr>
            <w:tcW w:w="1360" w:type="dxa"/>
            <w:vAlign w:val="bottom"/>
          </w:tcPr>
          <w:p>
            <w:pPr>
              <w:jc w:val="right"/>
              <w:ind w:right="13"/>
              <w:spacing w:after="0"/>
              <w:rPr>
                <w:sz w:val="20"/>
                <w:szCs w:val="20"/>
                <w:color w:val="auto"/>
              </w:rPr>
            </w:pPr>
            <w:r>
              <w:rPr>
                <w:rFonts w:ascii="Arial" w:cs="Arial" w:eastAsia="Arial" w:hAnsi="Arial"/>
                <w:sz w:val="17"/>
                <w:szCs w:val="17"/>
                <w:color w:val="auto"/>
              </w:rPr>
              <w:t>higher/(lower)</w:t>
            </w:r>
          </w:p>
        </w:tc>
      </w:tr>
      <w:tr>
        <w:trPr>
          <w:trHeight w:val="52"/>
        </w:trPr>
        <w:tc>
          <w:tcPr>
            <w:tcW w:w="60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21"/>
        </w:trPr>
        <w:tc>
          <w:tcPr>
            <w:tcW w:w="6000" w:type="dxa"/>
            <w:vAlign w:val="bottom"/>
            <w:shd w:val="clear" w:color="auto" w:fill="CFF0FC"/>
          </w:tcPr>
          <w:p>
            <w:pPr>
              <w:spacing w:after="0"/>
              <w:rPr>
                <w:sz w:val="20"/>
                <w:szCs w:val="20"/>
                <w:color w:val="auto"/>
              </w:rPr>
            </w:pPr>
            <w:r>
              <w:rPr>
                <w:rFonts w:ascii="Arial" w:cs="Arial" w:eastAsia="Arial" w:hAnsi="Arial"/>
                <w:sz w:val="17"/>
                <w:szCs w:val="17"/>
                <w:color w:val="auto"/>
              </w:rPr>
              <w:t>Net revenues</w:t>
            </w:r>
          </w:p>
        </w:tc>
        <w:tc>
          <w:tcPr>
            <w:tcW w:w="1700" w:type="dxa"/>
            <w:vAlign w:val="bottom"/>
            <w:shd w:val="clear" w:color="auto" w:fill="CFF0FC"/>
          </w:tcPr>
          <w:p>
            <w:pPr>
              <w:jc w:val="right"/>
              <w:ind w:right="273"/>
              <w:spacing w:after="0"/>
              <w:rPr>
                <w:sz w:val="20"/>
                <w:szCs w:val="20"/>
                <w:color w:val="auto"/>
              </w:rPr>
            </w:pPr>
            <w:r>
              <w:rPr>
                <w:rFonts w:ascii="Arial" w:cs="Arial" w:eastAsia="Arial" w:hAnsi="Arial"/>
                <w:sz w:val="17"/>
                <w:szCs w:val="17"/>
                <w:color w:val="auto"/>
              </w:rPr>
              <w:t>160,017</w:t>
            </w:r>
          </w:p>
        </w:tc>
        <w:tc>
          <w:tcPr>
            <w:tcW w:w="126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162,671</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(2,654)</w:t>
            </w:r>
          </w:p>
        </w:tc>
      </w:tr>
      <w:tr>
        <w:trPr>
          <w:trHeight w:val="221"/>
        </w:trPr>
        <w:tc>
          <w:tcPr>
            <w:tcW w:w="6000" w:type="dxa"/>
            <w:vAlign w:val="bottom"/>
          </w:tcPr>
          <w:p>
            <w:pPr>
              <w:spacing w:after="0"/>
              <w:rPr>
                <w:sz w:val="20"/>
                <w:szCs w:val="20"/>
                <w:color w:val="auto"/>
              </w:rPr>
            </w:pPr>
            <w:r>
              <w:rPr>
                <w:rFonts w:ascii="Arial" w:cs="Arial" w:eastAsia="Arial" w:hAnsi="Arial"/>
                <w:sz w:val="17"/>
                <w:szCs w:val="17"/>
                <w:color w:val="auto"/>
              </w:rPr>
              <w:t>Cost of revenues</w:t>
            </w:r>
          </w:p>
        </w:tc>
        <w:tc>
          <w:tcPr>
            <w:tcW w:w="1700" w:type="dxa"/>
            <w:vAlign w:val="bottom"/>
          </w:tcPr>
          <w:p>
            <w:pPr>
              <w:jc w:val="right"/>
              <w:ind w:right="193"/>
              <w:spacing w:after="0"/>
              <w:rPr>
                <w:sz w:val="20"/>
                <w:szCs w:val="20"/>
                <w:color w:val="auto"/>
              </w:rPr>
            </w:pPr>
            <w:r>
              <w:rPr>
                <w:rFonts w:ascii="Arial" w:cs="Arial" w:eastAsia="Arial" w:hAnsi="Arial"/>
                <w:sz w:val="17"/>
                <w:szCs w:val="17"/>
                <w:color w:val="auto"/>
              </w:rPr>
              <w:t>(120,897)</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(123,551)</w:t>
            </w:r>
          </w:p>
        </w:tc>
        <w:tc>
          <w:tcPr>
            <w:tcW w:w="1360" w:type="dxa"/>
            <w:vAlign w:val="bottom"/>
          </w:tcPr>
          <w:p>
            <w:pPr>
              <w:jc w:val="right"/>
              <w:spacing w:after="0"/>
              <w:rPr>
                <w:sz w:val="20"/>
                <w:szCs w:val="20"/>
                <w:color w:val="auto"/>
              </w:rPr>
            </w:pPr>
            <w:r>
              <w:rPr>
                <w:rFonts w:ascii="Arial" w:cs="Arial" w:eastAsia="Arial" w:hAnsi="Arial"/>
                <w:sz w:val="17"/>
                <w:szCs w:val="17"/>
                <w:color w:val="auto"/>
              </w:rPr>
              <w:t>(2,654)</w:t>
            </w:r>
          </w:p>
        </w:tc>
      </w:tr>
      <w:tr>
        <w:trPr>
          <w:trHeight w:val="221"/>
        </w:trPr>
        <w:tc>
          <w:tcPr>
            <w:tcW w:w="600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1700" w:type="dxa"/>
            <w:vAlign w:val="bottom"/>
            <w:shd w:val="clear" w:color="auto" w:fill="CFF0FC"/>
          </w:tcPr>
          <w:p>
            <w:pPr>
              <w:jc w:val="right"/>
              <w:ind w:right="273"/>
              <w:spacing w:after="0"/>
              <w:rPr>
                <w:sz w:val="20"/>
                <w:szCs w:val="20"/>
                <w:color w:val="auto"/>
              </w:rPr>
            </w:pPr>
            <w:r>
              <w:rPr>
                <w:rFonts w:ascii="Arial" w:cs="Arial" w:eastAsia="Arial" w:hAnsi="Arial"/>
                <w:sz w:val="17"/>
                <w:szCs w:val="17"/>
                <w:color w:val="auto"/>
              </w:rPr>
              <w:t>39,120</w:t>
            </w:r>
          </w:p>
        </w:tc>
        <w:tc>
          <w:tcPr>
            <w:tcW w:w="126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39,120</w:t>
            </w: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r>
      <w:tr>
        <w:trPr>
          <w:trHeight w:val="221"/>
        </w:trPr>
        <w:tc>
          <w:tcPr>
            <w:tcW w:w="6000" w:type="dxa"/>
            <w:vAlign w:val="bottom"/>
          </w:tcPr>
          <w:p>
            <w:pPr>
              <w:spacing w:after="0"/>
              <w:rPr>
                <w:sz w:val="20"/>
                <w:szCs w:val="20"/>
                <w:color w:val="auto"/>
              </w:rPr>
            </w:pPr>
            <w:r>
              <w:rPr>
                <w:rFonts w:ascii="Arial" w:cs="Arial" w:eastAsia="Arial" w:hAnsi="Arial"/>
                <w:sz w:val="17"/>
                <w:szCs w:val="17"/>
                <w:color w:val="auto"/>
              </w:rPr>
              <w:t>Loss before income tax expense</w:t>
            </w:r>
          </w:p>
        </w:tc>
        <w:tc>
          <w:tcPr>
            <w:tcW w:w="1700" w:type="dxa"/>
            <w:vAlign w:val="bottom"/>
          </w:tcPr>
          <w:p>
            <w:pPr>
              <w:jc w:val="right"/>
              <w:ind w:right="193"/>
              <w:spacing w:after="0"/>
              <w:rPr>
                <w:sz w:val="20"/>
                <w:szCs w:val="20"/>
                <w:color w:val="auto"/>
              </w:rPr>
            </w:pPr>
            <w:r>
              <w:rPr>
                <w:rFonts w:ascii="Arial" w:cs="Arial" w:eastAsia="Arial" w:hAnsi="Arial"/>
                <w:sz w:val="17"/>
                <w:szCs w:val="17"/>
                <w:color w:val="auto"/>
              </w:rPr>
              <w:t>(31,956)</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(31,956)</w:t>
            </w:r>
          </w:p>
        </w:tc>
        <w:tc>
          <w:tcPr>
            <w:tcW w:w="13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21"/>
        </w:trPr>
        <w:tc>
          <w:tcPr>
            <w:tcW w:w="600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w:t>
            </w:r>
          </w:p>
        </w:tc>
        <w:tc>
          <w:tcPr>
            <w:tcW w:w="1700" w:type="dxa"/>
            <w:vAlign w:val="bottom"/>
            <w:shd w:val="clear" w:color="auto" w:fill="CFF0FC"/>
          </w:tcPr>
          <w:p>
            <w:pPr>
              <w:jc w:val="right"/>
              <w:ind w:right="193"/>
              <w:spacing w:after="0"/>
              <w:rPr>
                <w:sz w:val="20"/>
                <w:szCs w:val="20"/>
                <w:color w:val="auto"/>
              </w:rPr>
            </w:pPr>
            <w:r>
              <w:rPr>
                <w:rFonts w:ascii="Arial" w:cs="Arial" w:eastAsia="Arial" w:hAnsi="Arial"/>
                <w:sz w:val="17"/>
                <w:szCs w:val="17"/>
                <w:color w:val="auto"/>
              </w:rPr>
              <w:t>(655)</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(655)</w:t>
            </w: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r>
      <w:tr>
        <w:trPr>
          <w:trHeight w:val="221"/>
        </w:trPr>
        <w:tc>
          <w:tcPr>
            <w:tcW w:w="6000" w:type="dxa"/>
            <w:vAlign w:val="bottom"/>
          </w:tcPr>
          <w:p>
            <w:pPr>
              <w:spacing w:after="0"/>
              <w:rPr>
                <w:sz w:val="20"/>
                <w:szCs w:val="20"/>
                <w:color w:val="auto"/>
              </w:rPr>
            </w:pPr>
            <w:r>
              <w:rPr>
                <w:rFonts w:ascii="Arial" w:cs="Arial" w:eastAsia="Arial" w:hAnsi="Arial"/>
                <w:sz w:val="17"/>
                <w:szCs w:val="17"/>
                <w:color w:val="auto"/>
              </w:rPr>
              <w:t>Net loss</w:t>
            </w:r>
          </w:p>
        </w:tc>
        <w:tc>
          <w:tcPr>
            <w:tcW w:w="1700" w:type="dxa"/>
            <w:vAlign w:val="bottom"/>
          </w:tcPr>
          <w:p>
            <w:pPr>
              <w:jc w:val="right"/>
              <w:ind w:right="193"/>
              <w:spacing w:after="0"/>
              <w:rPr>
                <w:sz w:val="20"/>
                <w:szCs w:val="20"/>
                <w:color w:val="auto"/>
              </w:rPr>
            </w:pPr>
            <w:r>
              <w:rPr>
                <w:rFonts w:ascii="Arial" w:cs="Arial" w:eastAsia="Arial" w:hAnsi="Arial"/>
                <w:sz w:val="17"/>
                <w:szCs w:val="17"/>
                <w:color w:val="auto"/>
              </w:rPr>
              <w:t>(32,611)</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(32,611)</w:t>
            </w:r>
          </w:p>
        </w:tc>
        <w:tc>
          <w:tcPr>
            <w:tcW w:w="13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21"/>
        </w:trPr>
        <w:tc>
          <w:tcPr>
            <w:tcW w:w="6000" w:type="dxa"/>
            <w:vAlign w:val="bottom"/>
            <w:shd w:val="clear" w:color="auto" w:fill="CFF0FC"/>
          </w:tcPr>
          <w:p>
            <w:pPr>
              <w:spacing w:after="0"/>
              <w:rPr>
                <w:sz w:val="20"/>
                <w:szCs w:val="20"/>
                <w:color w:val="auto"/>
              </w:rPr>
            </w:pPr>
            <w:r>
              <w:rPr>
                <w:rFonts w:ascii="Arial" w:cs="Arial" w:eastAsia="Arial" w:hAnsi="Arial"/>
                <w:sz w:val="17"/>
                <w:szCs w:val="17"/>
                <w:color w:val="auto"/>
              </w:rPr>
              <w:t>Basic net loss per share attributable to iClick Interactive Asia Group Limited</w:t>
            </w:r>
          </w:p>
        </w:tc>
        <w:tc>
          <w:tcPr>
            <w:tcW w:w="1700" w:type="dxa"/>
            <w:vAlign w:val="bottom"/>
            <w:shd w:val="clear" w:color="auto" w:fill="CFF0FC"/>
          </w:tcPr>
          <w:p>
            <w:pPr>
              <w:jc w:val="right"/>
              <w:ind w:right="193"/>
              <w:spacing w:after="0"/>
              <w:rPr>
                <w:sz w:val="20"/>
                <w:szCs w:val="20"/>
                <w:color w:val="auto"/>
              </w:rPr>
            </w:pPr>
            <w:r>
              <w:rPr>
                <w:rFonts w:ascii="Arial" w:cs="Arial" w:eastAsia="Arial" w:hAnsi="Arial"/>
                <w:sz w:val="17"/>
                <w:szCs w:val="17"/>
                <w:color w:val="auto"/>
              </w:rPr>
              <w:t>(1.23)</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(1.23)</w:t>
            </w:r>
          </w:p>
        </w:tc>
        <w:tc>
          <w:tcPr>
            <w:tcW w:w="136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r>
      <w:tr>
        <w:trPr>
          <w:trHeight w:val="221"/>
        </w:trPr>
        <w:tc>
          <w:tcPr>
            <w:tcW w:w="6000" w:type="dxa"/>
            <w:vAlign w:val="bottom"/>
          </w:tcPr>
          <w:p>
            <w:pPr>
              <w:spacing w:after="0"/>
              <w:rPr>
                <w:sz w:val="20"/>
                <w:szCs w:val="20"/>
                <w:color w:val="auto"/>
              </w:rPr>
            </w:pPr>
            <w:r>
              <w:rPr>
                <w:rFonts w:ascii="Arial" w:cs="Arial" w:eastAsia="Arial" w:hAnsi="Arial"/>
                <w:sz w:val="17"/>
                <w:szCs w:val="17"/>
                <w:color w:val="auto"/>
              </w:rPr>
              <w:t>Diluted net loss per share attributable to iClick Interactive Asia Group Limited</w:t>
            </w:r>
          </w:p>
        </w:tc>
        <w:tc>
          <w:tcPr>
            <w:tcW w:w="1700" w:type="dxa"/>
            <w:vAlign w:val="bottom"/>
          </w:tcPr>
          <w:p>
            <w:pPr>
              <w:jc w:val="right"/>
              <w:ind w:right="193"/>
              <w:spacing w:after="0"/>
              <w:rPr>
                <w:sz w:val="20"/>
                <w:szCs w:val="20"/>
                <w:color w:val="auto"/>
              </w:rPr>
            </w:pPr>
            <w:r>
              <w:rPr>
                <w:rFonts w:ascii="Arial" w:cs="Arial" w:eastAsia="Arial" w:hAnsi="Arial"/>
                <w:sz w:val="17"/>
                <w:szCs w:val="17"/>
                <w:color w:val="auto"/>
              </w:rPr>
              <w:t>(1.23)</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(1.23)</w:t>
            </w:r>
          </w:p>
        </w:tc>
        <w:tc>
          <w:tcPr>
            <w:tcW w:w="1360" w:type="dxa"/>
            <w:vAlign w:val="bottom"/>
          </w:tcPr>
          <w:p>
            <w:pPr>
              <w:jc w:val="right"/>
              <w:ind w:right="13"/>
              <w:spacing w:after="0"/>
              <w:rPr>
                <w:sz w:val="20"/>
                <w:szCs w:val="20"/>
                <w:color w:val="auto"/>
              </w:rPr>
            </w:pPr>
            <w:r>
              <w:rPr>
                <w:rFonts w:ascii="Arial" w:cs="Arial" w:eastAsia="Arial" w:hAnsi="Arial"/>
                <w:sz w:val="17"/>
                <w:szCs w:val="17"/>
                <w:color w:val="auto"/>
              </w:rPr>
              <w:t>-</w:t>
            </w:r>
          </w:p>
        </w:tc>
      </w:tr>
    </w:tbl>
    <w:p>
      <w:pPr>
        <w:spacing w:after="0" w:line="144" w:lineRule="exact"/>
        <w:rPr>
          <w:sz w:val="20"/>
          <w:szCs w:val="20"/>
          <w:color w:val="auto"/>
        </w:rPr>
      </w:pPr>
    </w:p>
    <w:p>
      <w:pPr>
        <w:jc w:val="both"/>
        <w:ind w:left="836"/>
        <w:spacing w:after="0" w:line="239" w:lineRule="auto"/>
        <w:rPr>
          <w:sz w:val="20"/>
          <w:szCs w:val="20"/>
          <w:color w:val="auto"/>
        </w:rPr>
      </w:pPr>
      <w:r>
        <w:rPr>
          <w:rFonts w:ascii="Arial" w:cs="Arial" w:eastAsia="Arial" w:hAnsi="Arial"/>
          <w:sz w:val="17"/>
          <w:szCs w:val="17"/>
          <w:color w:val="auto"/>
        </w:rPr>
        <w:t>The adoption of ASC 606 did not change the Group’s consolidated balance sheet, consolidated statement of cash flows, or consolidated statement of changes in equity as of and for the year ended December 31, 2018.</w:t>
      </w:r>
    </w:p>
    <w:p>
      <w:pPr>
        <w:spacing w:after="0" w:line="118" w:lineRule="exact"/>
        <w:rPr>
          <w:sz w:val="20"/>
          <w:szCs w:val="20"/>
          <w:color w:val="auto"/>
        </w:rPr>
      </w:pPr>
    </w:p>
    <w:p>
      <w:pPr>
        <w:ind w:left="836"/>
        <w:spacing w:after="0"/>
        <w:rPr>
          <w:sz w:val="20"/>
          <w:szCs w:val="20"/>
          <w:color w:val="auto"/>
        </w:rPr>
      </w:pPr>
      <w:r>
        <w:rPr>
          <w:rFonts w:ascii="Arial" w:cs="Arial" w:eastAsia="Arial" w:hAnsi="Arial"/>
          <w:sz w:val="17"/>
          <w:szCs w:val="17"/>
          <w:i w:val="1"/>
          <w:iCs w:val="1"/>
          <w:color w:val="auto"/>
        </w:rPr>
        <w:t>Practical Expedients</w:t>
      </w:r>
    </w:p>
    <w:p>
      <w:pPr>
        <w:spacing w:after="0" w:line="195" w:lineRule="exact"/>
        <w:rPr>
          <w:sz w:val="20"/>
          <w:szCs w:val="20"/>
          <w:color w:val="auto"/>
        </w:rPr>
      </w:pPr>
    </w:p>
    <w:p>
      <w:pPr>
        <w:ind w:left="836"/>
        <w:spacing w:after="0"/>
        <w:rPr>
          <w:sz w:val="20"/>
          <w:szCs w:val="20"/>
          <w:color w:val="auto"/>
        </w:rPr>
      </w:pPr>
      <w:r>
        <w:rPr>
          <w:rFonts w:ascii="Arial" w:cs="Arial" w:eastAsia="Arial" w:hAnsi="Arial"/>
          <w:sz w:val="17"/>
          <w:szCs w:val="17"/>
          <w:color w:val="auto"/>
        </w:rPr>
        <w:t>The Group has used the following practical expedients as allowed under ASC 606:</w:t>
      </w:r>
    </w:p>
    <w:p>
      <w:pPr>
        <w:spacing w:after="0" w:line="182" w:lineRule="exact"/>
        <w:rPr>
          <w:sz w:val="20"/>
          <w:szCs w:val="20"/>
          <w:color w:val="auto"/>
        </w:rPr>
      </w:pPr>
    </w:p>
    <w:p>
      <w:pPr>
        <w:ind w:left="1656" w:hanging="823"/>
        <w:spacing w:after="0" w:line="286" w:lineRule="auto"/>
        <w:tabs>
          <w:tab w:leader="none" w:pos="165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transaction price allocated to the performance obligations that are unsatisfied, or partially unsatisfied, has not been disclosed as substantially all of the Group’s contracts have a duration of one year or less.</w:t>
      </w:r>
    </w:p>
    <w:p>
      <w:pPr>
        <w:spacing w:after="0" w:line="119" w:lineRule="exact"/>
        <w:rPr>
          <w:rFonts w:ascii="Arial" w:cs="Arial" w:eastAsia="Arial" w:hAnsi="Arial"/>
          <w:sz w:val="17"/>
          <w:szCs w:val="17"/>
          <w:color w:val="auto"/>
        </w:rPr>
      </w:pPr>
    </w:p>
    <w:p>
      <w:pPr>
        <w:jc w:val="both"/>
        <w:ind w:left="1656" w:hanging="823"/>
        <w:spacing w:after="0" w:line="270" w:lineRule="auto"/>
        <w:tabs>
          <w:tab w:leader="none" w:pos="165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p>
      <w:pPr>
        <w:spacing w:after="0" w:line="133" w:lineRule="exact"/>
        <w:rPr>
          <w:rFonts w:ascii="Arial" w:cs="Arial" w:eastAsia="Arial" w:hAnsi="Arial"/>
          <w:sz w:val="17"/>
          <w:szCs w:val="17"/>
          <w:color w:val="auto"/>
        </w:rPr>
      </w:pPr>
    </w:p>
    <w:p>
      <w:pPr>
        <w:ind w:left="1656" w:hanging="823"/>
        <w:spacing w:after="0" w:line="286" w:lineRule="auto"/>
        <w:tabs>
          <w:tab w:leader="none" w:pos="165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Group generally expenses sales commissions when incurred because the amortization period would be one year or less. These costs are recorded within sales and marketing expenses.</w:t>
      </w:r>
    </w:p>
    <w:p>
      <w:pPr>
        <w:spacing w:after="0" w:line="152" w:lineRule="exact"/>
        <w:rPr>
          <w:rFonts w:ascii="Arial" w:cs="Arial" w:eastAsia="Arial" w:hAnsi="Arial"/>
          <w:sz w:val="17"/>
          <w:szCs w:val="17"/>
          <w:color w:val="auto"/>
        </w:rPr>
      </w:pPr>
    </w:p>
    <w:p>
      <w:pPr>
        <w:ind w:left="836" w:hanging="836"/>
        <w:spacing w:after="0"/>
        <w:tabs>
          <w:tab w:leader="none" w:pos="836"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Prepaid media costs</w:t>
      </w:r>
    </w:p>
    <w:p>
      <w:pPr>
        <w:spacing w:after="0" w:line="187" w:lineRule="exact"/>
        <w:rPr>
          <w:rFonts w:ascii="Arial" w:cs="Arial" w:eastAsia="Arial" w:hAnsi="Arial"/>
          <w:sz w:val="17"/>
          <w:szCs w:val="17"/>
          <w:b w:val="1"/>
          <w:bCs w:val="1"/>
          <w:color w:val="auto"/>
        </w:rPr>
      </w:pPr>
    </w:p>
    <w:p>
      <w:pPr>
        <w:jc w:val="both"/>
        <w:ind w:left="836"/>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329" w:lineRule="exact"/>
        <w:rPr>
          <w:rFonts w:ascii="Arial" w:cs="Arial" w:eastAsia="Arial" w:hAnsi="Arial"/>
          <w:sz w:val="17"/>
          <w:szCs w:val="17"/>
          <w:b w:val="1"/>
          <w:bCs w:val="1"/>
          <w:color w:val="auto"/>
        </w:rPr>
      </w:pPr>
    </w:p>
    <w:p>
      <w:pPr>
        <w:ind w:left="5536" w:hanging="104"/>
        <w:spacing w:after="0"/>
        <w:tabs>
          <w:tab w:leader="none" w:pos="5536" w:val="left"/>
        </w:tabs>
        <w:numPr>
          <w:ilvl w:val="2"/>
          <w:numId w:val="154"/>
        </w:numPr>
        <w:rPr>
          <w:rFonts w:ascii="Arial" w:cs="Arial" w:eastAsia="Arial" w:hAnsi="Arial"/>
          <w:sz w:val="17"/>
          <w:szCs w:val="17"/>
          <w:color w:val="auto"/>
        </w:rPr>
      </w:pPr>
      <w:r>
        <w:rPr>
          <w:rFonts w:ascii="Arial" w:cs="Arial" w:eastAsia="Arial" w:hAnsi="Arial"/>
          <w:sz w:val="17"/>
          <w:szCs w:val="17"/>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64" w:name="page165"/>
    <w:bookmarkEnd w:id="164"/>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40" w:hanging="836"/>
        <w:spacing w:after="0"/>
        <w:tabs>
          <w:tab w:leader="none" w:pos="84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56" w:lineRule="exact"/>
        <w:rPr>
          <w:sz w:val="20"/>
          <w:szCs w:val="20"/>
          <w:color w:val="auto"/>
        </w:rPr>
      </w:pPr>
    </w:p>
    <w:p>
      <w:pPr>
        <w:ind w:left="840" w:hanging="836"/>
        <w:spacing w:after="0"/>
        <w:tabs>
          <w:tab w:leader="none" w:pos="84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Research and development expenses</w:t>
      </w:r>
    </w:p>
    <w:p>
      <w:pPr>
        <w:spacing w:after="0" w:line="187" w:lineRule="exact"/>
        <w:rPr>
          <w:rFonts w:ascii="Arial" w:cs="Arial" w:eastAsia="Arial" w:hAnsi="Arial"/>
          <w:sz w:val="17"/>
          <w:szCs w:val="17"/>
          <w:b w:val="1"/>
          <w:bCs w:val="1"/>
          <w:color w:val="auto"/>
        </w:rPr>
      </w:pPr>
    </w:p>
    <w:p>
      <w:pPr>
        <w:jc w:val="both"/>
        <w:ind w:left="84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 (iii)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151" w:lineRule="exact"/>
        <w:rPr>
          <w:rFonts w:ascii="Arial" w:cs="Arial" w:eastAsia="Arial" w:hAnsi="Arial"/>
          <w:sz w:val="17"/>
          <w:szCs w:val="17"/>
          <w:b w:val="1"/>
          <w:bCs w:val="1"/>
          <w:color w:val="auto"/>
        </w:rPr>
      </w:pPr>
    </w:p>
    <w:p>
      <w:pPr>
        <w:jc w:val="both"/>
        <w:ind w:left="8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Group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w:t>
      </w:r>
    </w:p>
    <w:p>
      <w:pPr>
        <w:spacing w:after="0" w:line="133" w:lineRule="exact"/>
        <w:rPr>
          <w:rFonts w:ascii="Arial" w:cs="Arial" w:eastAsia="Arial" w:hAnsi="Arial"/>
          <w:sz w:val="17"/>
          <w:szCs w:val="17"/>
          <w:b w:val="1"/>
          <w:bCs w:val="1"/>
          <w:color w:val="auto"/>
        </w:rPr>
      </w:pPr>
    </w:p>
    <w:p>
      <w:pPr>
        <w:jc w:val="both"/>
        <w:ind w:left="840"/>
        <w:spacing w:after="0" w:line="260" w:lineRule="auto"/>
        <w:rPr>
          <w:rFonts w:ascii="Arial" w:cs="Arial" w:eastAsia="Arial" w:hAnsi="Arial"/>
          <w:sz w:val="17"/>
          <w:szCs w:val="17"/>
          <w:b w:val="1"/>
          <w:bCs w:val="1"/>
          <w:color w:val="auto"/>
        </w:rPr>
      </w:pPr>
      <w:r>
        <w:rPr>
          <w:rFonts w:ascii="Arial" w:cs="Arial" w:eastAsia="Arial" w:hAnsi="Arial"/>
          <w:sz w:val="17"/>
          <w:szCs w:val="17"/>
          <w:color w:val="auto"/>
        </w:rPr>
        <w:t>The Group incurred development costs in connection with an internal-use ERP software to further enhance management to monitor the business. While internal and external costs incurred during the preliminary project stage are expensed as incurred, costs relating to activities during the application development stages have been capitalized. For the years ended December 31, 2017, 2018 and 2019, the Group has capitalized development costs related to ERP software of US$nil, US$119 and US$229 as intangible assets. In addition, the Group incurred other research and development costs in relation to other internal use software used to support its operations. Any development costs qualified for capitalization were immaterial for the periods presented. For the years ended December 31, 2017, 2018 and 2019, the Group has not capitalized any other costs related to internal use software other than the ERP software.</w:t>
      </w:r>
    </w:p>
    <w:p>
      <w:pPr>
        <w:spacing w:after="0" w:line="124" w:lineRule="exact"/>
        <w:rPr>
          <w:rFonts w:ascii="Arial" w:cs="Arial" w:eastAsia="Arial" w:hAnsi="Arial"/>
          <w:sz w:val="17"/>
          <w:szCs w:val="17"/>
          <w:b w:val="1"/>
          <w:bCs w:val="1"/>
          <w:color w:val="auto"/>
        </w:rPr>
      </w:pPr>
    </w:p>
    <w:p>
      <w:pPr>
        <w:ind w:left="840" w:hanging="836"/>
        <w:spacing w:after="0"/>
        <w:tabs>
          <w:tab w:leader="none" w:pos="84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Sales and marketing expenses</w:t>
      </w:r>
    </w:p>
    <w:p>
      <w:pPr>
        <w:spacing w:after="0" w:line="161" w:lineRule="exact"/>
        <w:rPr>
          <w:rFonts w:ascii="Arial" w:cs="Arial" w:eastAsia="Arial" w:hAnsi="Arial"/>
          <w:sz w:val="17"/>
          <w:szCs w:val="17"/>
          <w:b w:val="1"/>
          <w:bCs w:val="1"/>
          <w:color w:val="auto"/>
        </w:rPr>
      </w:pPr>
    </w:p>
    <w:p>
      <w:pPr>
        <w:jc w:val="both"/>
        <w:ind w:left="8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Sales and marketing expenses consist primarily of (i) advertising and marketing expenses, (ii) salary and welfare for sales and marketing personnel, and (iii) allowance for doubtful receivables. Advertising expenses are recorded as sales and marketing expenses when incurred, and totaled US$1,727, US$4,574 and US$13,084 for the years ended December 31, 2017, 2018 and 2019, respectively.</w:t>
      </w:r>
    </w:p>
    <w:p>
      <w:pPr>
        <w:spacing w:after="0" w:line="128" w:lineRule="exact"/>
        <w:rPr>
          <w:sz w:val="20"/>
          <w:szCs w:val="20"/>
          <w:color w:val="auto"/>
        </w:rPr>
      </w:pPr>
    </w:p>
    <w:p>
      <w:pPr>
        <w:ind w:left="840" w:hanging="836"/>
        <w:spacing w:after="0"/>
        <w:tabs>
          <w:tab w:leader="none" w:pos="840"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General and administrative expenses</w:t>
      </w:r>
    </w:p>
    <w:p>
      <w:pPr>
        <w:spacing w:after="0" w:line="161" w:lineRule="exact"/>
        <w:rPr>
          <w:rFonts w:ascii="Arial" w:cs="Arial" w:eastAsia="Arial" w:hAnsi="Arial"/>
          <w:sz w:val="17"/>
          <w:szCs w:val="17"/>
          <w:b w:val="1"/>
          <w:bCs w:val="1"/>
          <w:color w:val="auto"/>
        </w:rPr>
      </w:pPr>
    </w:p>
    <w:p>
      <w:pPr>
        <w:ind w:left="8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General and administrative expenses consist primarily of (i) salary and welfare for general and administrative personnel, and (ii) professional service fees.</w:t>
      </w:r>
    </w:p>
    <w:p>
      <w:pPr>
        <w:spacing w:after="0" w:line="10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(ab)</w:t>
      </w:r>
      <w:r>
        <w:rPr>
          <w:sz w:val="20"/>
          <w:szCs w:val="20"/>
          <w:color w:val="auto"/>
        </w:rPr>
        <w:tab/>
      </w:r>
      <w:r>
        <w:rPr>
          <w:rFonts w:ascii="Arial" w:cs="Arial" w:eastAsia="Arial" w:hAnsi="Arial"/>
          <w:sz w:val="17"/>
          <w:szCs w:val="17"/>
          <w:b w:val="1"/>
          <w:bCs w:val="1"/>
          <w:color w:val="auto"/>
        </w:rPr>
        <w:t>Employee social security and welfare benefits</w:t>
      </w:r>
    </w:p>
    <w:p>
      <w:pPr>
        <w:spacing w:after="0" w:line="162" w:lineRule="exact"/>
        <w:rPr>
          <w:sz w:val="20"/>
          <w:szCs w:val="20"/>
          <w:color w:val="auto"/>
        </w:rPr>
      </w:pPr>
    </w:p>
    <w:p>
      <w:pPr>
        <w:jc w:val="both"/>
        <w:ind w:left="840"/>
        <w:spacing w:after="0" w:line="265" w:lineRule="auto"/>
        <w:rPr>
          <w:sz w:val="20"/>
          <w:szCs w:val="20"/>
          <w:color w:val="auto"/>
        </w:rPr>
      </w:pPr>
      <w:r>
        <w:rPr>
          <w:rFonts w:ascii="Arial" w:cs="Arial" w:eastAsia="Arial" w:hAnsi="Arial"/>
          <w:sz w:val="17"/>
          <w:szCs w:val="17"/>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38"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Group also makes payments to other defined contribution plans for employees employed by subsidiaries outside the PRC.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40" w:hanging="836"/>
        <w:spacing w:after="0"/>
        <w:tabs>
          <w:tab w:leader="none" w:pos="840"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5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(ac)</w:t>
      </w:r>
      <w:r>
        <w:rPr>
          <w:sz w:val="20"/>
          <w:szCs w:val="20"/>
          <w:color w:val="auto"/>
        </w:rPr>
        <w:tab/>
      </w:r>
      <w:r>
        <w:rPr>
          <w:rFonts w:ascii="Arial" w:cs="Arial" w:eastAsia="Arial" w:hAnsi="Arial"/>
          <w:sz w:val="17"/>
          <w:szCs w:val="17"/>
          <w:b w:val="1"/>
          <w:bCs w:val="1"/>
          <w:color w:val="auto"/>
        </w:rPr>
        <w:t>Non-controlling interests</w:t>
      </w:r>
    </w:p>
    <w:p>
      <w:pPr>
        <w:spacing w:after="0" w:line="188"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are presented on the face of the consolidated statement of comprehensive loss as an allocation of the total income or loss for the year between non-controlling interests holders and the shareholders of the Company.</w:t>
      </w:r>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(ad)</w:t>
      </w:r>
      <w:r>
        <w:rPr>
          <w:sz w:val="20"/>
          <w:szCs w:val="20"/>
          <w:color w:val="auto"/>
        </w:rPr>
        <w:tab/>
      </w:r>
      <w:r>
        <w:rPr>
          <w:rFonts w:ascii="Arial" w:cs="Arial" w:eastAsia="Arial" w:hAnsi="Arial"/>
          <w:sz w:val="17"/>
          <w:szCs w:val="17"/>
          <w:b w:val="1"/>
          <w:bCs w:val="1"/>
          <w:color w:val="auto"/>
        </w:rPr>
        <w:t>Income taxes</w:t>
      </w:r>
    </w:p>
    <w:p>
      <w:pPr>
        <w:spacing w:after="0" w:line="188"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spacing w:after="0" w:line="120" w:lineRule="exact"/>
        <w:rPr>
          <w:sz w:val="20"/>
          <w:szCs w:val="20"/>
          <w:color w:val="auto"/>
        </w:rPr>
      </w:pPr>
    </w:p>
    <w:p>
      <w:pPr>
        <w:jc w:val="both"/>
        <w:ind w:left="840"/>
        <w:spacing w:after="0" w:line="261" w:lineRule="auto"/>
        <w:rPr>
          <w:sz w:val="20"/>
          <w:szCs w:val="20"/>
          <w:color w:val="auto"/>
        </w:rPr>
      </w:pPr>
      <w:r>
        <w:rPr>
          <w:rFonts w:ascii="Arial" w:cs="Arial" w:eastAsia="Arial" w:hAnsi="Arial"/>
          <w:sz w:val="17"/>
          <w:szCs w:val="17"/>
          <w:color w:val="auto"/>
        </w:rPr>
        <w:t>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17"/>
          <w:szCs w:val="17"/>
          <w:i w:val="1"/>
          <w:iCs w:val="1"/>
          <w:color w:val="auto"/>
        </w:rPr>
        <w:t>Uncertain tax positions</w:t>
      </w:r>
    </w:p>
    <w:p>
      <w:pPr>
        <w:spacing w:after="0" w:line="195" w:lineRule="exact"/>
        <w:rPr>
          <w:sz w:val="20"/>
          <w:szCs w:val="20"/>
          <w:color w:val="auto"/>
        </w:rPr>
      </w:pPr>
    </w:p>
    <w:p>
      <w:pPr>
        <w:jc w:val="both"/>
        <w:ind w:left="840"/>
        <w:spacing w:after="0" w:line="299" w:lineRule="auto"/>
        <w:rPr>
          <w:sz w:val="20"/>
          <w:szCs w:val="20"/>
          <w:color w:val="auto"/>
        </w:rPr>
      </w:pPr>
      <w:r>
        <w:rPr>
          <w:rFonts w:ascii="Arial" w:cs="Arial" w:eastAsia="Arial" w:hAnsi="Arial"/>
          <w:sz w:val="15"/>
          <w:szCs w:val="15"/>
          <w:color w:val="auto"/>
        </w:rPr>
        <w:t>The guidance on accounting for uncertainties in income taxes prescribes a more likely than not threshold for financial statement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2017, 2018 and 2019. As of December 31, 2018 and 2019, the Group did not have any significant unrecognized uncertain tax positions.</w:t>
      </w:r>
    </w:p>
    <w:p>
      <w:pPr>
        <w:spacing w:after="0" w:line="10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(ae)</w:t>
      </w:r>
      <w:r>
        <w:rPr>
          <w:sz w:val="20"/>
          <w:szCs w:val="20"/>
          <w:color w:val="auto"/>
        </w:rPr>
        <w:tab/>
      </w:r>
      <w:r>
        <w:rPr>
          <w:rFonts w:ascii="Arial" w:cs="Arial" w:eastAsia="Arial" w:hAnsi="Arial"/>
          <w:sz w:val="17"/>
          <w:szCs w:val="17"/>
          <w:b w:val="1"/>
          <w:bCs w:val="1"/>
          <w:color w:val="auto"/>
        </w:rPr>
        <w:t>Share-based compensation</w:t>
      </w:r>
    </w:p>
    <w:p>
      <w:pPr>
        <w:spacing w:after="0" w:line="175" w:lineRule="exact"/>
        <w:rPr>
          <w:sz w:val="20"/>
          <w:szCs w:val="20"/>
          <w:color w:val="auto"/>
        </w:rPr>
      </w:pPr>
    </w:p>
    <w:p>
      <w:pPr>
        <w:jc w:val="both"/>
        <w:ind w:left="840"/>
        <w:spacing w:after="0" w:line="231" w:lineRule="auto"/>
        <w:rPr>
          <w:sz w:val="20"/>
          <w:szCs w:val="20"/>
          <w:color w:val="auto"/>
        </w:rPr>
      </w:pPr>
      <w:r>
        <w:rPr>
          <w:rFonts w:ascii="Arial" w:cs="Arial" w:eastAsia="Arial" w:hAnsi="Arial"/>
          <w:sz w:val="16"/>
          <w:szCs w:val="16"/>
          <w:color w:val="auto"/>
        </w:rPr>
        <w:t>The Company grants stock-based awards, including share options, restricted share units and warrants of the Company, to eligible employees, officers, directors, and non-employee consultants. The Company accounts for share-based awards granted to employees in accordance with ASC 718, "Compensation - Stock Compensation" and share-based awards granted to non-employees in accordance with ASC subtopic, 505-50 (“ASC 505-50”), “Equity-Based Payments to Non-Employees”. ASC 505. On January 1, 2019, the Group adopted ASU 2018-07, Compensation—Stock Compensation (Topic 718): Improvement to Nonemployee Share-based Payment Accounting to amend the accounting for share-based payment awards issued to non-employees. Under ASU 2018-07, the accounting for awards to non-employees are similar to the model for employee awards.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40" w:hanging="836"/>
        <w:spacing w:after="0"/>
        <w:tabs>
          <w:tab w:leader="none" w:pos="84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(ae)</w:t>
      </w:r>
      <w:r>
        <w:rPr>
          <w:sz w:val="20"/>
          <w:szCs w:val="20"/>
          <w:color w:val="auto"/>
        </w:rPr>
        <w:tab/>
      </w:r>
      <w:r>
        <w:rPr>
          <w:rFonts w:ascii="Arial" w:cs="Arial" w:eastAsia="Arial" w:hAnsi="Arial"/>
          <w:sz w:val="17"/>
          <w:szCs w:val="17"/>
          <w:b w:val="1"/>
          <w:bCs w:val="1"/>
          <w:color w:val="auto"/>
        </w:rPr>
        <w:t>Share-based compensation (Continued)</w:t>
      </w:r>
    </w:p>
    <w:p>
      <w:pPr>
        <w:spacing w:after="0" w:line="149" w:lineRule="exact"/>
        <w:rPr>
          <w:sz w:val="20"/>
          <w:szCs w:val="20"/>
          <w:color w:val="auto"/>
        </w:rPr>
      </w:pPr>
    </w:p>
    <w:p>
      <w:pPr>
        <w:ind w:left="840"/>
        <w:spacing w:after="0"/>
        <w:rPr>
          <w:sz w:val="20"/>
          <w:szCs w:val="20"/>
          <w:color w:val="auto"/>
        </w:rPr>
      </w:pPr>
      <w:r>
        <w:rPr>
          <w:rFonts w:ascii="Arial" w:cs="Arial" w:eastAsia="Arial" w:hAnsi="Arial"/>
          <w:sz w:val="17"/>
          <w:szCs w:val="17"/>
          <w:i w:val="1"/>
          <w:iCs w:val="1"/>
          <w:color w:val="auto"/>
        </w:rPr>
        <w:t>Option and RSUs granted to employees</w:t>
      </w:r>
    </w:p>
    <w:p>
      <w:pPr>
        <w:spacing w:after="0" w:line="169" w:lineRule="exact"/>
        <w:rPr>
          <w:sz w:val="20"/>
          <w:szCs w:val="20"/>
          <w:color w:val="auto"/>
        </w:rPr>
      </w:pPr>
    </w:p>
    <w:p>
      <w:pPr>
        <w:jc w:val="both"/>
        <w:ind w:left="840"/>
        <w:spacing w:after="0" w:line="279" w:lineRule="auto"/>
        <w:rPr>
          <w:sz w:val="20"/>
          <w:szCs w:val="20"/>
          <w:color w:val="auto"/>
        </w:rPr>
      </w:pPr>
      <w:r>
        <w:rPr>
          <w:rFonts w:ascii="Arial" w:cs="Arial" w:eastAsia="Arial" w:hAnsi="Arial"/>
          <w:sz w:val="16"/>
          <w:szCs w:val="16"/>
          <w:color w:val="auto"/>
        </w:rPr>
        <w:t>Under the fair value recognition provisions of ASC 718-10, share-based compensation costs are measured at the grant date. The share-based compensation expenses have been categorized as either general and administrative expenses, sales and marketing expenses or research and development expenses, depending on the job functions of the grantees. For the options and RSUs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 The fair value of RSUs is determined with reference to the fair value of the underlying shares.</w:t>
      </w:r>
    </w:p>
    <w:p>
      <w:pPr>
        <w:spacing w:after="0" w:line="129" w:lineRule="exact"/>
        <w:rPr>
          <w:sz w:val="20"/>
          <w:szCs w:val="20"/>
          <w:color w:val="auto"/>
        </w:rPr>
      </w:pPr>
    </w:p>
    <w:p>
      <w:pPr>
        <w:ind w:left="840"/>
        <w:spacing w:after="0"/>
        <w:rPr>
          <w:sz w:val="20"/>
          <w:szCs w:val="20"/>
          <w:color w:val="auto"/>
        </w:rPr>
      </w:pPr>
      <w:r>
        <w:rPr>
          <w:rFonts w:ascii="Arial" w:cs="Arial" w:eastAsia="Arial" w:hAnsi="Arial"/>
          <w:sz w:val="17"/>
          <w:szCs w:val="17"/>
          <w:i w:val="1"/>
          <w:iCs w:val="1"/>
          <w:color w:val="auto"/>
        </w:rPr>
        <w:t>Option modification</w:t>
      </w:r>
    </w:p>
    <w:p>
      <w:pPr>
        <w:spacing w:after="0" w:line="182" w:lineRule="exact"/>
        <w:rPr>
          <w:sz w:val="20"/>
          <w:szCs w:val="20"/>
          <w:color w:val="auto"/>
        </w:rPr>
      </w:pPr>
    </w:p>
    <w:p>
      <w:pPr>
        <w:jc w:val="both"/>
        <w:ind w:left="840"/>
        <w:spacing w:after="0" w:line="283"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Group calculates incremental compensation cost of a modification as the excess of the fair value of the modified option over the fair value of the original option immediately before its terms are modified. For vested options, the Group would recognize incremental compensation costs on the date of modification and for unvested options, the Group would recognize, prospectively and over the remaining requisite service period, the sum of the incremental compensation costs and the remaining unrecognized compensation costs for the original award.</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7"/>
          <w:szCs w:val="17"/>
          <w:i w:val="1"/>
          <w:iCs w:val="1"/>
          <w:color w:val="auto"/>
        </w:rPr>
        <w:t>Option, RSUs and warrants granted to non-employees</w:t>
      </w:r>
    </w:p>
    <w:p>
      <w:pPr>
        <w:spacing w:after="0" w:line="169" w:lineRule="exact"/>
        <w:rPr>
          <w:sz w:val="20"/>
          <w:szCs w:val="20"/>
          <w:color w:val="auto"/>
        </w:rPr>
      </w:pPr>
    </w:p>
    <w:p>
      <w:pPr>
        <w:jc w:val="both"/>
        <w:ind w:left="840"/>
        <w:spacing w:after="0" w:line="228" w:lineRule="auto"/>
        <w:rPr>
          <w:sz w:val="20"/>
          <w:szCs w:val="20"/>
          <w:color w:val="auto"/>
        </w:rPr>
      </w:pPr>
      <w:r>
        <w:rPr>
          <w:rFonts w:ascii="Arial" w:cs="Arial" w:eastAsia="Arial" w:hAnsi="Arial"/>
          <w:sz w:val="16"/>
          <w:szCs w:val="16"/>
          <w:color w:val="auto"/>
        </w:rPr>
        <w:t>Effective January 1, 2019, the Company adopted ASU No. 2018-07, Compensation—Stock Compensation (Topic 718): Improvements to Nonemployee Share-Based Payment Accounting (“ASU 2018-07”), which expands the scope of Topic 718 to include share-based payment awards to nonemployees. As a result, stock-based awards granted to consultants and non-employees are accounted for in the same manner as awards granted to employees as described above. The impact of adoption of this new guidance did not have a material impact on the Group’s consolidated financial statements. Prior to the adoption of ASU 2018-07, for share-based awards granted to non-employees, the Company accounted for the related share-based compensation expenses in accordance with ASC subtopic, 505-50 (“ASC 505-50”), “Equity-Based Payments to Non-Employees”. Under the provision of ASC 505-50, these options, RSUs and warrants are measured as of the earlier of the date at which either: (1) commitment for performance by the non-employee has been reached; or (2) the non-employee’s performance is complete.</w:t>
      </w:r>
    </w:p>
    <w:p>
      <w:pPr>
        <w:spacing w:after="0" w:line="137"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Options and warrants of the Company issued to non-employees are measured based on fair value of the options and warrants which are determined by using the binomial option pricing model and RSUs of the Company issued to non-employees are measured based on fair value of the RSUs which are determined with reference to the fair value of the underlying shares.</w:t>
      </w:r>
    </w:p>
    <w:p>
      <w:pPr>
        <w:spacing w:after="0" w:line="11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(af)</w:t>
      </w:r>
      <w:r>
        <w:rPr>
          <w:sz w:val="20"/>
          <w:szCs w:val="20"/>
          <w:color w:val="auto"/>
        </w:rPr>
        <w:tab/>
      </w:r>
      <w:r>
        <w:rPr>
          <w:rFonts w:ascii="Arial" w:cs="Arial" w:eastAsia="Arial" w:hAnsi="Arial"/>
          <w:sz w:val="17"/>
          <w:szCs w:val="17"/>
          <w:b w:val="1"/>
          <w:bCs w:val="1"/>
          <w:color w:val="auto"/>
        </w:rPr>
        <w:t>Government subsidies</w:t>
      </w:r>
    </w:p>
    <w:p>
      <w:pPr>
        <w:spacing w:after="0" w:line="149" w:lineRule="exact"/>
        <w:rPr>
          <w:sz w:val="20"/>
          <w:szCs w:val="20"/>
          <w:color w:val="auto"/>
        </w:rPr>
      </w:pPr>
    </w:p>
    <w:p>
      <w:pPr>
        <w:jc w:val="both"/>
        <w:ind w:left="820"/>
        <w:spacing w:after="0" w:line="239" w:lineRule="auto"/>
        <w:rPr>
          <w:sz w:val="20"/>
          <w:szCs w:val="20"/>
          <w:color w:val="auto"/>
        </w:rPr>
      </w:pPr>
      <w:r>
        <w:rPr>
          <w:rFonts w:ascii="Arial" w:cs="Arial" w:eastAsia="Arial" w:hAnsi="Arial"/>
          <w:sz w:val="17"/>
          <w:szCs w:val="17"/>
          <w:color w:val="auto"/>
        </w:rPr>
        <w:t>The Group receives subsidies from the local PRC government for general use. General-use subsidies which are not subject to any conditions or specific use requirements are recorded as subsidy income in the consolidated statements of comprehensive loss.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40" w:hanging="836"/>
        <w:spacing w:after="0"/>
        <w:tabs>
          <w:tab w:leader="none" w:pos="840"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5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(ag)</w:t>
      </w:r>
      <w:r>
        <w:rPr>
          <w:sz w:val="20"/>
          <w:szCs w:val="20"/>
          <w:color w:val="auto"/>
        </w:rPr>
        <w:tab/>
      </w:r>
      <w:r>
        <w:rPr>
          <w:rFonts w:ascii="Arial" w:cs="Arial" w:eastAsia="Arial" w:hAnsi="Arial"/>
          <w:sz w:val="17"/>
          <w:szCs w:val="17"/>
          <w:b w:val="1"/>
          <w:bCs w:val="1"/>
          <w:color w:val="auto"/>
        </w:rPr>
        <w:t>Statutory reserves</w:t>
      </w:r>
    </w:p>
    <w:p>
      <w:pPr>
        <w:spacing w:after="0" w:line="188"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The Company’s subsidiaries, a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47"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34" w:lineRule="exact"/>
        <w:rPr>
          <w:sz w:val="20"/>
          <w:szCs w:val="20"/>
          <w:color w:val="auto"/>
        </w:rPr>
      </w:pPr>
    </w:p>
    <w:p>
      <w:pPr>
        <w:jc w:val="both"/>
        <w:ind w:left="840"/>
        <w:spacing w:after="0" w:line="319"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9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There are no legal requirements in the PRC to fund these reserves by transfer of cash to restricted accounts, and the Group was not done so.</w:t>
      </w:r>
    </w:p>
    <w:p>
      <w:pPr>
        <w:spacing w:after="0" w:line="206"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28"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(ah)</w:t>
      </w:r>
      <w:r>
        <w:rPr>
          <w:sz w:val="20"/>
          <w:szCs w:val="20"/>
          <w:color w:val="auto"/>
        </w:rPr>
        <w:tab/>
      </w:r>
      <w:r>
        <w:rPr>
          <w:rFonts w:ascii="Arial" w:cs="Arial" w:eastAsia="Arial" w:hAnsi="Arial"/>
          <w:sz w:val="17"/>
          <w:szCs w:val="17"/>
          <w:b w:val="1"/>
          <w:bCs w:val="1"/>
          <w:color w:val="auto"/>
        </w:rPr>
        <w:t>Related parties</w:t>
      </w:r>
    </w:p>
    <w:p>
      <w:pPr>
        <w:spacing w:after="0" w:line="188"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(ai)</w:t>
      </w:r>
      <w:r>
        <w:rPr>
          <w:sz w:val="20"/>
          <w:szCs w:val="20"/>
          <w:color w:val="auto"/>
        </w:rPr>
        <w:tab/>
      </w:r>
      <w:r>
        <w:rPr>
          <w:rFonts w:ascii="Arial" w:cs="Arial" w:eastAsia="Arial" w:hAnsi="Arial"/>
          <w:sz w:val="17"/>
          <w:szCs w:val="17"/>
          <w:b w:val="1"/>
          <w:bCs w:val="1"/>
          <w:color w:val="auto"/>
        </w:rPr>
        <w:t>Dividends</w:t>
      </w:r>
    </w:p>
    <w:p>
      <w:pPr>
        <w:spacing w:after="0" w:line="188"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Dividends are recognized when declared. No dividends were declared for the years ended December 31, 2017, 2018 and 2019, respectively. The Group does not have any present plan to pay any dividends on ordinary shares in the foreseeable future. The Group currently intends to retain the available funds and any future earnings to operate and expand its business.</w:t>
      </w:r>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(aj)</w:t>
      </w:r>
      <w:r>
        <w:rPr>
          <w:sz w:val="20"/>
          <w:szCs w:val="20"/>
          <w:color w:val="auto"/>
        </w:rPr>
        <w:tab/>
      </w:r>
      <w:r>
        <w:rPr>
          <w:rFonts w:ascii="Arial" w:cs="Arial" w:eastAsia="Arial" w:hAnsi="Arial"/>
          <w:sz w:val="17"/>
          <w:szCs w:val="17"/>
          <w:b w:val="1"/>
          <w:bCs w:val="1"/>
          <w:color w:val="auto"/>
        </w:rPr>
        <w:t>Loss per share</w:t>
      </w:r>
    </w:p>
    <w:p>
      <w:pPr>
        <w:spacing w:after="0" w:line="188" w:lineRule="exact"/>
        <w:rPr>
          <w:sz w:val="20"/>
          <w:szCs w:val="20"/>
          <w:color w:val="auto"/>
        </w:rPr>
      </w:pPr>
    </w:p>
    <w:p>
      <w:pPr>
        <w:jc w:val="both"/>
        <w:ind w:left="840"/>
        <w:spacing w:after="0" w:line="311" w:lineRule="auto"/>
        <w:rPr>
          <w:sz w:val="20"/>
          <w:szCs w:val="20"/>
          <w:color w:val="auto"/>
        </w:rPr>
      </w:pPr>
      <w:r>
        <w:rPr>
          <w:rFonts w:ascii="Arial" w:cs="Arial" w:eastAsia="Arial" w:hAnsi="Arial"/>
          <w:sz w:val="15"/>
          <w:szCs w:val="15"/>
          <w:color w:val="auto"/>
        </w:rPr>
        <w:t>Basic loss per share is computed by dividing net loss attributable to holders of ordinary shares by the weighted average number of ordinary shares outstanding during the year using the two class method. The Group uses the two-class method to calculate net loss per share though both classes share the same rights in dividends. Therefore, basic and diluted loss per share are the same for both classes of ordinary shares. Using the two class method, net loss is allocated between ordinary shares and other participating securities (i.e. preferred shares) based on their participating rights.</w:t>
      </w:r>
    </w:p>
    <w:p>
      <w:pPr>
        <w:spacing w:after="0" w:line="108" w:lineRule="exact"/>
        <w:rPr>
          <w:sz w:val="20"/>
          <w:szCs w:val="20"/>
          <w:color w:val="auto"/>
        </w:rPr>
      </w:pPr>
    </w:p>
    <w:p>
      <w:pPr>
        <w:jc w:val="both"/>
        <w:ind w:left="840"/>
        <w:spacing w:after="0" w:line="263" w:lineRule="auto"/>
        <w:rPr>
          <w:sz w:val="20"/>
          <w:szCs w:val="20"/>
          <w:color w:val="auto"/>
        </w:rPr>
      </w:pPr>
      <w:r>
        <w:rPr>
          <w:rFonts w:ascii="Arial" w:cs="Arial" w:eastAsia="Arial" w:hAnsi="Arial"/>
          <w:sz w:val="17"/>
          <w:szCs w:val="17"/>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notes and ordinary shares issuable upon the conversion of the stock options and warrants and vesting of RSUs, using the treasury stock method.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40" w:hanging="836"/>
        <w:spacing w:after="0"/>
        <w:tabs>
          <w:tab w:leader="none" w:pos="840"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3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(ak)</w:t>
      </w:r>
      <w:r>
        <w:rPr>
          <w:sz w:val="20"/>
          <w:szCs w:val="20"/>
          <w:color w:val="auto"/>
        </w:rPr>
        <w:tab/>
      </w:r>
      <w:r>
        <w:rPr>
          <w:rFonts w:ascii="Arial" w:cs="Arial" w:eastAsia="Arial" w:hAnsi="Arial"/>
          <w:sz w:val="17"/>
          <w:szCs w:val="17"/>
          <w:b w:val="1"/>
          <w:bCs w:val="1"/>
          <w:color w:val="auto"/>
        </w:rPr>
        <w:t>Comprehensive loss</w:t>
      </w:r>
    </w:p>
    <w:p>
      <w:pPr>
        <w:spacing w:after="0" w:line="162"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Comprehensive loss is defined as the change in shareholders’ deficit of the Group during a period arising from transactions and other events and circumstances excluding transactions resulting from investments by shareholders and distributions to shareholders.</w:t>
      </w:r>
    </w:p>
    <w:p>
      <w:pPr>
        <w:spacing w:after="0" w:line="81"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Comprehensive loss is reported in the consolidated statements of comprehensive loss. Accumulated other comprehensive losses of the Group include the foreign currency translation adjustments.</w:t>
      </w:r>
    </w:p>
    <w:p>
      <w:pPr>
        <w:spacing w:after="0" w:line="12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(al)</w:t>
      </w:r>
      <w:r>
        <w:rPr>
          <w:sz w:val="20"/>
          <w:szCs w:val="20"/>
          <w:color w:val="auto"/>
        </w:rPr>
        <w:tab/>
      </w:r>
      <w:r>
        <w:rPr>
          <w:rFonts w:ascii="Arial" w:cs="Arial" w:eastAsia="Arial" w:hAnsi="Arial"/>
          <w:sz w:val="17"/>
          <w:szCs w:val="17"/>
          <w:b w:val="1"/>
          <w:bCs w:val="1"/>
          <w:color w:val="auto"/>
        </w:rPr>
        <w:t>Segment reporting</w:t>
      </w:r>
    </w:p>
    <w:p>
      <w:pPr>
        <w:spacing w:after="0" w:line="175" w:lineRule="exact"/>
        <w:rPr>
          <w:sz w:val="20"/>
          <w:szCs w:val="20"/>
          <w:color w:val="auto"/>
        </w:rPr>
      </w:pPr>
    </w:p>
    <w:p>
      <w:pPr>
        <w:jc w:val="both"/>
        <w:ind w:left="840"/>
        <w:spacing w:after="0" w:line="228"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CODM is comprised of certain members of the Company's management team.</w:t>
      </w:r>
    </w:p>
    <w:p>
      <w:pPr>
        <w:spacing w:after="0" w:line="119" w:lineRule="exact"/>
        <w:rPr>
          <w:sz w:val="20"/>
          <w:szCs w:val="20"/>
          <w:color w:val="auto"/>
        </w:rPr>
      </w:pPr>
    </w:p>
    <w:p>
      <w:pPr>
        <w:jc w:val="both"/>
        <w:ind w:left="840"/>
        <w:spacing w:after="0" w:line="244" w:lineRule="auto"/>
        <w:rPr>
          <w:sz w:val="20"/>
          <w:szCs w:val="20"/>
          <w:color w:val="auto"/>
        </w:rPr>
      </w:pPr>
      <w:r>
        <w:rPr>
          <w:rFonts w:ascii="Arial" w:cs="Arial" w:eastAsia="Arial" w:hAnsi="Arial"/>
          <w:sz w:val="16"/>
          <w:szCs w:val="16"/>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pacing w:after="0" w:line="115" w:lineRule="exact"/>
        <w:rPr>
          <w:sz w:val="20"/>
          <w:szCs w:val="20"/>
          <w:color w:val="auto"/>
        </w:rPr>
      </w:pPr>
    </w:p>
    <w:p>
      <w:pPr>
        <w:jc w:val="both"/>
        <w:ind w:left="840"/>
        <w:spacing w:after="0" w:line="223" w:lineRule="auto"/>
        <w:rPr>
          <w:sz w:val="20"/>
          <w:szCs w:val="20"/>
          <w:color w:val="auto"/>
        </w:rPr>
      </w:pPr>
      <w:r>
        <w:rPr>
          <w:rFonts w:ascii="Arial" w:cs="Arial" w:eastAsia="Arial" w:hAnsi="Arial"/>
          <w:sz w:val="17"/>
          <w:szCs w:val="17"/>
          <w:color w:val="auto"/>
        </w:rPr>
        <w:t>Effective in the first quarter of 2019, the Group changed its segment disclosure to separately report the financial results of its Enterprise Solutions business in light of the acquisition of Changyi on January 1, 2019. This segment primarily reflects the results of the Group’s SaaS products offering, which is conducted through Changyi Group, a group of companies acquired on January 1, 2019 (Note 4(b)). At the same time, the Group named its pre-existing online marketing service business as Marketing Solution business.</w:t>
      </w:r>
    </w:p>
    <w:p>
      <w:pPr>
        <w:spacing w:after="0" w:line="132" w:lineRule="exact"/>
        <w:rPr>
          <w:sz w:val="20"/>
          <w:szCs w:val="20"/>
          <w:color w:val="auto"/>
        </w:rPr>
      </w:pPr>
    </w:p>
    <w:p>
      <w:pPr>
        <w:jc w:val="both"/>
        <w:ind w:left="840"/>
        <w:spacing w:after="0" w:line="220" w:lineRule="auto"/>
        <w:rPr>
          <w:sz w:val="20"/>
          <w:szCs w:val="20"/>
          <w:color w:val="auto"/>
        </w:rPr>
      </w:pPr>
      <w:r>
        <w:rPr>
          <w:rFonts w:ascii="Arial" w:cs="Arial" w:eastAsia="Arial" w:hAnsi="Arial"/>
          <w:sz w:val="17"/>
          <w:szCs w:val="17"/>
          <w:color w:val="auto"/>
        </w:rPr>
        <w:t>Therefore, the Group now reports two operating segments: 1) Marketing Solutions, and 2) Enterprise Solutions.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comprehensive loss or consolidated statements of cash flows. The Group retrospectively revised prior period segment information, to conform to current period presentation.</w:t>
      </w:r>
    </w:p>
    <w:p>
      <w:pPr>
        <w:spacing w:after="0" w:line="16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(am)</w:t>
      </w:r>
      <w:r>
        <w:rPr>
          <w:sz w:val="20"/>
          <w:szCs w:val="20"/>
          <w:color w:val="auto"/>
        </w:rPr>
        <w:tab/>
      </w:r>
      <w:r>
        <w:rPr>
          <w:rFonts w:ascii="Arial" w:cs="Arial" w:eastAsia="Arial" w:hAnsi="Arial"/>
          <w:sz w:val="17"/>
          <w:szCs w:val="17"/>
          <w:b w:val="1"/>
          <w:bCs w:val="1"/>
          <w:color w:val="auto"/>
        </w:rPr>
        <w:t>Recently issued accounting pronouncements</w:t>
      </w:r>
    </w:p>
    <w:p>
      <w:pPr>
        <w:spacing w:after="0" w:line="136" w:lineRule="exact"/>
        <w:rPr>
          <w:sz w:val="20"/>
          <w:szCs w:val="20"/>
          <w:color w:val="auto"/>
        </w:rPr>
      </w:pPr>
    </w:p>
    <w:p>
      <w:pPr>
        <w:jc w:val="both"/>
        <w:ind w:left="840"/>
        <w:spacing w:after="0" w:line="224" w:lineRule="auto"/>
        <w:rPr>
          <w:sz w:val="20"/>
          <w:szCs w:val="20"/>
          <w:color w:val="auto"/>
        </w:rPr>
      </w:pPr>
      <w:r>
        <w:rPr>
          <w:rFonts w:ascii="Arial" w:cs="Arial" w:eastAsia="Arial" w:hAnsi="Arial"/>
          <w:sz w:val="16"/>
          <w:szCs w:val="16"/>
          <w:color w:val="auto"/>
        </w:rPr>
        <w:t>In June 2016, the FASB issued ASU 2016-13, Financial Instruments-Credit Losses, which changes the impairment model for most financial assets and certain other instruments. For trade and other receivables, held-to-maturity debt securities, loans and other instruments, entities will be required to use a new forward-looking “expected loss” model that will replace today’s “incurred loss” model and generally will result in the earlier recognition of allowances for losses. For available-for-sale debt securities with unrealized losses, entities will measure credit losses in a manner similar to current practice, except that the losses will be recognized as an allowance. Subsequent to issuing ASU 2016-13, the FASB issued ASU 2018-19, Codification Improvements to Topic 326, Financial Instruments—Credit Losses, for the purpose of clarifying certain aspects of ASU 2016-13. In April 2019, the FASB issued ASU 2019-04, Codification Improvements to Topic 326, Financial Instruments – Credit Losses, Topic 815, Derivatives and Hedging, and Topic 825, Financial Instruments. In May 2019, the FASB issued ASU 2019-05, Financial Instruments – Credit Losses (Topic 326): Targeted Transition Relief, or ASU 2019-05, to provide entities with more flexibility in applying the fair value option on adoption of the credit impairment standard. In November 2019, the FASB issued ASU 2019-11, Codification Improvements to Topic 326, Financial Instruments – Credit Losses, which expands the scope of the practical expedient that allows entities to exclude the accrued interest component of amortized cost from various disclosure. Entities that elect to apply the practical expedient must disclose the total amount of accrued interest that they exclude from their disclosures of amortized cost. ASU 2018-19, ASU 2019-04, ASU 2019-05 and ASU 2019-11 have the same effective date and transition requirements as ASU 2016-13. Early adoption is permitted starting in the first quarter of fiscal 2020. The Group estimated that the adoption of ASC 326 would result in a net adjustment of approximately US $4 million to the opening balance of accumulated losses with a corresponding credit loss provision over accounts receivable being recognized in the consolidated balance sheet as of January 1, 2020. Other than disclosed, the Group does not expect the new standard to have a material impact on the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40" w:hanging="836"/>
        <w:spacing w:after="0"/>
        <w:tabs>
          <w:tab w:leader="none" w:pos="84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(am)</w:t>
      </w:r>
      <w:r>
        <w:rPr>
          <w:sz w:val="20"/>
          <w:szCs w:val="20"/>
          <w:color w:val="auto"/>
        </w:rPr>
        <w:tab/>
      </w:r>
      <w:r>
        <w:rPr>
          <w:rFonts w:ascii="Arial" w:cs="Arial" w:eastAsia="Arial" w:hAnsi="Arial"/>
          <w:sz w:val="17"/>
          <w:szCs w:val="17"/>
          <w:b w:val="1"/>
          <w:bCs w:val="1"/>
          <w:color w:val="auto"/>
        </w:rPr>
        <w:t>Recently issued accounting pronouncements (Continued)</w:t>
      </w:r>
    </w:p>
    <w:p>
      <w:pPr>
        <w:spacing w:after="0" w:line="162" w:lineRule="exact"/>
        <w:rPr>
          <w:sz w:val="20"/>
          <w:szCs w:val="20"/>
          <w:color w:val="auto"/>
        </w:rPr>
      </w:pPr>
    </w:p>
    <w:p>
      <w:pPr>
        <w:jc w:val="both"/>
        <w:ind w:left="840"/>
        <w:spacing w:after="0" w:line="278"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does not expect adoption of this ASU to be material to its consolidated financial statements on known trends, demands, uncertainties and events in its business. The Group plans to adopt ASU 2017-04 on January 1, 2020 and does not expect that the adoption of this ASU to have a material impact on the consolidated financial statements.</w:t>
      </w:r>
    </w:p>
    <w:p>
      <w:pPr>
        <w:spacing w:after="0" w:line="84" w:lineRule="exact"/>
        <w:rPr>
          <w:sz w:val="20"/>
          <w:szCs w:val="20"/>
          <w:color w:val="auto"/>
        </w:rPr>
      </w:pPr>
    </w:p>
    <w:p>
      <w:pPr>
        <w:jc w:val="both"/>
        <w:ind w:left="840"/>
        <w:spacing w:after="0" w:line="247" w:lineRule="auto"/>
        <w:rPr>
          <w:sz w:val="20"/>
          <w:szCs w:val="20"/>
          <w:color w:val="auto"/>
        </w:rPr>
      </w:pPr>
      <w:r>
        <w:rPr>
          <w:rFonts w:ascii="Arial" w:cs="Arial" w:eastAsia="Arial" w:hAnsi="Arial"/>
          <w:sz w:val="15"/>
          <w:szCs w:val="15"/>
          <w:color w:val="auto"/>
        </w:rPr>
        <w:t>In November 2019, the FASB issued ASU 2019-08, Compensation ‒ Stock Compensation (Topic 718) and Revenue from Contracts with Customers (Topic 606), which requires entities to measure and classify share based payments to a customer, in accordance with the guidance in ASC 718, Compensation ‒ Stock Compensation. The amendments in that ASU expanded the scope of Topic 718 to include share-based payment transactions for acquiring goods and services from nonemployees and, in doing so, superseded guidance in Subtopic 505-50, Equity ‒ Equity-Based Payments to Non-Employees. The amount that would be recorded as a reduction in revenue would be measured based on the grant date fair value of the share based payment, in accordance with Topic 718. The grant date is the date at which a supplier and customer reach a mutual understanding of the award’s key terms and conditions. The award’s classification and subsequent measurement would be subject to ASC 718 unless the award is modified or the grantee is no longer a customer. The amendments in this ASU are effective for public business entities in fiscal years beginning after December 15, 2019, and interim periods within those fiscal years. Early adoption is permitted, but not before it adopts the amendments in ASU 2018-07. The Group does not expect that the adoption of this ASU to have a material impact on the consolidated financial statements.</w:t>
      </w:r>
    </w:p>
    <w:p>
      <w:pPr>
        <w:spacing w:after="0" w:line="131" w:lineRule="exact"/>
        <w:rPr>
          <w:sz w:val="20"/>
          <w:szCs w:val="20"/>
          <w:color w:val="auto"/>
        </w:rPr>
      </w:pPr>
    </w:p>
    <w:p>
      <w:pPr>
        <w:jc w:val="both"/>
        <w:ind w:left="840"/>
        <w:spacing w:after="0" w:line="230" w:lineRule="auto"/>
        <w:rPr>
          <w:sz w:val="20"/>
          <w:szCs w:val="20"/>
          <w:color w:val="auto"/>
        </w:rPr>
      </w:pPr>
      <w:r>
        <w:rPr>
          <w:rFonts w:ascii="Arial" w:cs="Arial" w:eastAsia="Arial" w:hAnsi="Arial"/>
          <w:sz w:val="17"/>
          <w:szCs w:val="17"/>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Under the 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Group does not expect that the adoption of this ASU to have a material impact on the consolidated financial statements.</w:t>
      </w:r>
    </w:p>
    <w:p>
      <w:pPr>
        <w:spacing w:after="0" w:line="146" w:lineRule="exact"/>
        <w:rPr>
          <w:sz w:val="20"/>
          <w:szCs w:val="20"/>
          <w:color w:val="auto"/>
        </w:rPr>
      </w:pPr>
    </w:p>
    <w:p>
      <w:pPr>
        <w:jc w:val="both"/>
        <w:ind w:left="840"/>
        <w:spacing w:after="0" w:line="231"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update. The update is effective for public business entities for interim and annual periods beginning after December 15, 2019. The Group does not expect that the adoption of this ASU to have a material impact on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40" w:hanging="836"/>
        <w:spacing w:after="0"/>
        <w:tabs>
          <w:tab w:leader="none" w:pos="840"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(am)</w:t>
      </w:r>
      <w:r>
        <w:rPr>
          <w:sz w:val="20"/>
          <w:szCs w:val="20"/>
          <w:color w:val="auto"/>
        </w:rPr>
        <w:tab/>
      </w:r>
      <w:r>
        <w:rPr>
          <w:rFonts w:ascii="Arial" w:cs="Arial" w:eastAsia="Arial" w:hAnsi="Arial"/>
          <w:sz w:val="17"/>
          <w:szCs w:val="17"/>
          <w:b w:val="1"/>
          <w:bCs w:val="1"/>
          <w:color w:val="auto"/>
        </w:rPr>
        <w:t>Recently issued accounting pronouncements (Continued)</w:t>
      </w:r>
    </w:p>
    <w:p>
      <w:pPr>
        <w:spacing w:after="0" w:line="188" w:lineRule="exact"/>
        <w:rPr>
          <w:sz w:val="20"/>
          <w:szCs w:val="20"/>
          <w:color w:val="auto"/>
        </w:rPr>
      </w:pPr>
    </w:p>
    <w:p>
      <w:pPr>
        <w:jc w:val="both"/>
        <w:ind w:left="840"/>
        <w:spacing w:after="0" w:line="228" w:lineRule="auto"/>
        <w:rPr>
          <w:sz w:val="20"/>
          <w:szCs w:val="20"/>
          <w:color w:val="auto"/>
        </w:rPr>
      </w:pPr>
      <w:r>
        <w:rPr>
          <w:rFonts w:ascii="Arial" w:cs="Arial" w:eastAsia="Arial" w:hAnsi="Arial"/>
          <w:sz w:val="17"/>
          <w:szCs w:val="17"/>
          <w:color w:val="auto"/>
        </w:rPr>
        <w:t>In October 2018, the FASB issued ASU 2018-17, "Consolidation (Topic 810): Targeted Improvements to Related Party Guidance for Variable Interest Entities," which provides guidance that indirect interests held through related parties under common control will be considered on a proportional basis when determining whether fees paid to decision makers and service providers are variable interests. These indirect interests were previously treated the same as direct interests. The consideration of indirect interests on a proportional basis is consistent with how indirect interests held through related parties under common control are treated when determining if a reporting entity within a related party group is the primary beneficiary of a VIE. The new guidance is effective retrospectively for the year ending December 31, 2020 and interim reporting periods during the year ending December 31, 2020 with a cumulative-effect adjustment to retained earnings at the beginning of the earliest period presented. Early adoption is permitted. The Group did not early adopt and is currently evaluating the impact of adopting this ASU on its consolidated financial statements.</w:t>
      </w:r>
    </w:p>
    <w:p>
      <w:pPr>
        <w:spacing w:after="0" w:line="150" w:lineRule="exact"/>
        <w:rPr>
          <w:sz w:val="20"/>
          <w:szCs w:val="20"/>
          <w:color w:val="auto"/>
        </w:rPr>
      </w:pPr>
    </w:p>
    <w:p>
      <w:pPr>
        <w:jc w:val="both"/>
        <w:ind w:left="840"/>
        <w:spacing w:after="0" w:line="249"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The amendments in this ASU simplify the accounting for income taxes by removing certain exceptions to the general principles in Topic 740. The amendments also improve consistent application of and simplify GAAP for other areas of Topic 740 by clarifying and amending existing guidance. The amendments are effective for public entities in fiscal years beginning after December 15, 2020, including interim periods within those fiscal years. Early adoption is permitted. The Group did not early adopt and is currently evaluating the impact of adopting this ASU on its consolidated financial statements.</w:t>
      </w:r>
    </w:p>
    <w:p>
      <w:pPr>
        <w:spacing w:after="0" w:line="138" w:lineRule="exact"/>
        <w:rPr>
          <w:sz w:val="20"/>
          <w:szCs w:val="20"/>
          <w:color w:val="auto"/>
        </w:rPr>
      </w:pPr>
    </w:p>
    <w:p>
      <w:pPr>
        <w:jc w:val="both"/>
        <w:ind w:left="840"/>
        <w:spacing w:after="0" w:line="230" w:lineRule="auto"/>
        <w:rPr>
          <w:sz w:val="20"/>
          <w:szCs w:val="20"/>
          <w:color w:val="auto"/>
        </w:rPr>
      </w:pPr>
      <w:r>
        <w:rPr>
          <w:rFonts w:ascii="Arial" w:cs="Arial" w:eastAsia="Arial" w:hAnsi="Arial"/>
          <w:sz w:val="17"/>
          <w:szCs w:val="17"/>
          <w:color w:val="auto"/>
        </w:rPr>
        <w:t>In January 2020, the FASB issued ASU No. 2020-01, “Investments—Equity Securities (Topic 321), Investments—Equity Method and Joint Ventures (Topic 323), and Derivatives and Hedging (Topic 815)”, that clarifies the interactions between Topic 321, Topic 323, and Topic 815. The amendments in this ASU affect the application of the measurement alternative for certain equity securities and the equity method of accounting, and guidance for certain forward contracts and purchased options to purchase securities, that, upon settlement or exercise, would be accounted for under the equity method of accounting. The ASU is effective for public entities in fiscal years beginning after December 15, 2021, including interim periods within those fiscal years. Early adoption is permitted. The Group did not early adopt and is currently evaluating the impact of adopting this ASU on its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hanging="836"/>
        <w:spacing w:after="0"/>
        <w:tabs>
          <w:tab w:leader="none" w:pos="836"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Certain risks and concentration</w:t>
      </w:r>
    </w:p>
    <w:p>
      <w:pPr>
        <w:spacing w:after="0" w:line="169" w:lineRule="exact"/>
        <w:rPr>
          <w:sz w:val="20"/>
          <w:szCs w:val="20"/>
          <w:color w:val="auto"/>
        </w:rPr>
      </w:pPr>
    </w:p>
    <w:p>
      <w:pPr>
        <w:ind w:left="836" w:hanging="836"/>
        <w:spacing w:after="0"/>
        <w:tabs>
          <w:tab w:leader="none" w:pos="836"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PRC regulations</w:t>
      </w:r>
    </w:p>
    <w:p>
      <w:pPr>
        <w:spacing w:after="0" w:line="187" w:lineRule="exact"/>
        <w:rPr>
          <w:rFonts w:ascii="Arial" w:cs="Arial" w:eastAsia="Arial" w:hAnsi="Arial"/>
          <w:sz w:val="17"/>
          <w:szCs w:val="17"/>
          <w:b w:val="1"/>
          <w:bCs w:val="1"/>
          <w:color w:val="auto"/>
        </w:rPr>
      </w:pPr>
    </w:p>
    <w:p>
      <w:pPr>
        <w:jc w:val="both"/>
        <w:ind w:left="836"/>
        <w:spacing w:after="0" w:line="274" w:lineRule="auto"/>
        <w:rPr>
          <w:rFonts w:ascii="Arial" w:cs="Arial" w:eastAsia="Arial" w:hAnsi="Arial"/>
          <w:sz w:val="17"/>
          <w:szCs w:val="17"/>
          <w:b w:val="1"/>
          <w:bCs w:val="1"/>
          <w:color w:val="auto"/>
        </w:rPr>
      </w:pPr>
      <w:r>
        <w:rPr>
          <w:rFonts w:ascii="Arial" w:cs="Arial" w:eastAsia="Arial" w:hAnsi="Arial"/>
          <w:sz w:val="16"/>
          <w:szCs w:val="16"/>
          <w:color w:val="auto"/>
        </w:rPr>
        <w:t>The Chinese market in which the Group operates poses certain macro-economic and regulatory risks and uncertainties. These uncertainties extend to the ability of the Group to engage in online marketing businesses through contractual arrangements in the PRC since the internet and marketing services industries remain regulated. The Group conducts certain of its operations in the PRC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Group,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Group’s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Group believes that the structure for operating its business in the PRC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Group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145" w:lineRule="exact"/>
        <w:rPr>
          <w:rFonts w:ascii="Arial" w:cs="Arial" w:eastAsia="Arial" w:hAnsi="Arial"/>
          <w:sz w:val="17"/>
          <w:szCs w:val="17"/>
          <w:b w:val="1"/>
          <w:bCs w:val="1"/>
          <w:color w:val="auto"/>
        </w:rPr>
      </w:pPr>
    </w:p>
    <w:p>
      <w:pPr>
        <w:ind w:left="1656" w:hanging="823"/>
        <w:spacing w:after="0"/>
        <w:tabs>
          <w:tab w:leader="none" w:pos="1656" w:val="left"/>
        </w:tabs>
        <w:numPr>
          <w:ilvl w:val="1"/>
          <w:numId w:val="165"/>
        </w:numPr>
        <w:rPr>
          <w:rFonts w:ascii="Arial" w:cs="Arial" w:eastAsia="Arial" w:hAnsi="Arial"/>
          <w:sz w:val="17"/>
          <w:szCs w:val="17"/>
          <w:color w:val="auto"/>
        </w:rPr>
      </w:pPr>
      <w:r>
        <w:rPr>
          <w:rFonts w:ascii="Arial" w:cs="Arial" w:eastAsia="Arial" w:hAnsi="Arial"/>
          <w:sz w:val="17"/>
          <w:szCs w:val="17"/>
          <w:color w:val="auto"/>
        </w:rPr>
        <w:t>revoking the business licenses of such entities;</w:t>
      </w:r>
    </w:p>
    <w:p>
      <w:pPr>
        <w:spacing w:after="0" w:line="181" w:lineRule="exact"/>
        <w:rPr>
          <w:rFonts w:ascii="Arial" w:cs="Arial" w:eastAsia="Arial" w:hAnsi="Arial"/>
          <w:sz w:val="17"/>
          <w:szCs w:val="17"/>
          <w:color w:val="auto"/>
        </w:rPr>
      </w:pPr>
    </w:p>
    <w:p>
      <w:pPr>
        <w:ind w:left="1656" w:hanging="823"/>
        <w:spacing w:after="0"/>
        <w:tabs>
          <w:tab w:leader="none" w:pos="1656" w:val="left"/>
        </w:tabs>
        <w:numPr>
          <w:ilvl w:val="1"/>
          <w:numId w:val="165"/>
        </w:numPr>
        <w:rPr>
          <w:rFonts w:ascii="Arial" w:cs="Arial" w:eastAsia="Arial" w:hAnsi="Arial"/>
          <w:sz w:val="17"/>
          <w:szCs w:val="17"/>
          <w:color w:val="auto"/>
        </w:rPr>
      </w:pPr>
      <w:r>
        <w:rPr>
          <w:rFonts w:ascii="Arial" w:cs="Arial" w:eastAsia="Arial" w:hAnsi="Arial"/>
          <w:sz w:val="17"/>
          <w:szCs w:val="17"/>
          <w:color w:val="auto"/>
        </w:rPr>
        <w:t>discontinuing or restricting the conduct of any transactions between the Company’s PRC subsidiaries and OptAim VIE;</w:t>
      </w:r>
    </w:p>
    <w:p>
      <w:pPr>
        <w:spacing w:after="0" w:line="181" w:lineRule="exact"/>
        <w:rPr>
          <w:rFonts w:ascii="Arial" w:cs="Arial" w:eastAsia="Arial" w:hAnsi="Arial"/>
          <w:sz w:val="17"/>
          <w:szCs w:val="17"/>
          <w:color w:val="auto"/>
        </w:rPr>
      </w:pPr>
    </w:p>
    <w:p>
      <w:pPr>
        <w:ind w:left="1656" w:hanging="823"/>
        <w:spacing w:after="0" w:line="286" w:lineRule="auto"/>
        <w:tabs>
          <w:tab w:leader="none" w:pos="1656" w:val="left"/>
        </w:tabs>
        <w:numPr>
          <w:ilvl w:val="1"/>
          <w:numId w:val="165"/>
        </w:numPr>
        <w:rPr>
          <w:rFonts w:ascii="Arial" w:cs="Arial" w:eastAsia="Arial" w:hAnsi="Arial"/>
          <w:sz w:val="17"/>
          <w:szCs w:val="17"/>
          <w:color w:val="auto"/>
        </w:rPr>
      </w:pPr>
      <w:r>
        <w:rPr>
          <w:rFonts w:ascii="Arial" w:cs="Arial" w:eastAsia="Arial" w:hAnsi="Arial"/>
          <w:sz w:val="17"/>
          <w:szCs w:val="17"/>
          <w:color w:val="auto"/>
        </w:rPr>
        <w:t>imposing fines, confiscating the income of the OptAim VIE or the Company’s PRC subsidiaries, or imposing other requirements with which the Company or its PRC subsidiaries and OptAim VIE may not be able to comply;</w:t>
      </w:r>
    </w:p>
    <w:p>
      <w:pPr>
        <w:spacing w:after="0" w:line="119" w:lineRule="exact"/>
        <w:rPr>
          <w:rFonts w:ascii="Arial" w:cs="Arial" w:eastAsia="Arial" w:hAnsi="Arial"/>
          <w:sz w:val="17"/>
          <w:szCs w:val="17"/>
          <w:color w:val="auto"/>
        </w:rPr>
      </w:pPr>
    </w:p>
    <w:p>
      <w:pPr>
        <w:jc w:val="both"/>
        <w:ind w:left="1656" w:hanging="823"/>
        <w:spacing w:after="0" w:line="270" w:lineRule="auto"/>
        <w:tabs>
          <w:tab w:leader="none" w:pos="1656" w:val="left"/>
        </w:tabs>
        <w:numPr>
          <w:ilvl w:val="1"/>
          <w:numId w:val="165"/>
        </w:numPr>
        <w:rPr>
          <w:rFonts w:ascii="Arial" w:cs="Arial" w:eastAsia="Arial" w:hAnsi="Arial"/>
          <w:sz w:val="17"/>
          <w:szCs w:val="17"/>
          <w:color w:val="auto"/>
        </w:rPr>
      </w:pPr>
      <w:r>
        <w:rPr>
          <w:rFonts w:ascii="Arial" w:cs="Arial" w:eastAsia="Arial" w:hAnsi="Arial"/>
          <w:sz w:val="17"/>
          <w:szCs w:val="17"/>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33" w:lineRule="exact"/>
        <w:rPr>
          <w:rFonts w:ascii="Arial" w:cs="Arial" w:eastAsia="Arial" w:hAnsi="Arial"/>
          <w:sz w:val="17"/>
          <w:szCs w:val="17"/>
          <w:color w:val="auto"/>
        </w:rPr>
      </w:pPr>
    </w:p>
    <w:p>
      <w:pPr>
        <w:ind w:left="1656" w:hanging="823"/>
        <w:spacing w:after="0"/>
        <w:tabs>
          <w:tab w:leader="none" w:pos="1656" w:val="left"/>
        </w:tabs>
        <w:numPr>
          <w:ilvl w:val="1"/>
          <w:numId w:val="165"/>
        </w:numPr>
        <w:rPr>
          <w:rFonts w:ascii="Arial" w:cs="Arial" w:eastAsia="Arial" w:hAnsi="Arial"/>
          <w:sz w:val="17"/>
          <w:szCs w:val="17"/>
          <w:color w:val="auto"/>
        </w:rPr>
      </w:pPr>
      <w:r>
        <w:rPr>
          <w:rFonts w:ascii="Arial" w:cs="Arial" w:eastAsia="Arial" w:hAnsi="Arial"/>
          <w:sz w:val="17"/>
          <w:szCs w:val="17"/>
          <w:color w:val="auto"/>
        </w:rPr>
        <w:t>restricting or prohibiting its use of the proceeds of any offering to finance its business and operations in the PRC.</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5536" w:hanging="104"/>
        <w:spacing w:after="0"/>
        <w:tabs>
          <w:tab w:leader="none" w:pos="5536" w:val="left"/>
        </w:tabs>
        <w:numPr>
          <w:ilvl w:val="2"/>
          <w:numId w:val="165"/>
        </w:numPr>
        <w:rPr>
          <w:rFonts w:ascii="Arial" w:cs="Arial" w:eastAsia="Arial" w:hAnsi="Arial"/>
          <w:sz w:val="17"/>
          <w:szCs w:val="17"/>
          <w:color w:val="auto"/>
        </w:rPr>
      </w:pPr>
      <w:r>
        <w:rPr>
          <w:rFonts w:ascii="Arial" w:cs="Arial" w:eastAsia="Arial" w:hAnsi="Arial"/>
          <w:sz w:val="17"/>
          <w:szCs w:val="17"/>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72" w:name="page173"/>
    <w:bookmarkEnd w:id="172"/>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Certain risks and concentration (Continued)</w:t>
      </w:r>
    </w:p>
    <w:p>
      <w:pPr>
        <w:spacing w:after="0" w:line="182" w:lineRule="exact"/>
        <w:rPr>
          <w:sz w:val="20"/>
          <w:szCs w:val="20"/>
          <w:color w:val="auto"/>
        </w:rPr>
      </w:pPr>
    </w:p>
    <w:p>
      <w:pPr>
        <w:ind w:left="836" w:hanging="836"/>
        <w:spacing w:after="0"/>
        <w:tabs>
          <w:tab w:leader="none" w:pos="836"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PRC regulations (Continued)</w:t>
      </w:r>
    </w:p>
    <w:p>
      <w:pPr>
        <w:spacing w:after="0" w:line="187" w:lineRule="exact"/>
        <w:rPr>
          <w:rFonts w:ascii="Arial" w:cs="Arial" w:eastAsia="Arial" w:hAnsi="Arial"/>
          <w:sz w:val="17"/>
          <w:szCs w:val="17"/>
          <w:b w:val="1"/>
          <w:bCs w:val="1"/>
          <w:color w:val="auto"/>
        </w:rPr>
      </w:pPr>
    </w:p>
    <w:p>
      <w:pPr>
        <w:jc w:val="both"/>
        <w:ind w:left="836"/>
        <w:spacing w:after="0" w:line="277" w:lineRule="auto"/>
        <w:rPr>
          <w:rFonts w:ascii="Arial" w:cs="Arial" w:eastAsia="Arial" w:hAnsi="Arial"/>
          <w:sz w:val="17"/>
          <w:szCs w:val="17"/>
          <w:b w:val="1"/>
          <w:bCs w:val="1"/>
          <w:color w:val="auto"/>
        </w:rPr>
      </w:pPr>
      <w:r>
        <w:rPr>
          <w:rFonts w:ascii="Arial" w:cs="Arial" w:eastAsia="Arial" w:hAnsi="Arial"/>
          <w:sz w:val="16"/>
          <w:szCs w:val="16"/>
          <w:color w:val="auto"/>
        </w:rPr>
        <w:t>If the imposition of any of these penalties precludes the Group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w:t>
      </w:r>
    </w:p>
    <w:p>
      <w:pPr>
        <w:spacing w:after="0" w:line="144" w:lineRule="exact"/>
        <w:rPr>
          <w:rFonts w:ascii="Arial" w:cs="Arial" w:eastAsia="Arial" w:hAnsi="Arial"/>
          <w:sz w:val="17"/>
          <w:szCs w:val="17"/>
          <w:b w:val="1"/>
          <w:bCs w:val="1"/>
          <w:color w:val="auto"/>
        </w:rPr>
      </w:pPr>
    </w:p>
    <w:p>
      <w:pPr>
        <w:jc w:val="both"/>
        <w:ind w:left="836"/>
        <w:spacing w:after="0" w:line="277" w:lineRule="auto"/>
        <w:rPr>
          <w:rFonts w:ascii="Arial" w:cs="Arial" w:eastAsia="Arial" w:hAnsi="Arial"/>
          <w:sz w:val="17"/>
          <w:szCs w:val="17"/>
          <w:b w:val="1"/>
          <w:bCs w:val="1"/>
          <w:color w:val="auto"/>
        </w:rPr>
      </w:pPr>
      <w:r>
        <w:rPr>
          <w:rFonts w:ascii="Arial" w:cs="Arial" w:eastAsia="Arial" w:hAnsi="Arial"/>
          <w:sz w:val="16"/>
          <w:szCs w:val="16"/>
          <w:color w:val="auto"/>
        </w:rPr>
        <w:t>On January 19, 2015, the Ministry of Commerce (“MOFCOM”), released for public comment a proposed PRC law, the Draft Foreign Investment Law, that appeared to include VIEs within the scope of entities that could be considered to be foreign investment enterprises (“FIEs”), that would be subject to restrictions under existing PRC law on foreign investment in certain categories of industry. The National People’s Congress approved the Foreign Investment Law on March 15, 2019, effective on January 1, 2020. The Foreign Investment Law removes all references to the terms of “de facto control” or “contractual control” as defined in the draft published in 2015. However, the Foreign Investment Law has a catch-all provision under the definition of “foreign investment” which includes investments made by foreign investors in China through means stipulated in laws or administrative regulations or other methods prescribed by the State Council. In the event that the State Council in the future promulgates laws and regulations that deem investments made by foreign investors through contractual arrangements as “foreign investment,” the Group’s ability to use the contractual arrangements with its VIEs and the Group’s ability to conduct business through the VIEs could be severely limited.</w:t>
      </w:r>
    </w:p>
    <w:p>
      <w:pPr>
        <w:spacing w:after="0" w:line="170"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Company’s ability to control the VIEs also depends on the powers of attorney the founders have to vote on all matters requiring shareholder approval in the VIEs. As noted above, the Company believes these powers of attorney are legally enforceable but may not be as effective as direct equity ownership.</w:t>
      </w:r>
    </w:p>
    <w:p>
      <w:pPr>
        <w:spacing w:after="0" w:line="172" w:lineRule="exact"/>
        <w:rPr>
          <w:rFonts w:ascii="Arial" w:cs="Arial" w:eastAsia="Arial" w:hAnsi="Arial"/>
          <w:sz w:val="17"/>
          <w:szCs w:val="17"/>
          <w:b w:val="1"/>
          <w:bCs w:val="1"/>
          <w:color w:val="auto"/>
        </w:rPr>
      </w:pPr>
    </w:p>
    <w:p>
      <w:pPr>
        <w:jc w:val="both"/>
        <w:ind w:left="836"/>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the PRC,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385"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67"/>
        </w:numPr>
        <w:rPr>
          <w:rFonts w:ascii="Arial" w:cs="Arial" w:eastAsia="Arial" w:hAnsi="Arial"/>
          <w:sz w:val="17"/>
          <w:szCs w:val="17"/>
          <w:color w:val="auto"/>
        </w:rPr>
      </w:pPr>
      <w:r>
        <w:rPr>
          <w:rFonts w:ascii="Arial" w:cs="Arial" w:eastAsia="Arial" w:hAnsi="Arial"/>
          <w:sz w:val="17"/>
          <w:szCs w:val="17"/>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73" w:name="page174"/>
    <w:bookmarkEnd w:id="173"/>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Certain risks and concentration (Continued)</w:t>
      </w:r>
    </w:p>
    <w:p>
      <w:pPr>
        <w:spacing w:after="0" w:line="182" w:lineRule="exact"/>
        <w:rPr>
          <w:sz w:val="20"/>
          <w:szCs w:val="20"/>
          <w:color w:val="auto"/>
        </w:rPr>
      </w:pPr>
    </w:p>
    <w:p>
      <w:pPr>
        <w:ind w:left="840" w:hanging="836"/>
        <w:spacing w:after="0"/>
        <w:tabs>
          <w:tab w:leader="none" w:pos="84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PRC regulations (Continued)</w:t>
      </w:r>
    </w:p>
    <w:p>
      <w:pPr>
        <w:spacing w:after="0" w:line="174" w:lineRule="exact"/>
        <w:rPr>
          <w:rFonts w:ascii="Arial" w:cs="Arial" w:eastAsia="Arial" w:hAnsi="Arial"/>
          <w:sz w:val="17"/>
          <w:szCs w:val="17"/>
          <w:b w:val="1"/>
          <w:bCs w:val="1"/>
          <w:color w:val="auto"/>
        </w:rPr>
      </w:pPr>
    </w:p>
    <w:p>
      <w:pPr>
        <w:jc w:val="both"/>
        <w:ind w:left="840" w:right="20"/>
        <w:spacing w:after="0" w:line="253" w:lineRule="auto"/>
        <w:rPr>
          <w:rFonts w:ascii="Arial" w:cs="Arial" w:eastAsia="Arial" w:hAnsi="Arial"/>
          <w:sz w:val="17"/>
          <w:szCs w:val="17"/>
          <w:b w:val="1"/>
          <w:bCs w:val="1"/>
          <w:color w:val="auto"/>
        </w:rPr>
      </w:pPr>
      <w:r>
        <w:rPr>
          <w:rFonts w:ascii="Arial" w:cs="Arial" w:eastAsia="Arial" w:hAnsi="Arial"/>
          <w:sz w:val="16"/>
          <w:szCs w:val="16"/>
          <w:color w:val="auto"/>
        </w:rPr>
        <w:t>OptAim VIE’s assets comprise both recognized and unrecognized revenue-producing assets. The recognized revenue-producing assets include leasehold improvements, computers and network equipment and self-developed computer software which are recognized in the Group ’s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134" w:lineRule="exact"/>
        <w:rPr>
          <w:rFonts w:ascii="Arial" w:cs="Arial" w:eastAsia="Arial" w:hAnsi="Arial"/>
          <w:sz w:val="17"/>
          <w:szCs w:val="17"/>
          <w:b w:val="1"/>
          <w:bCs w:val="1"/>
          <w:color w:val="auto"/>
        </w:rPr>
      </w:pPr>
    </w:p>
    <w:p>
      <w:pPr>
        <w:ind w:left="840" w:right="2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following financial information of the OptAim VIE excluding the intercompany items with the Company’s subsidiaries was included in the accompanying financial statements as of December 31, 2018 and 2019 and for the years ended December 31, 2017, 2018 and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460" w:type="dxa"/>
            <w:vAlign w:val="bottom"/>
            <w:gridSpan w:val="3"/>
          </w:tcPr>
          <w:p>
            <w:pPr>
              <w:ind w:left="840"/>
              <w:spacing w:after="0"/>
              <w:rPr>
                <w:sz w:val="20"/>
                <w:szCs w:val="20"/>
                <w:color w:val="auto"/>
              </w:rPr>
            </w:pPr>
            <w:r>
              <w:rPr>
                <w:rFonts w:ascii="Arial" w:cs="Arial" w:eastAsia="Arial" w:hAnsi="Arial"/>
                <w:sz w:val="17"/>
                <w:szCs w:val="17"/>
                <w:color w:val="auto"/>
              </w:rPr>
              <w:t>As of December 31,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3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3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4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1,865</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2,357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Prepaid media costs</w:t>
            </w:r>
          </w:p>
        </w:tc>
        <w:tc>
          <w:tcPr>
            <w:tcW w:w="4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current assets</w:t>
            </w:r>
          </w:p>
        </w:tc>
        <w:tc>
          <w:tcPr>
            <w:tcW w:w="32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 current assets</w:t>
            </w:r>
          </w:p>
        </w:tc>
        <w:tc>
          <w:tcPr>
            <w:tcW w:w="4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4,826</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9,058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Non-current assets</w:t>
            </w:r>
          </w:p>
        </w:tc>
        <w:tc>
          <w:tcPr>
            <w:tcW w:w="3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4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697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Right-of-use assets</w:t>
            </w: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assets</w:t>
            </w:r>
          </w:p>
        </w:tc>
        <w:tc>
          <w:tcPr>
            <w:tcW w:w="32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92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Arial" w:cs="Arial" w:eastAsia="Arial" w:hAnsi="Arial"/>
                <w:sz w:val="17"/>
                <w:szCs w:val="17"/>
                <w:b w:val="1"/>
                <w:bCs w:val="1"/>
                <w:color w:val="auto"/>
              </w:rPr>
              <w:t>Total non-current assets</w:t>
            </w: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880</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3860" w:type="dxa"/>
            <w:vAlign w:val="bottom"/>
            <w:tcBorders>
              <w:top w:val="single" w:sz="8" w:color="CFF0FC"/>
            </w:tcBorders>
            <w:shd w:val="clear" w:color="auto" w:fill="CFF0FC"/>
          </w:tcPr>
          <w:p>
            <w:pPr>
              <w:spacing w:after="0"/>
              <w:rPr>
                <w:sz w:val="17"/>
                <w:szCs w:val="17"/>
                <w:color w:val="auto"/>
              </w:rPr>
            </w:pPr>
          </w:p>
        </w:tc>
        <w:tc>
          <w:tcPr>
            <w:tcW w:w="326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92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5,706</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9,733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3860" w:type="dxa"/>
            <w:vAlign w:val="bottom"/>
            <w:tcBorders>
              <w:top w:val="single" w:sz="8" w:color="CFF0FC"/>
            </w:tcBorders>
            <w:shd w:val="clear" w:color="auto" w:fill="CFF0FC"/>
          </w:tcPr>
          <w:p>
            <w:pPr>
              <w:spacing w:after="0"/>
              <w:rPr>
                <w:sz w:val="17"/>
                <w:szCs w:val="17"/>
                <w:color w:val="auto"/>
              </w:rPr>
            </w:pPr>
          </w:p>
        </w:tc>
        <w:tc>
          <w:tcPr>
            <w:tcW w:w="326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3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Current liabilities</w:t>
            </w:r>
          </w:p>
        </w:tc>
        <w:tc>
          <w:tcPr>
            <w:tcW w:w="3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Accounts payable</w:t>
            </w: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w:t>
            </w:r>
          </w:p>
        </w:tc>
        <w:tc>
          <w:tcPr>
            <w:tcW w:w="4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1,300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Lease liabilities</w:t>
            </w: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Accrued liabilities and other current liabilities</w:t>
            </w:r>
          </w:p>
        </w:tc>
        <w:tc>
          <w:tcPr>
            <w:tcW w:w="32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1,776</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92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4680" w:type="dxa"/>
            <w:vAlign w:val="bottom"/>
            <w:gridSpan w:val="2"/>
          </w:tcPr>
          <w:p>
            <w:pPr>
              <w:jc w:val="right"/>
              <w:spacing w:after="0"/>
              <w:rPr>
                <w:sz w:val="20"/>
                <w:szCs w:val="20"/>
                <w:color w:val="auto"/>
              </w:rPr>
            </w:pPr>
            <w:r>
              <w:rPr>
                <w:rFonts w:ascii="Arial" w:cs="Arial" w:eastAsia="Arial" w:hAnsi="Arial"/>
                <w:sz w:val="17"/>
                <w:szCs w:val="17"/>
                <w:color w:val="auto"/>
              </w:rPr>
              <w:t>3,121</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3860" w:type="dxa"/>
            <w:vAlign w:val="bottom"/>
            <w:tcBorders>
              <w:top w:val="single" w:sz="8" w:color="CFF0FC"/>
            </w:tcBorders>
            <w:shd w:val="clear" w:color="auto" w:fill="CFF0FC"/>
          </w:tcPr>
          <w:p>
            <w:pPr>
              <w:spacing w:after="0"/>
              <w:rPr>
                <w:sz w:val="17"/>
                <w:szCs w:val="17"/>
                <w:color w:val="auto"/>
              </w:rPr>
            </w:pPr>
          </w:p>
        </w:tc>
        <w:tc>
          <w:tcPr>
            <w:tcW w:w="326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b w:val="1"/>
                <w:bCs w:val="1"/>
                <w:color w:val="auto"/>
              </w:rPr>
              <w:t>Non-current liabilities</w:t>
            </w:r>
          </w:p>
        </w:tc>
        <w:tc>
          <w:tcPr>
            <w:tcW w:w="3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4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238</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Lease liabilities</w:t>
            </w:r>
          </w:p>
        </w:tc>
        <w:tc>
          <w:tcPr>
            <w:tcW w:w="32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 non-current liabilities</w:t>
            </w:r>
          </w:p>
        </w:tc>
        <w:tc>
          <w:tcPr>
            <w:tcW w:w="4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238</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 liabilities</w:t>
            </w:r>
          </w:p>
        </w:tc>
        <w:tc>
          <w:tcPr>
            <w:tcW w:w="4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3,359</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bottom w:val="single" w:sz="8" w:color="CFF0FC"/>
            </w:tcBorders>
            <w:vMerge w:val="restart"/>
          </w:tcPr>
          <w:p>
            <w:pPr>
              <w:jc w:val="right"/>
              <w:ind w:right="2133"/>
              <w:spacing w:after="0"/>
              <w:rPr>
                <w:sz w:val="20"/>
                <w:szCs w:val="20"/>
                <w:color w:val="auto"/>
              </w:rPr>
            </w:pPr>
            <w:r>
              <w:rPr>
                <w:rFonts w:ascii="Arial" w:cs="Arial" w:eastAsia="Arial" w:hAnsi="Arial"/>
                <w:sz w:val="17"/>
                <w:szCs w:val="17"/>
                <w:color w:val="auto"/>
              </w:rPr>
              <w:t>-37-</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4" w:name="page175"/>
    <w:bookmarkEnd w:id="174"/>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Certain risks and concentration (Continued)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Arial" w:cs="Arial" w:eastAsia="Arial" w:hAnsi="Arial"/>
                <w:sz w:val="17"/>
                <w:szCs w:val="17"/>
                <w:b w:val="1"/>
                <w:bCs w:val="1"/>
                <w:color w:val="auto"/>
              </w:rPr>
              <w:t>(a)</w:t>
            </w:r>
          </w:p>
        </w:tc>
        <w:tc>
          <w:tcPr>
            <w:tcW w:w="6540" w:type="dxa"/>
            <w:vAlign w:val="bottom"/>
            <w:gridSpan w:val="2"/>
          </w:tcPr>
          <w:p>
            <w:pPr>
              <w:ind w:left="320"/>
              <w:spacing w:after="0"/>
              <w:rPr>
                <w:sz w:val="20"/>
                <w:szCs w:val="20"/>
                <w:color w:val="auto"/>
              </w:rPr>
            </w:pPr>
            <w:r>
              <w:rPr>
                <w:rFonts w:ascii="Arial" w:cs="Arial" w:eastAsia="Arial" w:hAnsi="Arial"/>
                <w:sz w:val="17"/>
                <w:szCs w:val="17"/>
                <w:b w:val="1"/>
                <w:bCs w:val="1"/>
                <w:color w:val="auto"/>
              </w:rPr>
              <w:t>PRC regulations (Continued)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20" w:type="dxa"/>
            <w:vAlign w:val="bottom"/>
            <w:gridSpan w:val="5"/>
          </w:tcPr>
          <w:p>
            <w:pPr>
              <w:ind w:left="860"/>
              <w:spacing w:after="0"/>
              <w:rPr>
                <w:sz w:val="20"/>
                <w:szCs w:val="20"/>
                <w:color w:val="auto"/>
              </w:rPr>
            </w:pPr>
            <w:r>
              <w:rPr>
                <w:rFonts w:ascii="Arial" w:cs="Arial" w:eastAsia="Arial" w:hAnsi="Arial"/>
                <w:sz w:val="17"/>
                <w:szCs w:val="17"/>
                <w:color w:val="auto"/>
                <w:w w:val="96"/>
              </w:rPr>
              <w:t>For the years ended December 31,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Net revenues</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25,302</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2,902</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Net profit/(loss)</w:t>
            </w:r>
          </w:p>
        </w:tc>
        <w:tc>
          <w:tcPr>
            <w:tcW w:w="1220" w:type="dxa"/>
            <w:vAlign w:val="bottom"/>
          </w:tcPr>
          <w:p>
            <w:pPr>
              <w:jc w:val="right"/>
              <w:spacing w:after="0"/>
              <w:rPr>
                <w:sz w:val="20"/>
                <w:szCs w:val="20"/>
                <w:color w:val="auto"/>
              </w:rPr>
            </w:pPr>
            <w:r>
              <w:rPr>
                <w:rFonts w:ascii="Arial" w:cs="Arial" w:eastAsia="Arial" w:hAnsi="Arial"/>
                <w:sz w:val="17"/>
                <w:szCs w:val="17"/>
                <w:color w:val="auto"/>
              </w:rPr>
              <w:t>1,646</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(47)</w:t>
            </w:r>
          </w:p>
        </w:tc>
        <w:tc>
          <w:tcPr>
            <w:tcW w:w="5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by/(used in) operating activities</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539</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5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1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increase/(decrease) in cash and cash equivalents</w:t>
            </w: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1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1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40"/>
        <w:spacing w:after="0" w:line="319" w:lineRule="auto"/>
        <w:rPr>
          <w:sz w:val="20"/>
          <w:szCs w:val="20"/>
          <w:color w:val="auto"/>
        </w:rPr>
      </w:pPr>
      <w:r>
        <w:rPr>
          <w:rFonts w:ascii="Arial" w:cs="Arial" w:eastAsia="Arial" w:hAnsi="Arial"/>
          <w:sz w:val="16"/>
          <w:szCs w:val="16"/>
          <w:color w:val="auto"/>
        </w:rPr>
        <w:t>In accordance with the VIE arrangements, the Group has the power to direct activities of the OptAim VIE, and can have assets transferred out of the OptAim VIE. Therefore, the Group considers that there are no assets of the OptAim VIE that can be used only to settle their obligations.</w:t>
      </w:r>
    </w:p>
    <w:p>
      <w:pPr>
        <w:spacing w:after="0" w:line="90" w:lineRule="exact"/>
        <w:rPr>
          <w:sz w:val="20"/>
          <w:szCs w:val="20"/>
          <w:color w:val="auto"/>
        </w:rPr>
      </w:pPr>
    </w:p>
    <w:p>
      <w:pPr>
        <w:ind w:left="840" w:hanging="836"/>
        <w:spacing w:after="0"/>
        <w:tabs>
          <w:tab w:leader="none" w:pos="840" w:val="left"/>
        </w:tabs>
        <w:numPr>
          <w:ilvl w:val="0"/>
          <w:numId w:val="171"/>
        </w:numPr>
        <w:rPr>
          <w:rFonts w:ascii="Arial" w:cs="Arial" w:eastAsia="Arial" w:hAnsi="Arial"/>
          <w:sz w:val="17"/>
          <w:szCs w:val="17"/>
          <w:b w:val="1"/>
          <w:bCs w:val="1"/>
          <w:color w:val="auto"/>
        </w:rPr>
      </w:pPr>
      <w:r>
        <w:rPr>
          <w:rFonts w:ascii="Arial" w:cs="Arial" w:eastAsia="Arial" w:hAnsi="Arial"/>
          <w:sz w:val="17"/>
          <w:szCs w:val="17"/>
          <w:b w:val="1"/>
          <w:bCs w:val="1"/>
          <w:color w:val="auto"/>
        </w:rPr>
        <w:t>Foreign exchange risk</w:t>
      </w:r>
    </w:p>
    <w:p>
      <w:pPr>
        <w:spacing w:after="0" w:line="187" w:lineRule="exact"/>
        <w:rPr>
          <w:rFonts w:ascii="Arial" w:cs="Arial" w:eastAsia="Arial" w:hAnsi="Arial"/>
          <w:sz w:val="17"/>
          <w:szCs w:val="17"/>
          <w:b w:val="1"/>
          <w:bCs w:val="1"/>
          <w:color w:val="auto"/>
        </w:rPr>
      </w:pPr>
    </w:p>
    <w:p>
      <w:pPr>
        <w:jc w:val="both"/>
        <w:ind w:left="84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equity.</w:t>
      </w:r>
    </w:p>
    <w:p>
      <w:pPr>
        <w:spacing w:after="0" w:line="151" w:lineRule="exact"/>
        <w:rPr>
          <w:rFonts w:ascii="Arial" w:cs="Arial" w:eastAsia="Arial" w:hAnsi="Arial"/>
          <w:sz w:val="17"/>
          <w:szCs w:val="17"/>
          <w:b w:val="1"/>
          <w:bCs w:val="1"/>
          <w:color w:val="auto"/>
        </w:rPr>
      </w:pPr>
    </w:p>
    <w:p>
      <w:pPr>
        <w:jc w:val="both"/>
        <w:ind w:left="8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133" w:lineRule="exact"/>
        <w:rPr>
          <w:rFonts w:ascii="Arial" w:cs="Arial" w:eastAsia="Arial" w:hAnsi="Arial"/>
          <w:sz w:val="17"/>
          <w:szCs w:val="17"/>
          <w:b w:val="1"/>
          <w:bCs w:val="1"/>
          <w:color w:val="auto"/>
        </w:rPr>
      </w:pPr>
    </w:p>
    <w:p>
      <w:pPr>
        <w:jc w:val="both"/>
        <w:ind w:left="840"/>
        <w:spacing w:after="0" w:line="300" w:lineRule="auto"/>
        <w:rPr>
          <w:rFonts w:ascii="Arial" w:cs="Arial" w:eastAsia="Arial" w:hAnsi="Arial"/>
          <w:sz w:val="17"/>
          <w:szCs w:val="17"/>
          <w:b w:val="1"/>
          <w:bCs w:val="1"/>
          <w:color w:val="auto"/>
        </w:rPr>
      </w:pPr>
      <w:r>
        <w:rPr>
          <w:rFonts w:ascii="Arial" w:cs="Arial" w:eastAsia="Arial" w:hAnsi="Arial"/>
          <w:sz w:val="15"/>
          <w:szCs w:val="15"/>
          <w:color w:val="auto"/>
        </w:rPr>
        <w:t>The revenues and expenses of the Group’s subsidiaries, VIE and VIE’s subsidiaries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116" w:lineRule="exact"/>
        <w:rPr>
          <w:rFonts w:ascii="Arial" w:cs="Arial" w:eastAsia="Arial" w:hAnsi="Arial"/>
          <w:sz w:val="17"/>
          <w:szCs w:val="17"/>
          <w:b w:val="1"/>
          <w:bCs w:val="1"/>
          <w:color w:val="auto"/>
        </w:rPr>
      </w:pPr>
    </w:p>
    <w:p>
      <w:pPr>
        <w:jc w:val="both"/>
        <w:ind w:left="8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54" w:lineRule="exact"/>
        <w:rPr>
          <w:rFonts w:ascii="Arial" w:cs="Arial" w:eastAsia="Arial" w:hAnsi="Arial"/>
          <w:sz w:val="17"/>
          <w:szCs w:val="17"/>
          <w:b w:val="1"/>
          <w:bCs w:val="1"/>
          <w:color w:val="auto"/>
        </w:rPr>
      </w:pPr>
    </w:p>
    <w:p>
      <w:pPr>
        <w:ind w:left="5540" w:hanging="104"/>
        <w:spacing w:after="0"/>
        <w:tabs>
          <w:tab w:leader="none" w:pos="554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Certain risks and concentration (Continued)</w:t>
      </w:r>
    </w:p>
    <w:p>
      <w:pPr>
        <w:spacing w:after="0" w:line="182" w:lineRule="exact"/>
        <w:rPr>
          <w:sz w:val="20"/>
          <w:szCs w:val="20"/>
          <w:color w:val="auto"/>
        </w:rPr>
      </w:pPr>
    </w:p>
    <w:p>
      <w:pPr>
        <w:ind w:left="836" w:hanging="836"/>
        <w:spacing w:after="0"/>
        <w:tabs>
          <w:tab w:leader="none" w:pos="836"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w:t>
      </w:r>
    </w:p>
    <w:p>
      <w:pPr>
        <w:spacing w:after="0" w:line="187" w:lineRule="exact"/>
        <w:rPr>
          <w:rFonts w:ascii="Arial" w:cs="Arial" w:eastAsia="Arial" w:hAnsi="Arial"/>
          <w:sz w:val="17"/>
          <w:szCs w:val="17"/>
          <w:b w:val="1"/>
          <w:bCs w:val="1"/>
          <w:color w:val="auto"/>
        </w:rPr>
      </w:pPr>
    </w:p>
    <w:p>
      <w:pPr>
        <w:ind w:left="1656" w:hanging="823"/>
        <w:spacing w:after="0"/>
        <w:tabs>
          <w:tab w:leader="none" w:pos="165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Financial assets and liabilities measured at fair value</w:t>
      </w:r>
    </w:p>
    <w:p>
      <w:pPr>
        <w:spacing w:after="0" w:line="181" w:lineRule="exact"/>
        <w:rPr>
          <w:rFonts w:ascii="Arial" w:cs="Arial" w:eastAsia="Arial" w:hAnsi="Arial"/>
          <w:sz w:val="17"/>
          <w:szCs w:val="17"/>
          <w:color w:val="auto"/>
        </w:rPr>
      </w:pPr>
    </w:p>
    <w:p>
      <w:pPr>
        <w:jc w:val="both"/>
        <w:ind w:left="1656"/>
        <w:spacing w:after="0" w:line="270" w:lineRule="auto"/>
        <w:rPr>
          <w:rFonts w:ascii="Arial" w:cs="Arial" w:eastAsia="Arial" w:hAnsi="Arial"/>
          <w:sz w:val="17"/>
          <w:szCs w:val="17"/>
          <w:color w:val="auto"/>
        </w:rPr>
      </w:pPr>
      <w:r>
        <w:rPr>
          <w:rFonts w:ascii="Arial" w:cs="Arial" w:eastAsia="Arial" w:hAnsi="Arial"/>
          <w:sz w:val="17"/>
          <w:szCs w:val="17"/>
          <w:color w:val="auto"/>
        </w:rPr>
        <w:t>The following table sets forth, by level within the fair value hierarchy (see Note 2(e)), financial assets and liabilities measured at fair value as of December 31, 2018 and 2019. As required by ASC 820, financial assets and financial liabilities are classified in their entirety based on the lowest level of input that is significant to the respective fair value measurement.</w:t>
      </w:r>
    </w:p>
    <w:p>
      <w:pPr>
        <w:spacing w:after="0" w:line="186" w:lineRule="exact"/>
        <w:rPr>
          <w:sz w:val="20"/>
          <w:szCs w:val="20"/>
          <w:color w:val="auto"/>
        </w:rPr>
      </w:pPr>
    </w:p>
    <w:tbl>
      <w:tblPr>
        <w:tblLayout w:type="fixed"/>
        <w:tblInd w:w="1696"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4"/>
          </w:tcPr>
          <w:p>
            <w:pPr>
              <w:jc w:val="right"/>
              <w:ind w:right="400"/>
              <w:spacing w:after="0"/>
              <w:rPr>
                <w:sz w:val="20"/>
                <w:szCs w:val="20"/>
                <w:color w:val="auto"/>
              </w:rPr>
            </w:pPr>
            <w:r>
              <w:rPr>
                <w:rFonts w:ascii="Arial" w:cs="Arial" w:eastAsia="Arial" w:hAnsi="Arial"/>
                <w:sz w:val="17"/>
                <w:szCs w:val="17"/>
                <w:color w:val="auto"/>
                <w:w w:val="97"/>
              </w:rPr>
              <w:t>Fair value measurements using</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Quoted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prices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in active</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Significant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market for</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other</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Significant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identical</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observable</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Unobservable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assets</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inputs</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inputs</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Total fair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(Level 1)</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(Level 2)</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(Level 3)</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value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 of December 31, 2018</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7"/>
                <w:szCs w:val="17"/>
                <w:color w:val="auto"/>
              </w:rPr>
              <w:t>Short-term investments</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17,427</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Convertible notes at fair value</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(34,837)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(34,837)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17,427</w:t>
            </w:r>
          </w:p>
        </w:tc>
        <w:tc>
          <w:tcPr>
            <w:tcW w:w="22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(34,837)</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(17,410)</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1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7"/>
                <w:szCs w:val="17"/>
                <w:b w:val="1"/>
                <w:bCs w:val="1"/>
                <w:color w:val="auto"/>
              </w:rPr>
              <w:t>As of December 31, 2019</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Convertible notes at fair value</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(49,008)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(49,008)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56" w:hanging="823"/>
        <w:spacing w:after="0"/>
        <w:tabs>
          <w:tab w:leader="none" w:pos="1656" w:val="left"/>
        </w:tabs>
        <w:numPr>
          <w:ilvl w:val="1"/>
          <w:numId w:val="174"/>
        </w:numPr>
        <w:rPr>
          <w:rFonts w:ascii="Arial" w:cs="Arial" w:eastAsia="Arial" w:hAnsi="Arial"/>
          <w:sz w:val="17"/>
          <w:szCs w:val="17"/>
          <w:color w:val="auto"/>
        </w:rPr>
      </w:pPr>
      <w:r>
        <w:rPr>
          <w:rFonts w:ascii="Arial" w:cs="Arial" w:eastAsia="Arial" w:hAnsi="Arial"/>
          <w:sz w:val="17"/>
          <w:szCs w:val="17"/>
          <w:color w:val="auto"/>
        </w:rPr>
        <w:t>Equity securities without readily determinable fair values</w:t>
      </w:r>
    </w:p>
    <w:p>
      <w:pPr>
        <w:spacing w:after="0" w:line="194" w:lineRule="exact"/>
        <w:rPr>
          <w:rFonts w:ascii="Arial" w:cs="Arial" w:eastAsia="Arial" w:hAnsi="Arial"/>
          <w:sz w:val="17"/>
          <w:szCs w:val="17"/>
          <w:color w:val="auto"/>
        </w:rPr>
      </w:pPr>
    </w:p>
    <w:p>
      <w:pPr>
        <w:jc w:val="both"/>
        <w:ind w:left="1656"/>
        <w:spacing w:after="0" w:line="270" w:lineRule="auto"/>
        <w:rPr>
          <w:rFonts w:ascii="Arial" w:cs="Arial" w:eastAsia="Arial" w:hAnsi="Arial"/>
          <w:sz w:val="17"/>
          <w:szCs w:val="17"/>
          <w:color w:val="auto"/>
        </w:rPr>
      </w:pPr>
      <w:r>
        <w:rPr>
          <w:rFonts w:ascii="Arial" w:cs="Arial" w:eastAsia="Arial" w:hAnsi="Arial"/>
          <w:sz w:val="17"/>
          <w:szCs w:val="17"/>
          <w:color w:val="auto"/>
        </w:rPr>
        <w:t>The equity securities without readily determinable fair value are recorded at fair value only if an impairment or observable price adjustment is recognized in the current period. There were no fair value changes related to such equity securities classified as other long-term investments in the consolidated balance sheets for the years ended December 31, 2018 and 2019.</w:t>
      </w:r>
    </w:p>
    <w:p>
      <w:pPr>
        <w:spacing w:after="0" w:line="127" w:lineRule="exact"/>
        <w:rPr>
          <w:rFonts w:ascii="Arial" w:cs="Arial" w:eastAsia="Arial" w:hAnsi="Arial"/>
          <w:sz w:val="17"/>
          <w:szCs w:val="17"/>
          <w:color w:val="auto"/>
        </w:rPr>
      </w:pPr>
    </w:p>
    <w:p>
      <w:pPr>
        <w:ind w:left="836" w:hanging="836"/>
        <w:spacing w:after="0"/>
        <w:tabs>
          <w:tab w:leader="none" w:pos="836" w:val="left"/>
        </w:tabs>
        <w:numPr>
          <w:ilvl w:val="0"/>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 risk</w:t>
      </w:r>
    </w:p>
    <w:p>
      <w:pPr>
        <w:spacing w:after="0" w:line="181" w:lineRule="exact"/>
        <w:rPr>
          <w:rFonts w:ascii="Arial" w:cs="Arial" w:eastAsia="Arial" w:hAnsi="Arial"/>
          <w:sz w:val="17"/>
          <w:szCs w:val="17"/>
          <w:b w:val="1"/>
          <w:bCs w:val="1"/>
          <w:color w:val="auto"/>
        </w:rPr>
      </w:pPr>
    </w:p>
    <w:p>
      <w:pPr>
        <w:ind w:left="1656" w:hanging="823"/>
        <w:spacing w:after="0"/>
        <w:tabs>
          <w:tab w:leader="none" w:pos="1656" w:val="left"/>
        </w:tabs>
        <w:numPr>
          <w:ilvl w:val="1"/>
          <w:numId w:val="175"/>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 of revenues</w:t>
      </w:r>
    </w:p>
    <w:p>
      <w:pPr>
        <w:spacing w:after="0" w:line="188" w:lineRule="exact"/>
        <w:rPr>
          <w:sz w:val="20"/>
          <w:szCs w:val="20"/>
          <w:color w:val="auto"/>
        </w:rPr>
      </w:pPr>
    </w:p>
    <w:p>
      <w:pPr>
        <w:ind w:left="1656"/>
        <w:spacing w:after="0" w:line="286" w:lineRule="auto"/>
        <w:rPr>
          <w:sz w:val="20"/>
          <w:szCs w:val="20"/>
          <w:color w:val="auto"/>
        </w:rPr>
      </w:pPr>
      <w:r>
        <w:rPr>
          <w:rFonts w:ascii="Arial" w:cs="Arial" w:eastAsia="Arial" w:hAnsi="Arial"/>
          <w:sz w:val="17"/>
          <w:szCs w:val="17"/>
          <w:color w:val="auto"/>
        </w:rPr>
        <w:t>For the years ended December 31, 2017 and 2019, no individual customer accounted for more than 10% of the net revenues. For the year ended December 31, 2018, one customer accounted for 14% of the net revenues.</w:t>
      </w:r>
    </w:p>
    <w:p>
      <w:pPr>
        <w:spacing w:after="0" w:line="114" w:lineRule="exact"/>
        <w:rPr>
          <w:sz w:val="20"/>
          <w:szCs w:val="20"/>
          <w:color w:val="auto"/>
        </w:rPr>
      </w:pPr>
    </w:p>
    <w:p>
      <w:pPr>
        <w:ind w:left="1656" w:hanging="823"/>
        <w:spacing w:after="0"/>
        <w:tabs>
          <w:tab w:leader="none" w:pos="1656"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 of accounts receivable</w:t>
      </w:r>
    </w:p>
    <w:p>
      <w:pPr>
        <w:spacing w:after="0" w:line="19" w:lineRule="exact"/>
        <w:rPr>
          <w:rFonts w:ascii="Arial" w:cs="Arial" w:eastAsia="Arial" w:hAnsi="Arial"/>
          <w:sz w:val="17"/>
          <w:szCs w:val="17"/>
          <w:b w:val="1"/>
          <w:bCs w:val="1"/>
          <w:color w:val="auto"/>
        </w:rPr>
      </w:pPr>
    </w:p>
    <w:p>
      <w:pPr>
        <w:jc w:val="both"/>
        <w:ind w:left="1656"/>
        <w:spacing w:after="0" w:line="269" w:lineRule="auto"/>
        <w:rPr>
          <w:rFonts w:ascii="Arial" w:cs="Arial" w:eastAsia="Arial" w:hAnsi="Arial"/>
          <w:sz w:val="17"/>
          <w:szCs w:val="17"/>
          <w:b w:val="1"/>
          <w:bCs w:val="1"/>
          <w:color w:val="auto"/>
        </w:rPr>
      </w:pPr>
      <w:r>
        <w:rPr>
          <w:rFonts w:ascii="Arial" w:cs="Arial" w:eastAsia="Arial" w:hAnsi="Arial"/>
          <w:sz w:val="15"/>
          <w:szCs w:val="15"/>
          <w:color w:val="auto"/>
        </w:rPr>
        <w:t>The Group has not experienced any significant recoverability issue with respect to its accounts receivable. The Group conducts credit evaluations on its customers and generally does not require collateral or other security from such customers. The Group grants up to 180 days of credit term to customers and periodically evaluates the creditworthiness of the existing customers in determining an allowance for doubtful accounts primarily based upon the age of the receivables and factors surrounding the credit risk of specific customers.</w:t>
      </w:r>
    </w:p>
    <w:p>
      <w:pPr>
        <w:spacing w:after="0" w:line="162"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76"/>
        </w:numPr>
        <w:rPr>
          <w:rFonts w:ascii="Arial" w:cs="Arial" w:eastAsia="Arial" w:hAnsi="Arial"/>
          <w:sz w:val="17"/>
          <w:szCs w:val="17"/>
          <w:color w:val="auto"/>
        </w:rPr>
      </w:pPr>
      <w:r>
        <w:rPr>
          <w:rFonts w:ascii="Arial" w:cs="Arial" w:eastAsia="Arial" w:hAnsi="Arial"/>
          <w:sz w:val="17"/>
          <w:szCs w:val="17"/>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76" w:name="page177"/>
    <w:bookmarkEnd w:id="176"/>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Certain risks and concentration (Continued)</w:t>
      </w:r>
    </w:p>
    <w:p>
      <w:pPr>
        <w:spacing w:after="0" w:line="221" w:lineRule="exact"/>
        <w:rPr>
          <w:sz w:val="20"/>
          <w:szCs w:val="20"/>
          <w:color w:val="auto"/>
        </w:rPr>
      </w:pPr>
    </w:p>
    <w:p>
      <w:pPr>
        <w:ind w:left="840" w:hanging="836"/>
        <w:spacing w:after="0"/>
        <w:tabs>
          <w:tab w:leader="none" w:pos="840" w:val="left"/>
        </w:tabs>
        <w:numPr>
          <w:ilvl w:val="0"/>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 risk (Continued)</w:t>
      </w:r>
    </w:p>
    <w:p>
      <w:pPr>
        <w:spacing w:after="0" w:line="220" w:lineRule="exact"/>
        <w:rPr>
          <w:rFonts w:ascii="Arial" w:cs="Arial" w:eastAsia="Arial" w:hAnsi="Arial"/>
          <w:sz w:val="17"/>
          <w:szCs w:val="17"/>
          <w:b w:val="1"/>
          <w:bCs w:val="1"/>
          <w:color w:val="auto"/>
        </w:rPr>
      </w:pPr>
    </w:p>
    <w:p>
      <w:pPr>
        <w:ind w:left="1680" w:hanging="843"/>
        <w:spacing w:after="0"/>
        <w:tabs>
          <w:tab w:leader="none" w:pos="1680" w:val="left"/>
        </w:tabs>
        <w:numPr>
          <w:ilvl w:val="1"/>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 of accounts receivable (Continued)</w:t>
      </w:r>
    </w:p>
    <w:p>
      <w:pPr>
        <w:spacing w:after="0" w:line="226" w:lineRule="exact"/>
        <w:rPr>
          <w:rFonts w:ascii="Arial" w:cs="Arial" w:eastAsia="Arial" w:hAnsi="Arial"/>
          <w:sz w:val="17"/>
          <w:szCs w:val="17"/>
          <w:b w:val="1"/>
          <w:bCs w:val="1"/>
          <w:color w:val="auto"/>
        </w:rPr>
      </w:pPr>
    </w:p>
    <w:p>
      <w:pPr>
        <w:jc w:val="both"/>
        <w:ind w:left="166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As of December 31, 2018 and 2019, no individual customer accounted for more than 10% of the consolidated accounts receivable. The top 10 accounts receivable accounted for 48% and 33% of the consolidated accounts receivable as of December 31, 2018 and 2019, respectively.</w:t>
      </w:r>
    </w:p>
    <w:p>
      <w:pPr>
        <w:spacing w:after="0" w:line="166" w:lineRule="exact"/>
        <w:rPr>
          <w:rFonts w:ascii="Arial" w:cs="Arial" w:eastAsia="Arial" w:hAnsi="Arial"/>
          <w:sz w:val="17"/>
          <w:szCs w:val="17"/>
          <w:b w:val="1"/>
          <w:bCs w:val="1"/>
          <w:color w:val="auto"/>
        </w:rPr>
      </w:pPr>
    </w:p>
    <w:p>
      <w:pPr>
        <w:ind w:left="1660" w:hanging="823"/>
        <w:spacing w:after="0"/>
        <w:tabs>
          <w:tab w:leader="none" w:pos="1660" w:val="left"/>
        </w:tabs>
        <w:numPr>
          <w:ilvl w:val="1"/>
          <w:numId w:val="178"/>
        </w:numPr>
        <w:rPr>
          <w:rFonts w:ascii="Arial" w:cs="Arial" w:eastAsia="Arial" w:hAnsi="Arial"/>
          <w:sz w:val="17"/>
          <w:szCs w:val="17"/>
          <w:b w:val="1"/>
          <w:bCs w:val="1"/>
          <w:color w:val="auto"/>
        </w:rPr>
      </w:pPr>
      <w:r>
        <w:rPr>
          <w:rFonts w:ascii="Arial" w:cs="Arial" w:eastAsia="Arial" w:hAnsi="Arial"/>
          <w:sz w:val="17"/>
          <w:szCs w:val="17"/>
          <w:b w:val="1"/>
          <w:bCs w:val="1"/>
          <w:color w:val="auto"/>
        </w:rPr>
        <w:t>Credit risk</w:t>
      </w:r>
    </w:p>
    <w:p>
      <w:pPr>
        <w:spacing w:after="0" w:line="187" w:lineRule="exact"/>
        <w:rPr>
          <w:rFonts w:ascii="Arial" w:cs="Arial" w:eastAsia="Arial" w:hAnsi="Arial"/>
          <w:sz w:val="17"/>
          <w:szCs w:val="17"/>
          <w:b w:val="1"/>
          <w:bCs w:val="1"/>
          <w:color w:val="auto"/>
        </w:rPr>
      </w:pPr>
    </w:p>
    <w:p>
      <w:pPr>
        <w:jc w:val="both"/>
        <w:ind w:left="1660"/>
        <w:spacing w:after="0" w:line="275" w:lineRule="auto"/>
        <w:rPr>
          <w:rFonts w:ascii="Arial" w:cs="Arial" w:eastAsia="Arial" w:hAnsi="Arial"/>
          <w:sz w:val="17"/>
          <w:szCs w:val="17"/>
          <w:b w:val="1"/>
          <w:bCs w:val="1"/>
          <w:color w:val="auto"/>
        </w:rPr>
      </w:pPr>
      <w:r>
        <w:rPr>
          <w:rFonts w:ascii="Arial" w:cs="Arial" w:eastAsia="Arial" w:hAnsi="Arial"/>
          <w:sz w:val="16"/>
          <w:szCs w:val="16"/>
          <w:color w:val="auto"/>
        </w:rPr>
        <w:t>As of December 31, 2018 and 2019, substantially all of the Group’s cash and cash equivalents, time deposits and restricted cash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cash and cash equivalents, time deposits and restricted cash during the years ended December 31, 2017, 2018 and 2019 and believes that its credit risk to be minimal.</w:t>
      </w:r>
    </w:p>
    <w:p>
      <w:pPr>
        <w:spacing w:after="0" w:line="144" w:lineRule="exact"/>
        <w:rPr>
          <w:sz w:val="20"/>
          <w:szCs w:val="20"/>
          <w:color w:val="auto"/>
        </w:rPr>
      </w:pPr>
    </w:p>
    <w:p>
      <w:pPr>
        <w:ind w:left="840" w:hanging="836"/>
        <w:spacing w:after="0"/>
        <w:tabs>
          <w:tab w:leader="none" w:pos="84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Business acquisitions</w:t>
      </w:r>
    </w:p>
    <w:p>
      <w:pPr>
        <w:spacing w:after="0" w:line="182" w:lineRule="exact"/>
        <w:rPr>
          <w:sz w:val="20"/>
          <w:szCs w:val="20"/>
          <w:color w:val="auto"/>
        </w:rPr>
      </w:pPr>
    </w:p>
    <w:p>
      <w:pPr>
        <w:ind w:left="840" w:hanging="836"/>
        <w:spacing w:after="0"/>
        <w:tabs>
          <w:tab w:leader="none" w:pos="840"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of Myhayo</w:t>
      </w:r>
    </w:p>
    <w:p>
      <w:pPr>
        <w:spacing w:after="0" w:line="187" w:lineRule="exact"/>
        <w:rPr>
          <w:rFonts w:ascii="Arial" w:cs="Arial" w:eastAsia="Arial" w:hAnsi="Arial"/>
          <w:sz w:val="17"/>
          <w:szCs w:val="17"/>
          <w:b w:val="1"/>
          <w:bCs w:val="1"/>
          <w:color w:val="auto"/>
        </w:rPr>
      </w:pPr>
    </w:p>
    <w:p>
      <w:pPr>
        <w:jc w:val="both"/>
        <w:ind w:left="840"/>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In November 2018, Beijing VIE acquired 40% equity interest of Myhayo from an independent third party. The Company obtains control over Myhayo with its controlling voting right at the level of both shareholders and board of directors, as the other shareholder of Myhayo expects the operating effectiveness brought about by the control over Myhayo by the Company to be of their best interests. Myhayo and its underlying subsidiary is a mobile content aggregator of articles and short videos in the PRC, which presents customized feeds to users via its mobile application. The Company expects to increase its market share in the PRC online marketing segment, particularly in relation to mobile platforms.</w:t>
      </w:r>
    </w:p>
    <w:p>
      <w:pPr>
        <w:spacing w:after="0" w:line="125"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total purchase consideration for 40% equity interest of Myhayo amounted to US$726 by cash.</w:t>
      </w:r>
    </w:p>
    <w:p>
      <w:pPr>
        <w:spacing w:after="0" w:line="181" w:lineRule="exact"/>
        <w:rPr>
          <w:rFonts w:ascii="Arial" w:cs="Arial" w:eastAsia="Arial" w:hAnsi="Arial"/>
          <w:sz w:val="17"/>
          <w:szCs w:val="17"/>
          <w:b w:val="1"/>
          <w:bCs w:val="1"/>
          <w:color w:val="auto"/>
        </w:rPr>
      </w:pPr>
    </w:p>
    <w:p>
      <w:pPr>
        <w:ind w:left="8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 acquisition was recorded as a business combination. The following table summarizes the estimated fair values of the assets acquired and liabilities assumed at the date of acquisition:</w:t>
      </w:r>
    </w:p>
    <w:p>
      <w:pPr>
        <w:spacing w:after="0" w:line="171"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Fair value of consideration transferred:</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Cash</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w:t>
            </w:r>
          </w:p>
        </w:tc>
      </w:tr>
      <w:tr>
        <w:trPr>
          <w:trHeight w:val="20"/>
        </w:trPr>
        <w:tc>
          <w:tcPr>
            <w:tcW w:w="8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Business acquisitions (Continued)</w:t>
      </w:r>
    </w:p>
    <w:p>
      <w:pPr>
        <w:spacing w:after="0" w:line="182" w:lineRule="exact"/>
        <w:rPr>
          <w:sz w:val="20"/>
          <w:szCs w:val="20"/>
          <w:color w:val="auto"/>
        </w:rPr>
      </w:pPr>
    </w:p>
    <w:p>
      <w:pPr>
        <w:ind w:left="836" w:hanging="836"/>
        <w:spacing w:after="0"/>
        <w:tabs>
          <w:tab w:leader="none" w:pos="836"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of Myhayo (Continued)</w:t>
      </w:r>
    </w:p>
    <w:p>
      <w:pPr>
        <w:spacing w:after="0" w:line="187"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color w:val="auto"/>
        </w:rPr>
        <w:t>Recognized amounts of identifiable assets acquired and liabilities assumed:</w:t>
      </w:r>
    </w:p>
    <w:p>
      <w:pPr>
        <w:spacing w:after="0" w:line="246" w:lineRule="exact"/>
        <w:rPr>
          <w:sz w:val="20"/>
          <w:szCs w:val="20"/>
          <w:color w:val="auto"/>
        </w:rPr>
      </w:pPr>
    </w:p>
    <w:tbl>
      <w:tblPr>
        <w:tblLayout w:type="fixed"/>
        <w:tblInd w:w="916" w:type="dxa"/>
        <w:tblCellMar>
          <w:top w:w="0" w:type="dxa"/>
          <w:left w:w="0" w:type="dxa"/>
          <w:bottom w:w="0" w:type="dxa"/>
          <w:right w:w="0" w:type="dxa"/>
        </w:tblCellMar>
      </w:tblP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2,420</w:t>
            </w:r>
          </w:p>
        </w:tc>
        <w:tc>
          <w:tcPr>
            <w:tcW w:w="80" w:type="dxa"/>
            <w:vAlign w:val="bottom"/>
            <w:shd w:val="clear" w:color="auto" w:fill="CFF0FC"/>
          </w:tcPr>
          <w:p>
            <w:pPr>
              <w:spacing w:after="0"/>
              <w:rPr>
                <w:sz w:val="19"/>
                <w:szCs w:val="19"/>
                <w:color w:val="auto"/>
              </w:rPr>
            </w:pPr>
          </w:p>
        </w:tc>
      </w:t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Other current assets</w:t>
            </w:r>
          </w:p>
        </w:tc>
        <w:tc>
          <w:tcPr>
            <w:tcW w:w="1720" w:type="dxa"/>
            <w:vAlign w:val="bottom"/>
          </w:tcPr>
          <w:p>
            <w:pPr>
              <w:jc w:val="right"/>
              <w:spacing w:after="0"/>
              <w:rPr>
                <w:sz w:val="20"/>
                <w:szCs w:val="20"/>
                <w:color w:val="auto"/>
              </w:rPr>
            </w:pPr>
            <w:r>
              <w:rPr>
                <w:rFonts w:ascii="Arial" w:cs="Arial" w:eastAsia="Arial" w:hAnsi="Arial"/>
                <w:sz w:val="17"/>
                <w:szCs w:val="17"/>
                <w:color w:val="auto"/>
              </w:rPr>
              <w:t>6,329</w:t>
            </w:r>
          </w:p>
        </w:tc>
        <w:tc>
          <w:tcPr>
            <w:tcW w:w="80" w:type="dxa"/>
            <w:vAlign w:val="bottom"/>
          </w:tcPr>
          <w:p>
            <w:pPr>
              <w:spacing w:after="0"/>
              <w:rPr>
                <w:sz w:val="19"/>
                <w:szCs w:val="19"/>
                <w:color w:val="auto"/>
              </w:rPr>
            </w:pPr>
          </w:p>
        </w:tc>
      </w:t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FF0FC"/>
          </w:tcPr>
          <w:p>
            <w:pPr>
              <w:spacing w:after="0"/>
              <w:rPr>
                <w:sz w:val="19"/>
                <w:szCs w:val="19"/>
                <w:color w:val="auto"/>
              </w:rPr>
            </w:pPr>
          </w:p>
        </w:tc>
      </w:t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Intangible asset</w:t>
            </w:r>
          </w:p>
        </w:tc>
        <w:tc>
          <w:tcPr>
            <w:tcW w:w="1720" w:type="dxa"/>
            <w:vAlign w:val="bottom"/>
          </w:tcPr>
          <w:p>
            <w:pPr>
              <w:jc w:val="right"/>
              <w:spacing w:after="0"/>
              <w:rPr>
                <w:sz w:val="20"/>
                <w:szCs w:val="20"/>
                <w:color w:val="auto"/>
              </w:rPr>
            </w:pPr>
            <w:r>
              <w:rPr>
                <w:rFonts w:ascii="Arial" w:cs="Arial" w:eastAsia="Arial" w:hAnsi="Arial"/>
                <w:sz w:val="17"/>
                <w:szCs w:val="17"/>
                <w:color w:val="auto"/>
              </w:rPr>
              <w:t>697</w:t>
            </w:r>
          </w:p>
        </w:tc>
        <w:tc>
          <w:tcPr>
            <w:tcW w:w="80" w:type="dxa"/>
            <w:vAlign w:val="bottom"/>
          </w:tcPr>
          <w:p>
            <w:pPr>
              <w:spacing w:after="0"/>
              <w:rPr>
                <w:sz w:val="19"/>
                <w:szCs w:val="19"/>
                <w:color w:val="auto"/>
              </w:rPr>
            </w:pPr>
          </w:p>
        </w:tc>
      </w:t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(6,688)</w:t>
            </w:r>
          </w:p>
        </w:tc>
      </w:t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800" w:type="dxa"/>
            <w:vAlign w:val="bottom"/>
            <w:gridSpan w:val="2"/>
          </w:tcPr>
          <w:p>
            <w:pPr>
              <w:jc w:val="right"/>
              <w:ind w:right="20"/>
              <w:spacing w:after="0"/>
              <w:rPr>
                <w:sz w:val="20"/>
                <w:szCs w:val="20"/>
                <w:color w:val="auto"/>
              </w:rPr>
            </w:pPr>
            <w:r>
              <w:rPr>
                <w:rFonts w:ascii="Arial" w:cs="Arial" w:eastAsia="Arial" w:hAnsi="Arial"/>
                <w:sz w:val="17"/>
                <w:szCs w:val="17"/>
                <w:color w:val="auto"/>
              </w:rPr>
              <w:t>(238)</w:t>
            </w:r>
          </w:p>
        </w:tc>
      </w:t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Non-controlling interests</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(1,517)</w:t>
            </w:r>
          </w:p>
        </w:tc>
      </w:tr>
      <w:tr>
        <w:trPr>
          <w:trHeight w:val="214"/>
        </w:trPr>
        <w:tc>
          <w:tcPr>
            <w:tcW w:w="8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identifiable net assets acquired</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1,011</w:t>
            </w:r>
          </w:p>
        </w:tc>
        <w:tc>
          <w:tcPr>
            <w:tcW w:w="80" w:type="dxa"/>
            <w:vAlign w:val="bottom"/>
            <w:tcBorders>
              <w:bottom w:val="single" w:sz="8" w:color="CFF0FC"/>
            </w:tcBorders>
          </w:tcPr>
          <w:p>
            <w:pPr>
              <w:spacing w:after="0"/>
              <w:rPr>
                <w:sz w:val="18"/>
                <w:szCs w:val="18"/>
                <w:color w:val="auto"/>
              </w:rPr>
            </w:pPr>
          </w:p>
        </w:tc>
      </w:tr>
      <w:tr>
        <w:trPr>
          <w:trHeight w:val="214"/>
        </w:trPr>
        <w:tc>
          <w:tcPr>
            <w:tcW w:w="8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Gain on bargain purchase (Note 24)</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836"/>
        <w:spacing w:after="0" w:line="286" w:lineRule="auto"/>
        <w:rPr>
          <w:sz w:val="20"/>
          <w:szCs w:val="20"/>
          <w:color w:val="auto"/>
        </w:rPr>
      </w:pPr>
      <w:r>
        <w:rPr>
          <w:rFonts w:ascii="Arial" w:cs="Arial" w:eastAsia="Arial" w:hAnsi="Arial"/>
          <w:sz w:val="17"/>
          <w:szCs w:val="17"/>
          <w:color w:val="auto"/>
        </w:rPr>
        <w:t>As of December 31, 2018, purchase consideration payable of US$726 was settled and there was no adjustment to the purchase consideration amounts.</w:t>
      </w:r>
    </w:p>
    <w:p>
      <w:pPr>
        <w:spacing w:after="0" w:line="133" w:lineRule="exact"/>
        <w:rPr>
          <w:sz w:val="20"/>
          <w:szCs w:val="20"/>
          <w:color w:val="auto"/>
        </w:rPr>
      </w:pPr>
    </w:p>
    <w:p>
      <w:pPr>
        <w:jc w:val="both"/>
        <w:ind w:left="836"/>
        <w:spacing w:after="0" w:line="287" w:lineRule="auto"/>
        <w:rPr>
          <w:sz w:val="20"/>
          <w:szCs w:val="20"/>
          <w:color w:val="auto"/>
        </w:rPr>
      </w:pPr>
      <w:r>
        <w:rPr>
          <w:rFonts w:ascii="Arial" w:cs="Arial" w:eastAsia="Arial" w:hAnsi="Arial"/>
          <w:sz w:val="16"/>
          <w:szCs w:val="16"/>
          <w:color w:val="auto"/>
        </w:rPr>
        <w:t>This business combination resulted in a gain of bargain purchase because the purchase price was lower than the fair value of assets acquired and liabilities assumed. The gain on bargain purchase is attributable to the Group’s bargaining power and ability in negotiating the agreed terms of the transaction with the existing shareholder who has been seeking for strategic investors that could bring synergies to Myhayo. Acquisition-related costs were immaterial and were included in general and administrative expenses for the year ended December 31, 2018.</w:t>
      </w:r>
    </w:p>
    <w:p>
      <w:pPr>
        <w:spacing w:after="0" w:line="122" w:lineRule="exact"/>
        <w:rPr>
          <w:sz w:val="20"/>
          <w:szCs w:val="20"/>
          <w:color w:val="auto"/>
        </w:rPr>
      </w:pPr>
    </w:p>
    <w:p>
      <w:pPr>
        <w:jc w:val="both"/>
        <w:ind w:left="836"/>
        <w:spacing w:after="0" w:line="270" w:lineRule="auto"/>
        <w:rPr>
          <w:sz w:val="20"/>
          <w:szCs w:val="20"/>
          <w:color w:val="auto"/>
        </w:rPr>
      </w:pPr>
      <w:r>
        <w:rPr>
          <w:rFonts w:ascii="Arial" w:cs="Arial" w:eastAsia="Arial" w:hAnsi="Arial"/>
          <w:sz w:val="17"/>
          <w:szCs w:val="17"/>
          <w:color w:val="auto"/>
        </w:rPr>
        <w:t>In determining the fair value of the intangible asset, an income approach was used. In this approach, significant estimates consist of discount rate of 29.4% and a growth rate on revenue ranges from 50% to 106.8%. The estimated amounts recognized on the acquired identifiable intangible asset and its estimated useful life are shown in the following table:</w:t>
      </w:r>
    </w:p>
    <w:p>
      <w:pPr>
        <w:spacing w:after="0" w:line="199" w:lineRule="exact"/>
        <w:rPr>
          <w:sz w:val="20"/>
          <w:szCs w:val="20"/>
          <w:color w:val="auto"/>
        </w:rPr>
      </w:pPr>
    </w:p>
    <w:tbl>
      <w:tblPr>
        <w:tblLayout w:type="fixed"/>
        <w:tblInd w:w="916" w:type="dxa"/>
        <w:tblCellMar>
          <w:top w:w="0" w:type="dxa"/>
          <w:left w:w="0" w:type="dxa"/>
          <w:bottom w:w="0" w:type="dxa"/>
          <w:right w:w="0" w:type="dxa"/>
        </w:tblCellMar>
      </w:tblPr>
      <w:tr>
        <w:trPr>
          <w:trHeight w:val="208"/>
        </w:trPr>
        <w:tc>
          <w:tcPr>
            <w:tcW w:w="56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Gross</w:t>
            </w:r>
          </w:p>
        </w:tc>
      </w:tr>
      <w:tr>
        <w:trPr>
          <w:trHeight w:val="208"/>
        </w:trPr>
        <w:tc>
          <w:tcPr>
            <w:tcW w:w="5640" w:type="dxa"/>
            <w:vAlign w:val="bottom"/>
          </w:tcPr>
          <w:p>
            <w:pPr>
              <w:spacing w:after="0"/>
              <w:rPr>
                <w:sz w:val="18"/>
                <w:szCs w:val="18"/>
                <w:color w:val="auto"/>
              </w:rPr>
            </w:pPr>
          </w:p>
        </w:tc>
        <w:tc>
          <w:tcPr>
            <w:tcW w:w="3140" w:type="dxa"/>
            <w:vAlign w:val="bottom"/>
          </w:tcPr>
          <w:p>
            <w:pPr>
              <w:jc w:val="right"/>
              <w:ind w:right="73"/>
              <w:spacing w:after="0"/>
              <w:rPr>
                <w:sz w:val="20"/>
                <w:szCs w:val="20"/>
                <w:color w:val="auto"/>
              </w:rPr>
            </w:pPr>
            <w:r>
              <w:rPr>
                <w:rFonts w:ascii="Arial" w:cs="Arial" w:eastAsia="Arial" w:hAnsi="Arial"/>
                <w:sz w:val="17"/>
                <w:szCs w:val="17"/>
                <w:color w:val="auto"/>
              </w:rPr>
              <w:t>Estimated</w:t>
            </w:r>
          </w:p>
        </w:tc>
        <w:tc>
          <w:tcPr>
            <w:tcW w:w="1440" w:type="dxa"/>
            <w:vAlign w:val="bottom"/>
          </w:tcPr>
          <w:p>
            <w:pPr>
              <w:jc w:val="right"/>
              <w:spacing w:after="0"/>
              <w:rPr>
                <w:sz w:val="20"/>
                <w:szCs w:val="20"/>
                <w:color w:val="auto"/>
              </w:rPr>
            </w:pPr>
            <w:r>
              <w:rPr>
                <w:rFonts w:ascii="Arial" w:cs="Arial" w:eastAsia="Arial" w:hAnsi="Arial"/>
                <w:sz w:val="17"/>
                <w:szCs w:val="17"/>
                <w:color w:val="auto"/>
              </w:rPr>
              <w:t>carrying</w:t>
            </w:r>
          </w:p>
        </w:tc>
      </w:tr>
      <w:tr>
        <w:trPr>
          <w:trHeight w:val="221"/>
        </w:trPr>
        <w:tc>
          <w:tcPr>
            <w:tcW w:w="5640" w:type="dxa"/>
            <w:vAlign w:val="bottom"/>
          </w:tcPr>
          <w:p>
            <w:pPr>
              <w:spacing w:after="0"/>
              <w:rPr>
                <w:sz w:val="19"/>
                <w:szCs w:val="19"/>
                <w:color w:val="auto"/>
              </w:rPr>
            </w:pPr>
          </w:p>
        </w:tc>
        <w:tc>
          <w:tcPr>
            <w:tcW w:w="3140" w:type="dxa"/>
            <w:vAlign w:val="bottom"/>
          </w:tcPr>
          <w:p>
            <w:pPr>
              <w:jc w:val="right"/>
              <w:ind w:right="73"/>
              <w:spacing w:after="0"/>
              <w:rPr>
                <w:sz w:val="20"/>
                <w:szCs w:val="20"/>
                <w:color w:val="auto"/>
              </w:rPr>
            </w:pPr>
            <w:r>
              <w:rPr>
                <w:rFonts w:ascii="Arial" w:cs="Arial" w:eastAsia="Arial" w:hAnsi="Arial"/>
                <w:sz w:val="17"/>
                <w:szCs w:val="17"/>
                <w:color w:val="auto"/>
              </w:rPr>
              <w:t>useful life</w:t>
            </w:r>
          </w:p>
        </w:tc>
        <w:tc>
          <w:tcPr>
            <w:tcW w:w="1440" w:type="dxa"/>
            <w:vAlign w:val="bottom"/>
          </w:tcPr>
          <w:p>
            <w:pPr>
              <w:jc w:val="right"/>
              <w:spacing w:after="0"/>
              <w:rPr>
                <w:sz w:val="20"/>
                <w:szCs w:val="20"/>
                <w:color w:val="auto"/>
              </w:rPr>
            </w:pPr>
            <w:r>
              <w:rPr>
                <w:rFonts w:ascii="Arial" w:cs="Arial" w:eastAsia="Arial" w:hAnsi="Arial"/>
                <w:sz w:val="17"/>
                <w:szCs w:val="17"/>
                <w:color w:val="auto"/>
              </w:rPr>
              <w:t>amount</w:t>
            </w:r>
          </w:p>
        </w:tc>
      </w:tr>
      <w:tr>
        <w:trPr>
          <w:trHeight w:val="273"/>
        </w:trPr>
        <w:tc>
          <w:tcPr>
            <w:tcW w:w="5640" w:type="dxa"/>
            <w:vAlign w:val="bottom"/>
          </w:tcPr>
          <w:p>
            <w:pPr>
              <w:spacing w:after="0"/>
              <w:rPr>
                <w:sz w:val="20"/>
                <w:szCs w:val="20"/>
                <w:color w:val="auto"/>
              </w:rPr>
            </w:pPr>
            <w:r>
              <w:rPr>
                <w:rFonts w:ascii="Arial" w:cs="Arial" w:eastAsia="Arial" w:hAnsi="Arial"/>
                <w:sz w:val="17"/>
                <w:szCs w:val="17"/>
                <w:color w:val="auto"/>
              </w:rPr>
              <w:t>A self-developed computer software and system</w:t>
            </w:r>
          </w:p>
        </w:tc>
        <w:tc>
          <w:tcPr>
            <w:tcW w:w="3140" w:type="dxa"/>
            <w:vAlign w:val="bottom"/>
          </w:tcPr>
          <w:p>
            <w:pPr>
              <w:jc w:val="right"/>
              <w:ind w:right="73"/>
              <w:spacing w:after="0"/>
              <w:rPr>
                <w:sz w:val="20"/>
                <w:szCs w:val="20"/>
                <w:color w:val="auto"/>
              </w:rPr>
            </w:pPr>
            <w:r>
              <w:rPr>
                <w:rFonts w:ascii="Arial" w:cs="Arial" w:eastAsia="Arial" w:hAnsi="Arial"/>
                <w:sz w:val="17"/>
                <w:szCs w:val="17"/>
                <w:color w:val="auto"/>
              </w:rPr>
              <w:t>4 years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w:t>
            </w:r>
          </w:p>
        </w:tc>
      </w:tr>
      <w:tr>
        <w:trPr>
          <w:trHeight w:val="20"/>
        </w:trPr>
        <w:tc>
          <w:tcPr>
            <w:tcW w:w="56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left="836"/>
        <w:spacing w:after="0" w:line="270" w:lineRule="auto"/>
        <w:rPr>
          <w:sz w:val="20"/>
          <w:szCs w:val="20"/>
          <w:color w:val="auto"/>
        </w:rPr>
      </w:pPr>
      <w:r>
        <w:rPr>
          <w:rFonts w:ascii="Arial" w:cs="Arial" w:eastAsia="Arial" w:hAnsi="Arial"/>
          <w:sz w:val="17"/>
          <w:szCs w:val="17"/>
          <w:color w:val="auto"/>
        </w:rPr>
        <w:t>Pro-forma results related to the acquisition in accordance ASC 805 have not been presented because the acquisition of Myhayo is not material, where net revenue and net loss of the acquired entity is less than 5% of the Company’s consolidated net revenue and net loss for the year ended December 31, 2018.</w:t>
      </w:r>
    </w:p>
    <w:p>
      <w:pPr>
        <w:spacing w:after="0" w:line="128" w:lineRule="exact"/>
        <w:rPr>
          <w:sz w:val="20"/>
          <w:szCs w:val="20"/>
          <w:color w:val="auto"/>
        </w:rPr>
      </w:pPr>
    </w:p>
    <w:p>
      <w:pPr>
        <w:ind w:left="836" w:hanging="836"/>
        <w:spacing w:after="0"/>
        <w:tabs>
          <w:tab w:leader="none" w:pos="836"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of Changyi</w:t>
      </w:r>
    </w:p>
    <w:p>
      <w:pPr>
        <w:spacing w:after="0" w:line="187" w:lineRule="exact"/>
        <w:rPr>
          <w:rFonts w:ascii="Arial" w:cs="Arial" w:eastAsia="Arial" w:hAnsi="Arial"/>
          <w:sz w:val="17"/>
          <w:szCs w:val="17"/>
          <w:b w:val="1"/>
          <w:bCs w:val="1"/>
          <w:color w:val="auto"/>
        </w:rPr>
      </w:pPr>
    </w:p>
    <w:p>
      <w:pPr>
        <w:jc w:val="both"/>
        <w:ind w:left="836"/>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On January 1, 2019, the Group acquired 34.38% equity interest of Changyi, a company established in the PRC and an independent software vendor based in Shanghai, the PRC. Changyi and its underlying subsidiary Suzhou Changyi became subsidiaries of the Company effective from January 1, 2019 as the Company established control over Changyi Group through certain shareholder agreements since then. Other shareholders of Changyi Group expects the operating effectiveness brought about by the control over Changyi Group by the Company to be of their best interests. Changyi Group provides intelligent retail and CRM solutions to clients, allowing them to consolidate consumer’s online and offline information to provide connection within the organization and stakeholders. The Company expects to increase its market share in the data-driven Enterprise Solutions segment beyond digital marketing through Changyi Group.</w:t>
      </w:r>
    </w:p>
    <w:p>
      <w:pPr>
        <w:spacing w:after="0" w:line="141"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 total purchase consideration for 34.38% equity interest of Changyi amounted to RMB42.6 million (equivalent to approximately US$6,190) by cash.</w:t>
      </w:r>
    </w:p>
    <w:p>
      <w:pPr>
        <w:spacing w:after="0" w:line="158"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83"/>
        </w:numPr>
        <w:rPr>
          <w:rFonts w:ascii="Arial" w:cs="Arial" w:eastAsia="Arial" w:hAnsi="Arial"/>
          <w:sz w:val="17"/>
          <w:szCs w:val="17"/>
          <w:color w:val="auto"/>
        </w:rPr>
      </w:pPr>
      <w:r>
        <w:rPr>
          <w:rFonts w:ascii="Arial" w:cs="Arial" w:eastAsia="Arial" w:hAnsi="Arial"/>
          <w:sz w:val="17"/>
          <w:szCs w:val="17"/>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78" w:name="page179"/>
    <w:bookmarkEnd w:id="178"/>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Business acquisitions (Continued)</w:t>
      </w:r>
    </w:p>
    <w:p>
      <w:pPr>
        <w:spacing w:after="0" w:line="182" w:lineRule="exact"/>
        <w:rPr>
          <w:sz w:val="20"/>
          <w:szCs w:val="20"/>
          <w:color w:val="auto"/>
        </w:rPr>
      </w:pPr>
    </w:p>
    <w:p>
      <w:pPr>
        <w:ind w:left="840" w:hanging="836"/>
        <w:spacing w:after="0"/>
        <w:tabs>
          <w:tab w:leader="none" w:pos="84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of Changyi (Continued)</w:t>
      </w:r>
    </w:p>
    <w:p>
      <w:pPr>
        <w:spacing w:after="0" w:line="187" w:lineRule="exact"/>
        <w:rPr>
          <w:rFonts w:ascii="Arial" w:cs="Arial" w:eastAsia="Arial" w:hAnsi="Arial"/>
          <w:sz w:val="17"/>
          <w:szCs w:val="17"/>
          <w:b w:val="1"/>
          <w:bCs w:val="1"/>
          <w:color w:val="auto"/>
        </w:rPr>
      </w:pPr>
    </w:p>
    <w:p>
      <w:pPr>
        <w:ind w:left="8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 acquisition was recorded as a business combination. The following table summarizes the estimated fair values of the assets acquired and liabilities assumed at the date of acquisition:</w:t>
      </w:r>
    </w:p>
    <w:p>
      <w:pPr>
        <w:spacing w:after="0" w:line="132"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Fair value of consideration transferred:</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Cash</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6,190</w:t>
            </w:r>
          </w:p>
        </w:tc>
      </w:tr>
      <w:tr>
        <w:trPr>
          <w:trHeight w:val="20"/>
        </w:trPr>
        <w:tc>
          <w:tcPr>
            <w:tcW w:w="8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840" w:type="dxa"/>
        <w:tblCellMar>
          <w:top w:w="0" w:type="dxa"/>
          <w:left w:w="0" w:type="dxa"/>
          <w:bottom w:w="0" w:type="dxa"/>
          <w:right w:w="0" w:type="dxa"/>
        </w:tblCellMar>
      </w:tblPr>
      <w:tr>
        <w:trPr>
          <w:trHeight w:val="221"/>
        </w:trPr>
        <w:tc>
          <w:tcPr>
            <w:tcW w:w="8600" w:type="dxa"/>
            <w:vAlign w:val="bottom"/>
            <w:gridSpan w:val="2"/>
          </w:tcPr>
          <w:p>
            <w:pPr>
              <w:spacing w:after="0"/>
              <w:rPr>
                <w:sz w:val="20"/>
                <w:szCs w:val="20"/>
                <w:color w:val="auto"/>
              </w:rPr>
            </w:pPr>
            <w:r>
              <w:rPr>
                <w:rFonts w:ascii="Arial" w:cs="Arial" w:eastAsia="Arial" w:hAnsi="Arial"/>
                <w:sz w:val="17"/>
                <w:szCs w:val="17"/>
                <w:color w:val="auto"/>
              </w:rPr>
              <w:t>Recognized amounts of identifiable assets acquired and liabilities assumed:</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Other current assets</w:t>
            </w:r>
          </w:p>
        </w:tc>
        <w:tc>
          <w:tcPr>
            <w:tcW w:w="1720" w:type="dxa"/>
            <w:vAlign w:val="bottom"/>
          </w:tcPr>
          <w:p>
            <w:pPr>
              <w:jc w:val="right"/>
              <w:spacing w:after="0"/>
              <w:rPr>
                <w:sz w:val="20"/>
                <w:szCs w:val="20"/>
                <w:color w:val="auto"/>
              </w:rPr>
            </w:pPr>
            <w:r>
              <w:rPr>
                <w:rFonts w:ascii="Arial" w:cs="Arial" w:eastAsia="Arial" w:hAnsi="Arial"/>
                <w:sz w:val="17"/>
                <w:szCs w:val="17"/>
                <w:color w:val="auto"/>
              </w:rPr>
              <w:t>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Intangible assets</w:t>
            </w:r>
          </w:p>
        </w:tc>
        <w:tc>
          <w:tcPr>
            <w:tcW w:w="1720" w:type="dxa"/>
            <w:vAlign w:val="bottom"/>
          </w:tcPr>
          <w:p>
            <w:pPr>
              <w:jc w:val="right"/>
              <w:spacing w:after="0"/>
              <w:rPr>
                <w:sz w:val="20"/>
                <w:szCs w:val="20"/>
                <w:color w:val="auto"/>
              </w:rPr>
            </w:pPr>
            <w:r>
              <w:rPr>
                <w:rFonts w:ascii="Arial" w:cs="Arial" w:eastAsia="Arial" w:hAnsi="Arial"/>
                <w:sz w:val="17"/>
                <w:szCs w:val="17"/>
                <w:color w:val="auto"/>
              </w:rPr>
              <w:t>1,830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800" w:type="dxa"/>
            <w:vAlign w:val="bottom"/>
            <w:gridSpan w:val="2"/>
          </w:tcPr>
          <w:p>
            <w:pPr>
              <w:jc w:val="right"/>
              <w:ind w:right="20"/>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Non-controlling interests</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(11,815)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520" w:type="dxa"/>
            <w:vAlign w:val="bottom"/>
            <w:vMerge w:val="restart"/>
          </w:tcPr>
          <w:p>
            <w:pPr>
              <w:spacing w:after="0"/>
              <w:rPr>
                <w:sz w:val="20"/>
                <w:szCs w:val="20"/>
                <w:color w:val="auto"/>
              </w:rPr>
            </w:pPr>
            <w:r>
              <w:rPr>
                <w:rFonts w:ascii="Arial" w:cs="Arial" w:eastAsia="Arial" w:hAnsi="Arial"/>
                <w:sz w:val="17"/>
                <w:szCs w:val="17"/>
                <w:color w:val="auto"/>
              </w:rPr>
              <w:t>Total identifiable net deficits acquired</w:t>
            </w: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0" w:type="dxa"/>
            <w:vAlign w:val="bottom"/>
          </w:tcPr>
          <w:p>
            <w:pPr>
              <w:spacing w:after="0"/>
              <w:rPr>
                <w:sz w:val="18"/>
                <w:szCs w:val="18"/>
                <w:color w:val="auto"/>
              </w:rPr>
            </w:pPr>
          </w:p>
        </w:tc>
        <w:tc>
          <w:tcPr>
            <w:tcW w:w="8520" w:type="dxa"/>
            <w:vAlign w:val="bottom"/>
            <w:vMerge w:val="continue"/>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7"/>
                <w:szCs w:val="17"/>
                <w:color w:val="auto"/>
              </w:rPr>
              <w:t>(9,899)</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8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Goodwill (Note 13)</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16,089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As of December 31, 2019, purchase consideration payable of US$6,190 was settled and there is no adjustment to the purchase consideration amounts.</w:t>
      </w:r>
    </w:p>
    <w:p>
      <w:pPr>
        <w:spacing w:after="0" w:line="205" w:lineRule="exact"/>
        <w:rPr>
          <w:sz w:val="20"/>
          <w:szCs w:val="20"/>
          <w:color w:val="auto"/>
        </w:rPr>
      </w:pPr>
    </w:p>
    <w:p>
      <w:pPr>
        <w:jc w:val="both"/>
        <w:ind w:left="840"/>
        <w:spacing w:after="0" w:line="265" w:lineRule="auto"/>
        <w:rPr>
          <w:sz w:val="20"/>
          <w:szCs w:val="20"/>
          <w:color w:val="auto"/>
        </w:rPr>
      </w:pPr>
      <w:r>
        <w:rPr>
          <w:rFonts w:ascii="Arial" w:cs="Arial" w:eastAsia="Arial" w:hAnsi="Arial"/>
          <w:sz w:val="17"/>
          <w:szCs w:val="17"/>
          <w:color w:val="auto"/>
        </w:rPr>
        <w:t>The excess of purchase price over tangible assets, identifiable intangible assets acquired and liabilities assumed was recorded as goodwill. Goodwill associated with the acquisition of Changyi was attributable to the expected synergy arising from the Enterprise Solutions operations. The acquired goodwill is not deductible for tax purposes. Acquisition-related costs were immaterial and were included in general and administrative expenses for the year ended December 31, 2019.</w:t>
      </w:r>
    </w:p>
    <w:p>
      <w:pPr>
        <w:spacing w:after="0" w:line="138"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In determining the fair value of the intangible assets, an income approach was used. In this approach, significant estimates consist of discount rate of 30.2% and a growth rates on revenue ranging from 10% to 30%. The estimated amounts recognized on the acquired identifiable intangible asset and its estimated useful life are shown in the following table:</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48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Gross</w:t>
            </w:r>
          </w:p>
        </w:tc>
      </w:tr>
      <w:tr>
        <w:trPr>
          <w:trHeight w:val="208"/>
        </w:trPr>
        <w:tc>
          <w:tcPr>
            <w:tcW w:w="4800" w:type="dxa"/>
            <w:vAlign w:val="bottom"/>
          </w:tcPr>
          <w:p>
            <w:pPr>
              <w:spacing w:after="0"/>
              <w:rPr>
                <w:sz w:val="18"/>
                <w:szCs w:val="18"/>
                <w:color w:val="auto"/>
              </w:rPr>
            </w:pPr>
          </w:p>
        </w:tc>
        <w:tc>
          <w:tcPr>
            <w:tcW w:w="3980" w:type="dxa"/>
            <w:vAlign w:val="bottom"/>
          </w:tcPr>
          <w:p>
            <w:pPr>
              <w:jc w:val="right"/>
              <w:ind w:right="73"/>
              <w:spacing w:after="0"/>
              <w:rPr>
                <w:sz w:val="20"/>
                <w:szCs w:val="20"/>
                <w:color w:val="auto"/>
              </w:rPr>
            </w:pPr>
            <w:r>
              <w:rPr>
                <w:rFonts w:ascii="Arial" w:cs="Arial" w:eastAsia="Arial" w:hAnsi="Arial"/>
                <w:sz w:val="17"/>
                <w:szCs w:val="17"/>
                <w:color w:val="auto"/>
              </w:rPr>
              <w:t>Estimated</w:t>
            </w: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carrying</w:t>
            </w:r>
          </w:p>
        </w:tc>
      </w:tr>
      <w:tr>
        <w:trPr>
          <w:trHeight w:val="221"/>
        </w:trPr>
        <w:tc>
          <w:tcPr>
            <w:tcW w:w="4800" w:type="dxa"/>
            <w:vAlign w:val="bottom"/>
          </w:tcPr>
          <w:p>
            <w:pPr>
              <w:spacing w:after="0"/>
              <w:rPr>
                <w:sz w:val="19"/>
                <w:szCs w:val="19"/>
                <w:color w:val="auto"/>
              </w:rPr>
            </w:pPr>
          </w:p>
        </w:tc>
        <w:tc>
          <w:tcPr>
            <w:tcW w:w="3980" w:type="dxa"/>
            <w:vAlign w:val="bottom"/>
          </w:tcPr>
          <w:p>
            <w:pPr>
              <w:jc w:val="right"/>
              <w:ind w:right="73"/>
              <w:spacing w:after="0"/>
              <w:rPr>
                <w:sz w:val="20"/>
                <w:szCs w:val="20"/>
                <w:color w:val="auto"/>
              </w:rPr>
            </w:pPr>
            <w:r>
              <w:rPr>
                <w:rFonts w:ascii="Arial" w:cs="Arial" w:eastAsia="Arial" w:hAnsi="Arial"/>
                <w:sz w:val="17"/>
                <w:szCs w:val="17"/>
                <w:color w:val="auto"/>
              </w:rPr>
              <w:t>useful life</w:t>
            </w: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amount</w:t>
            </w:r>
          </w:p>
        </w:tc>
      </w:tr>
      <w:tr>
        <w:trPr>
          <w:trHeight w:val="52"/>
        </w:trPr>
        <w:tc>
          <w:tcPr>
            <w:tcW w:w="480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Developed technologies</w:t>
            </w:r>
          </w:p>
        </w:tc>
        <w:tc>
          <w:tcPr>
            <w:tcW w:w="398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rPr>
              <w:t>5 years</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FF0FC"/>
          </w:tcPr>
          <w:p>
            <w:pPr>
              <w:spacing w:after="0"/>
              <w:rPr>
                <w:sz w:val="19"/>
                <w:szCs w:val="19"/>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Customer relationship</w:t>
            </w:r>
          </w:p>
        </w:tc>
        <w:tc>
          <w:tcPr>
            <w:tcW w:w="3980" w:type="dxa"/>
            <w:vAlign w:val="bottom"/>
          </w:tcPr>
          <w:p>
            <w:pPr>
              <w:jc w:val="right"/>
              <w:ind w:right="73"/>
              <w:spacing w:after="0"/>
              <w:rPr>
                <w:sz w:val="20"/>
                <w:szCs w:val="20"/>
                <w:color w:val="auto"/>
              </w:rPr>
            </w:pPr>
            <w:r>
              <w:rPr>
                <w:rFonts w:ascii="Arial" w:cs="Arial" w:eastAsia="Arial" w:hAnsi="Arial"/>
                <w:sz w:val="17"/>
                <w:szCs w:val="17"/>
                <w:color w:val="auto"/>
              </w:rPr>
              <w:t>5 years</w:t>
            </w:r>
          </w:p>
        </w:tc>
        <w:tc>
          <w:tcPr>
            <w:tcW w:w="1440" w:type="dxa"/>
            <w:vAlign w:val="bottom"/>
          </w:tcPr>
          <w:p>
            <w:pPr>
              <w:jc w:val="right"/>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19"/>
                <w:szCs w:val="19"/>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Contract backlog</w:t>
            </w:r>
          </w:p>
        </w:tc>
        <w:tc>
          <w:tcPr>
            <w:tcW w:w="398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rPr>
              <w:t>3 years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610</w:t>
            </w:r>
          </w:p>
        </w:tc>
        <w:tc>
          <w:tcPr>
            <w:tcW w:w="100" w:type="dxa"/>
            <w:vAlign w:val="bottom"/>
            <w:shd w:val="clear" w:color="auto" w:fill="CFF0FC"/>
          </w:tcPr>
          <w:p>
            <w:pPr>
              <w:spacing w:after="0"/>
              <w:rPr>
                <w:sz w:val="19"/>
                <w:szCs w:val="19"/>
                <w:color w:val="auto"/>
              </w:rPr>
            </w:pPr>
          </w:p>
        </w:tc>
      </w:tr>
      <w:tr>
        <w:trPr>
          <w:trHeight w:val="214"/>
        </w:trPr>
        <w:tc>
          <w:tcPr>
            <w:tcW w:w="48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Net revenue and net loss of Changyi for the year ended December 31, 2019 were US$5,518 and US$997, respectively. Unaudited pro forma net revenues and net loss of the Company for the year ended December 31, 2018 as if the acquisition of Changyi had occurred on January 1, 2018 were US$162,394 and US$33,415,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Business acquisitions (Continued)</w:t>
      </w:r>
    </w:p>
    <w:p>
      <w:pPr>
        <w:spacing w:after="0" w:line="182" w:lineRule="exact"/>
        <w:rPr>
          <w:sz w:val="20"/>
          <w:szCs w:val="20"/>
          <w:color w:val="auto"/>
        </w:rPr>
      </w:pPr>
    </w:p>
    <w:p>
      <w:pPr>
        <w:ind w:left="840" w:hanging="836"/>
        <w:spacing w:after="0"/>
        <w:tabs>
          <w:tab w:leader="none" w:pos="840"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of Changyi (Continued)</w:t>
      </w:r>
    </w:p>
    <w:p>
      <w:pPr>
        <w:spacing w:after="0" w:line="226" w:lineRule="exact"/>
        <w:rPr>
          <w:rFonts w:ascii="Arial" w:cs="Arial" w:eastAsia="Arial" w:hAnsi="Arial"/>
          <w:sz w:val="17"/>
          <w:szCs w:val="17"/>
          <w:b w:val="1"/>
          <w:bCs w:val="1"/>
          <w:color w:val="auto"/>
        </w:rPr>
      </w:pPr>
    </w:p>
    <w:p>
      <w:pPr>
        <w:ind w:left="8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 Company did not have any material, non-recurring pro-forma adjustments directly attributable to the business combination reflected in the reported pro-forma net revenue and net loss.</w:t>
      </w:r>
    </w:p>
    <w:p>
      <w:pPr>
        <w:spacing w:after="0" w:line="119" w:lineRule="exact"/>
        <w:rPr>
          <w:rFonts w:ascii="Arial" w:cs="Arial" w:eastAsia="Arial" w:hAnsi="Arial"/>
          <w:sz w:val="17"/>
          <w:szCs w:val="17"/>
          <w:b w:val="1"/>
          <w:bCs w:val="1"/>
          <w:color w:val="auto"/>
        </w:rPr>
      </w:pPr>
    </w:p>
    <w:p>
      <w:pPr>
        <w:ind w:left="8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 pro forma information is not necessarily indicative of the actual results that would have been achieved had Changyi acquisition occurred as of January 1, 2017 or the results that may be achieved in future periods.</w:t>
      </w:r>
    </w:p>
    <w:p>
      <w:pPr>
        <w:spacing w:after="0" w:line="126" w:lineRule="exact"/>
        <w:rPr>
          <w:rFonts w:ascii="Arial" w:cs="Arial" w:eastAsia="Arial" w:hAnsi="Arial"/>
          <w:sz w:val="17"/>
          <w:szCs w:val="17"/>
          <w:b w:val="1"/>
          <w:bCs w:val="1"/>
          <w:color w:val="auto"/>
        </w:rPr>
      </w:pPr>
    </w:p>
    <w:p>
      <w:pPr>
        <w:ind w:left="840" w:hanging="836"/>
        <w:spacing w:after="0"/>
        <w:tabs>
          <w:tab w:leader="none" w:pos="840"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of Addoil</w:t>
      </w:r>
    </w:p>
    <w:p>
      <w:pPr>
        <w:spacing w:after="0" w:line="187" w:lineRule="exact"/>
        <w:rPr>
          <w:rFonts w:ascii="Arial" w:cs="Arial" w:eastAsia="Arial" w:hAnsi="Arial"/>
          <w:sz w:val="17"/>
          <w:szCs w:val="17"/>
          <w:b w:val="1"/>
          <w:bCs w:val="1"/>
          <w:color w:val="auto"/>
        </w:rPr>
      </w:pPr>
    </w:p>
    <w:p>
      <w:pPr>
        <w:jc w:val="both"/>
        <w:ind w:left="8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In February 2019, the Company acquired 100% equity interest of Addoil, a company incorporated in Hong Kong. Addoil and its underlying subsidiary Headline (together, “Addoil Group”) are engaged in the business of developing and operating a mobile application that collects and utilizes data from users who use its social functionalities to share food and travel related contents.</w:t>
      </w:r>
    </w:p>
    <w:p>
      <w:pPr>
        <w:spacing w:after="0" w:line="172" w:lineRule="exact"/>
        <w:rPr>
          <w:rFonts w:ascii="Arial" w:cs="Arial" w:eastAsia="Arial" w:hAnsi="Arial"/>
          <w:sz w:val="17"/>
          <w:szCs w:val="17"/>
          <w:b w:val="1"/>
          <w:bCs w:val="1"/>
          <w:color w:val="auto"/>
        </w:rPr>
      </w:pPr>
    </w:p>
    <w:p>
      <w:pPr>
        <w:jc w:val="both"/>
        <w:ind w:left="8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total purchase consideration for all the equity interest of Addoil Group amounted to US$1,218 by cash. The acquisition was recorded as a business combination. The following table summarizes the estimated fair values of the assets acquired and liabilities assumed at the date of acquisition:</w:t>
      </w:r>
    </w:p>
    <w:p>
      <w:pPr>
        <w:spacing w:after="0" w:line="133"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Fair value of consideration transferred:</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Cash</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w:t>
            </w:r>
          </w:p>
        </w:tc>
      </w:tr>
      <w:tr>
        <w:trPr>
          <w:trHeight w:val="20"/>
        </w:trPr>
        <w:tc>
          <w:tcPr>
            <w:tcW w:w="8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840" w:type="dxa"/>
        <w:tblCellMar>
          <w:top w:w="0" w:type="dxa"/>
          <w:left w:w="0" w:type="dxa"/>
          <w:bottom w:w="0" w:type="dxa"/>
          <w:right w:w="0" w:type="dxa"/>
        </w:tblCellMar>
      </w:tblPr>
      <w:tr>
        <w:trPr>
          <w:trHeight w:val="221"/>
        </w:trPr>
        <w:tc>
          <w:tcPr>
            <w:tcW w:w="8600" w:type="dxa"/>
            <w:vAlign w:val="bottom"/>
            <w:gridSpan w:val="2"/>
          </w:tcPr>
          <w:p>
            <w:pPr>
              <w:spacing w:after="0"/>
              <w:rPr>
                <w:sz w:val="20"/>
                <w:szCs w:val="20"/>
                <w:color w:val="auto"/>
              </w:rPr>
            </w:pPr>
            <w:r>
              <w:rPr>
                <w:rFonts w:ascii="Arial" w:cs="Arial" w:eastAsia="Arial" w:hAnsi="Arial"/>
                <w:sz w:val="17"/>
                <w:szCs w:val="17"/>
                <w:color w:val="auto"/>
              </w:rPr>
              <w:t>Recognized amounts of identifiable assets acquired and liabilities assumed:</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80" w:type="dxa"/>
            <w:vAlign w:val="bottom"/>
          </w:tcPr>
          <w:p>
            <w:pPr>
              <w:spacing w:after="0"/>
              <w:rPr>
                <w:sz w:val="19"/>
                <w:szCs w:val="19"/>
                <w:color w:val="auto"/>
              </w:rPr>
            </w:pPr>
          </w:p>
        </w:tc>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FF0FC"/>
          </w:tcPr>
          <w:p>
            <w:pPr>
              <w:spacing w:after="0"/>
              <w:rPr>
                <w:sz w:val="19"/>
                <w:szCs w:val="19"/>
                <w:color w:val="auto"/>
              </w:rPr>
            </w:pPr>
          </w:p>
        </w:tc>
      </w:tr>
      <w:tr>
        <w:trPr>
          <w:trHeight w:val="221"/>
        </w:trPr>
        <w:tc>
          <w:tcPr>
            <w:tcW w:w="8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Other current assets</w:t>
            </w:r>
          </w:p>
        </w:tc>
        <w:tc>
          <w:tcPr>
            <w:tcW w:w="172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9"/>
                <w:szCs w:val="19"/>
                <w:color w:val="auto"/>
              </w:rPr>
            </w:pPr>
          </w:p>
        </w:tc>
      </w:tr>
      <w:tr>
        <w:trPr>
          <w:trHeight w:val="221"/>
        </w:trPr>
        <w:tc>
          <w:tcPr>
            <w:tcW w:w="80" w:type="dxa"/>
            <w:vAlign w:val="bottom"/>
          </w:tcPr>
          <w:p>
            <w:pPr>
              <w:spacing w:after="0"/>
              <w:rPr>
                <w:sz w:val="19"/>
                <w:szCs w:val="19"/>
                <w:color w:val="auto"/>
              </w:rPr>
            </w:pPr>
          </w:p>
        </w:tc>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80" w:type="dxa"/>
            <w:vAlign w:val="bottom"/>
            <w:shd w:val="clear" w:color="auto" w:fill="CFF0FC"/>
          </w:tcPr>
          <w:p>
            <w:pPr>
              <w:spacing w:after="0"/>
              <w:rPr>
                <w:sz w:val="19"/>
                <w:szCs w:val="19"/>
                <w:color w:val="auto"/>
              </w:rPr>
            </w:pPr>
          </w:p>
        </w:tc>
      </w:tr>
      <w:tr>
        <w:trPr>
          <w:trHeight w:val="221"/>
        </w:trPr>
        <w:tc>
          <w:tcPr>
            <w:tcW w:w="8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Right-of-use asset</w:t>
            </w:r>
          </w:p>
        </w:tc>
        <w:tc>
          <w:tcPr>
            <w:tcW w:w="172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9"/>
                <w:szCs w:val="19"/>
                <w:color w:val="auto"/>
              </w:rPr>
            </w:pPr>
          </w:p>
        </w:tc>
      </w:tr>
      <w:tr>
        <w:trPr>
          <w:trHeight w:val="221"/>
        </w:trPr>
        <w:tc>
          <w:tcPr>
            <w:tcW w:w="80" w:type="dxa"/>
            <w:vAlign w:val="bottom"/>
          </w:tcPr>
          <w:p>
            <w:pPr>
              <w:spacing w:after="0"/>
              <w:rPr>
                <w:sz w:val="19"/>
                <w:szCs w:val="19"/>
                <w:color w:val="auto"/>
              </w:rPr>
            </w:pPr>
          </w:p>
        </w:tc>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(35)</w:t>
            </w:r>
          </w:p>
        </w:tc>
      </w:tr>
      <w:tr>
        <w:trPr>
          <w:trHeight w:val="214"/>
        </w:trPr>
        <w:tc>
          <w:tcPr>
            <w:tcW w:w="80" w:type="dxa"/>
            <w:vAlign w:val="bottom"/>
          </w:tcPr>
          <w:p>
            <w:pPr>
              <w:spacing w:after="0"/>
              <w:rPr>
                <w:sz w:val="18"/>
                <w:szCs w:val="18"/>
                <w:color w:val="auto"/>
              </w:rPr>
            </w:pPr>
          </w:p>
        </w:tc>
        <w:tc>
          <w:tcPr>
            <w:tcW w:w="8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identifiable net assets acquired</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80" w:type="dxa"/>
            <w:vAlign w:val="bottom"/>
            <w:tcBorders>
              <w:bottom w:val="single" w:sz="8" w:color="CFF0FC"/>
            </w:tcBorders>
          </w:tcPr>
          <w:p>
            <w:pPr>
              <w:spacing w:after="0"/>
              <w:rPr>
                <w:sz w:val="18"/>
                <w:szCs w:val="18"/>
                <w:color w:val="auto"/>
              </w:rPr>
            </w:pPr>
          </w:p>
        </w:tc>
      </w:tr>
      <w:tr>
        <w:trPr>
          <w:trHeight w:val="214"/>
        </w:trPr>
        <w:tc>
          <w:tcPr>
            <w:tcW w:w="80" w:type="dxa"/>
            <w:vAlign w:val="bottom"/>
          </w:tcPr>
          <w:p>
            <w:pPr>
              <w:spacing w:after="0"/>
              <w:rPr>
                <w:sz w:val="18"/>
                <w:szCs w:val="18"/>
                <w:color w:val="auto"/>
              </w:rPr>
            </w:pPr>
          </w:p>
        </w:tc>
        <w:tc>
          <w:tcPr>
            <w:tcW w:w="8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Goodwill (Note 13)</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As of December 31, 2019, purchase consideration payable of US$1,218 was settled and there is no adjustment to the purchase consideration amounts.</w:t>
      </w:r>
    </w:p>
    <w:p>
      <w:pPr>
        <w:spacing w:after="0" w:line="205" w:lineRule="exact"/>
        <w:rPr>
          <w:sz w:val="20"/>
          <w:szCs w:val="20"/>
          <w:color w:val="auto"/>
        </w:rPr>
      </w:pPr>
    </w:p>
    <w:p>
      <w:pPr>
        <w:jc w:val="both"/>
        <w:ind w:left="840"/>
        <w:spacing w:after="0" w:line="265" w:lineRule="auto"/>
        <w:rPr>
          <w:sz w:val="20"/>
          <w:szCs w:val="20"/>
          <w:color w:val="auto"/>
        </w:rPr>
      </w:pPr>
      <w:r>
        <w:rPr>
          <w:rFonts w:ascii="Arial" w:cs="Arial" w:eastAsia="Arial" w:hAnsi="Arial"/>
          <w:sz w:val="17"/>
          <w:szCs w:val="17"/>
          <w:color w:val="auto"/>
        </w:rPr>
        <w:t>The excess of purchase price over tangible assets and liabilities assumed was recorded as goodwill. Goodwill associated with the acquisition of Addoil Group was attributable to the expected synergy arising from the consolidated Marketing Solutions business. The acquired goodwill is not deductible for tax purposes. Acquisition-related costs were immaterial and were included in general and administrative expenses for the year ended December 31, 2019.</w:t>
      </w:r>
    </w:p>
    <w:p>
      <w:pPr>
        <w:spacing w:after="0" w:line="151"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Pro-forma results related to the acquisition in accordance ASC 805 have not been presented because the acquisition of Addoil Group is not material, where net revenue and net loss of the acquired entity is less than 5% of the Company’s consolidated net revenue and net loss for the year ended December 31,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40" w:hanging="836"/>
        <w:spacing w:after="0"/>
        <w:tabs>
          <w:tab w:leader="none" w:pos="840"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 and time deposits</w:t>
      </w:r>
    </w:p>
    <w:p>
      <w:pPr>
        <w:spacing w:after="0" w:line="174" w:lineRule="exact"/>
        <w:rPr>
          <w:rFonts w:ascii="Arial" w:cs="Arial" w:eastAsia="Arial" w:hAnsi="Arial"/>
          <w:sz w:val="17"/>
          <w:szCs w:val="17"/>
          <w:b w:val="1"/>
          <w:bCs w:val="1"/>
          <w:color w:val="auto"/>
        </w:rPr>
      </w:pPr>
    </w:p>
    <w:p>
      <w:pPr>
        <w:ind w:left="840" w:right="2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Cash and cash equivalents represent cash on hand, cash held at bank, and short-term deposits placed with banks or other financial institutions, which have original maturities of three months or less.</w:t>
      </w:r>
    </w:p>
    <w:p>
      <w:pPr>
        <w:spacing w:after="0" w:line="158" w:lineRule="exact"/>
        <w:rPr>
          <w:rFonts w:ascii="Arial" w:cs="Arial" w:eastAsia="Arial" w:hAnsi="Arial"/>
          <w:sz w:val="17"/>
          <w:szCs w:val="17"/>
          <w:b w:val="1"/>
          <w:bCs w:val="1"/>
          <w:color w:val="auto"/>
        </w:rPr>
      </w:pPr>
    </w:p>
    <w:p>
      <w:pPr>
        <w:ind w:left="840" w:right="2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As of December 31, 2019, the Group had time deposits of US$410 with an average original maturity of 3.2 months which are denominated in US$. As of December 31, 2018, the Group did not have any time deposit.</w:t>
      </w:r>
    </w:p>
    <w:p>
      <w:pPr>
        <w:spacing w:after="0" w:line="132"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Cash and cash equivalents and time deposits as of December 31, 2018 and 2019 primarily consist of the following currencies:</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3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3"/>
          </w:tcPr>
          <w:p>
            <w:pPr>
              <w:jc w:val="right"/>
              <w:ind w:right="840"/>
              <w:spacing w:after="0"/>
              <w:rPr>
                <w:sz w:val="20"/>
                <w:szCs w:val="20"/>
                <w:color w:val="auto"/>
              </w:rPr>
            </w:pPr>
            <w:r>
              <w:rPr>
                <w:rFonts w:ascii="Arial" w:cs="Arial" w:eastAsia="Arial" w:hAnsi="Arial"/>
                <w:sz w:val="17"/>
                <w:szCs w:val="17"/>
                <w:color w:val="auto"/>
              </w:rPr>
              <w:t>As of December 31,</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3340" w:type="dxa"/>
            <w:vAlign w:val="bottom"/>
          </w:tcPr>
          <w:p>
            <w:pPr>
              <w:spacing w:after="0"/>
              <w:rPr>
                <w:sz w:val="19"/>
                <w:szCs w:val="19"/>
                <w:color w:val="auto"/>
              </w:rPr>
            </w:pPr>
          </w:p>
        </w:tc>
        <w:tc>
          <w:tcPr>
            <w:tcW w:w="3500" w:type="dxa"/>
            <w:vAlign w:val="bottom"/>
            <w:gridSpan w:val="2"/>
          </w:tcPr>
          <w:p>
            <w:pPr>
              <w:jc w:val="right"/>
              <w:ind w:right="120"/>
              <w:spacing w:after="0"/>
              <w:rPr>
                <w:sz w:val="20"/>
                <w:szCs w:val="20"/>
                <w:color w:val="auto"/>
              </w:rPr>
            </w:pPr>
            <w:r>
              <w:rPr>
                <w:rFonts w:ascii="Arial" w:cs="Arial" w:eastAsia="Arial" w:hAnsi="Arial"/>
                <w:sz w:val="17"/>
                <w:szCs w:val="17"/>
                <w:color w:val="auto"/>
              </w:rPr>
              <w:t>2018</w:t>
            </w:r>
          </w:p>
        </w:tc>
        <w:tc>
          <w:tcPr>
            <w:tcW w:w="86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7"/>
                <w:szCs w:val="17"/>
                <w:color w:val="auto"/>
              </w:rPr>
              <w:t>2019</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3340" w:type="dxa"/>
            <w:vAlign w:val="bottom"/>
          </w:tcPr>
          <w:p>
            <w:pPr>
              <w:spacing w:after="0"/>
              <w:rPr>
                <w:sz w:val="18"/>
                <w:szCs w:val="18"/>
                <w:color w:val="auto"/>
              </w:rPr>
            </w:pPr>
          </w:p>
        </w:tc>
        <w:tc>
          <w:tcPr>
            <w:tcW w:w="3500" w:type="dxa"/>
            <w:vAlign w:val="bottom"/>
            <w:gridSpan w:val="2"/>
          </w:tcPr>
          <w:p>
            <w:pPr>
              <w:jc w:val="right"/>
              <w:ind w:right="400"/>
              <w:spacing w:after="0"/>
              <w:rPr>
                <w:sz w:val="20"/>
                <w:szCs w:val="20"/>
                <w:color w:val="auto"/>
              </w:rPr>
            </w:pPr>
            <w:r>
              <w:rPr>
                <w:rFonts w:ascii="Arial" w:cs="Arial" w:eastAsia="Arial" w:hAnsi="Arial"/>
                <w:sz w:val="17"/>
                <w:szCs w:val="17"/>
                <w:color w:val="auto"/>
              </w:rPr>
              <w:t>Amount in</w:t>
            </w:r>
          </w:p>
        </w:tc>
        <w:tc>
          <w:tcPr>
            <w:tcW w:w="860" w:type="dxa"/>
            <w:vAlign w:val="bottom"/>
          </w:tcPr>
          <w:p>
            <w:pPr>
              <w:jc w:val="right"/>
              <w:spacing w:after="0"/>
              <w:rPr>
                <w:sz w:val="20"/>
                <w:szCs w:val="20"/>
                <w:color w:val="auto"/>
              </w:rPr>
            </w:pPr>
            <w:r>
              <w:rPr>
                <w:rFonts w:ascii="Arial" w:cs="Arial" w:eastAsia="Arial" w:hAnsi="Arial"/>
                <w:sz w:val="17"/>
                <w:szCs w:val="17"/>
                <w:color w:val="auto"/>
              </w:rPr>
              <w:t>US$</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Amount in</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US$</w:t>
            </w:r>
          </w:p>
        </w:tc>
      </w:tr>
      <w:tr>
        <w:trPr>
          <w:trHeight w:val="221"/>
        </w:trPr>
        <w:tc>
          <w:tcPr>
            <w:tcW w:w="3340" w:type="dxa"/>
            <w:vAlign w:val="bottom"/>
          </w:tcPr>
          <w:p>
            <w:pPr>
              <w:spacing w:after="0"/>
              <w:rPr>
                <w:sz w:val="19"/>
                <w:szCs w:val="19"/>
                <w:color w:val="auto"/>
              </w:rPr>
            </w:pPr>
          </w:p>
        </w:tc>
        <w:tc>
          <w:tcPr>
            <w:tcW w:w="3500" w:type="dxa"/>
            <w:vAlign w:val="bottom"/>
            <w:gridSpan w:val="2"/>
          </w:tcPr>
          <w:p>
            <w:pPr>
              <w:jc w:val="right"/>
              <w:ind w:right="400"/>
              <w:spacing w:after="0"/>
              <w:rPr>
                <w:sz w:val="20"/>
                <w:szCs w:val="20"/>
                <w:color w:val="auto"/>
              </w:rPr>
            </w:pPr>
            <w:r>
              <w:rPr>
                <w:rFonts w:ascii="Arial" w:cs="Arial" w:eastAsia="Arial" w:hAnsi="Arial"/>
                <w:sz w:val="17"/>
                <w:szCs w:val="17"/>
                <w:color w:val="auto"/>
              </w:rPr>
              <w:t>thousand</w:t>
            </w:r>
          </w:p>
        </w:tc>
        <w:tc>
          <w:tcPr>
            <w:tcW w:w="860" w:type="dxa"/>
            <w:vAlign w:val="bottom"/>
          </w:tcPr>
          <w:p>
            <w:pPr>
              <w:jc w:val="right"/>
              <w:spacing w:after="0"/>
              <w:rPr>
                <w:sz w:val="20"/>
                <w:szCs w:val="20"/>
                <w:color w:val="auto"/>
              </w:rPr>
            </w:pPr>
            <w:r>
              <w:rPr>
                <w:rFonts w:ascii="Arial" w:cs="Arial" w:eastAsia="Arial" w:hAnsi="Arial"/>
                <w:sz w:val="17"/>
                <w:szCs w:val="17"/>
                <w:color w:val="auto"/>
              </w:rPr>
              <w:t>equivalent</w:t>
            </w:r>
          </w:p>
        </w:tc>
        <w:tc>
          <w:tcPr>
            <w:tcW w:w="1660" w:type="dxa"/>
            <w:vAlign w:val="bottom"/>
            <w:gridSpan w:val="2"/>
          </w:tcPr>
          <w:p>
            <w:pPr>
              <w:jc w:val="right"/>
              <w:ind w:right="420"/>
              <w:spacing w:after="0"/>
              <w:rPr>
                <w:sz w:val="20"/>
                <w:szCs w:val="20"/>
                <w:color w:val="auto"/>
              </w:rPr>
            </w:pPr>
            <w:r>
              <w:rPr>
                <w:rFonts w:ascii="Arial" w:cs="Arial" w:eastAsia="Arial" w:hAnsi="Arial"/>
                <w:sz w:val="17"/>
                <w:szCs w:val="17"/>
                <w:color w:val="auto"/>
              </w:rPr>
              <w:t>thousand</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equivalent</w:t>
            </w:r>
          </w:p>
        </w:tc>
      </w:tr>
      <w:tr>
        <w:trPr>
          <w:trHeight w:val="221"/>
        </w:trPr>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RMB</w:t>
            </w:r>
          </w:p>
        </w:tc>
        <w:tc>
          <w:tcPr>
            <w:tcW w:w="3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61,312</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8,904</w:t>
            </w:r>
          </w:p>
        </w:tc>
        <w:tc>
          <w:tcPr>
            <w:tcW w:w="146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84,034</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11,776</w:t>
            </w:r>
          </w:p>
        </w:tc>
        <w:tc>
          <w:tcPr>
            <w:tcW w:w="80" w:type="dxa"/>
            <w:vAlign w:val="bottom"/>
            <w:shd w:val="clear" w:color="auto" w:fill="CFF0FC"/>
          </w:tcPr>
          <w:p>
            <w:pPr>
              <w:spacing w:after="0"/>
              <w:rPr>
                <w:sz w:val="19"/>
                <w:szCs w:val="19"/>
                <w:color w:val="auto"/>
              </w:rPr>
            </w:pPr>
          </w:p>
        </w:tc>
      </w:tr>
      <w:tr>
        <w:trPr>
          <w:trHeight w:val="221"/>
        </w:trPr>
        <w:tc>
          <w:tcPr>
            <w:tcW w:w="3340" w:type="dxa"/>
            <w:vAlign w:val="bottom"/>
          </w:tcPr>
          <w:p>
            <w:pPr>
              <w:spacing w:after="0"/>
              <w:rPr>
                <w:sz w:val="20"/>
                <w:szCs w:val="20"/>
                <w:color w:val="auto"/>
              </w:rPr>
            </w:pPr>
            <w:r>
              <w:rPr>
                <w:rFonts w:ascii="Arial" w:cs="Arial" w:eastAsia="Arial" w:hAnsi="Arial"/>
                <w:sz w:val="17"/>
                <w:szCs w:val="17"/>
                <w:color w:val="auto"/>
              </w:rPr>
              <w:t>HK$</w:t>
            </w:r>
          </w:p>
        </w:tc>
        <w:tc>
          <w:tcPr>
            <w:tcW w:w="3320" w:type="dxa"/>
            <w:vAlign w:val="bottom"/>
          </w:tcPr>
          <w:p>
            <w:pPr>
              <w:jc w:val="right"/>
              <w:ind w:right="133"/>
              <w:spacing w:after="0"/>
              <w:rPr>
                <w:sz w:val="20"/>
                <w:szCs w:val="20"/>
                <w:color w:val="auto"/>
              </w:rPr>
            </w:pPr>
            <w:r>
              <w:rPr>
                <w:rFonts w:ascii="Arial" w:cs="Arial" w:eastAsia="Arial" w:hAnsi="Arial"/>
                <w:sz w:val="17"/>
                <w:szCs w:val="17"/>
                <w:color w:val="auto"/>
              </w:rPr>
              <w:t>10,337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1,317</w:t>
            </w:r>
          </w:p>
        </w:tc>
        <w:tc>
          <w:tcPr>
            <w:tcW w:w="1460" w:type="dxa"/>
            <w:vAlign w:val="bottom"/>
          </w:tcPr>
          <w:p>
            <w:pPr>
              <w:jc w:val="right"/>
              <w:ind w:right="133"/>
              <w:spacing w:after="0"/>
              <w:rPr>
                <w:sz w:val="20"/>
                <w:szCs w:val="20"/>
                <w:color w:val="auto"/>
              </w:rPr>
            </w:pPr>
            <w:r>
              <w:rPr>
                <w:rFonts w:ascii="Arial" w:cs="Arial" w:eastAsia="Arial" w:hAnsi="Arial"/>
                <w:sz w:val="17"/>
                <w:szCs w:val="17"/>
                <w:color w:val="auto"/>
              </w:rPr>
              <w:t>8,329</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1,061</w:t>
            </w:r>
          </w:p>
        </w:tc>
        <w:tc>
          <w:tcPr>
            <w:tcW w:w="80" w:type="dxa"/>
            <w:vAlign w:val="bottom"/>
          </w:tcPr>
          <w:p>
            <w:pPr>
              <w:spacing w:after="0"/>
              <w:rPr>
                <w:sz w:val="19"/>
                <w:szCs w:val="19"/>
                <w:color w:val="auto"/>
              </w:rPr>
            </w:pPr>
          </w:p>
        </w:tc>
      </w:tr>
      <w:tr>
        <w:trPr>
          <w:trHeight w:val="221"/>
        </w:trPr>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US$</w:t>
            </w:r>
          </w:p>
        </w:tc>
        <w:tc>
          <w:tcPr>
            <w:tcW w:w="3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29,185</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29,185</w:t>
            </w:r>
          </w:p>
        </w:tc>
        <w:tc>
          <w:tcPr>
            <w:tcW w:w="146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24,175</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24,175</w:t>
            </w:r>
          </w:p>
        </w:tc>
        <w:tc>
          <w:tcPr>
            <w:tcW w:w="80" w:type="dxa"/>
            <w:vAlign w:val="bottom"/>
            <w:shd w:val="clear" w:color="auto" w:fill="CFF0FC"/>
          </w:tcPr>
          <w:p>
            <w:pPr>
              <w:spacing w:after="0"/>
              <w:rPr>
                <w:sz w:val="19"/>
                <w:szCs w:val="19"/>
                <w:color w:val="auto"/>
              </w:rPr>
            </w:pPr>
          </w:p>
        </w:tc>
      </w:tr>
      <w:tr>
        <w:trPr>
          <w:trHeight w:val="221"/>
        </w:trPr>
        <w:tc>
          <w:tcPr>
            <w:tcW w:w="3340" w:type="dxa"/>
            <w:vAlign w:val="bottom"/>
          </w:tcPr>
          <w:p>
            <w:pPr>
              <w:spacing w:after="0"/>
              <w:rPr>
                <w:sz w:val="20"/>
                <w:szCs w:val="20"/>
                <w:color w:val="auto"/>
              </w:rPr>
            </w:pPr>
            <w:r>
              <w:rPr>
                <w:rFonts w:ascii="Arial" w:cs="Arial" w:eastAsia="Arial" w:hAnsi="Arial"/>
                <w:sz w:val="17"/>
                <w:szCs w:val="17"/>
                <w:color w:val="auto"/>
              </w:rPr>
              <w:t>SGD</w:t>
            </w:r>
          </w:p>
        </w:tc>
        <w:tc>
          <w:tcPr>
            <w:tcW w:w="3320" w:type="dxa"/>
            <w:vAlign w:val="bottom"/>
          </w:tcPr>
          <w:p>
            <w:pPr>
              <w:jc w:val="right"/>
              <w:ind w:right="133"/>
              <w:spacing w:after="0"/>
              <w:rPr>
                <w:sz w:val="20"/>
                <w:szCs w:val="20"/>
                <w:color w:val="auto"/>
              </w:rPr>
            </w:pPr>
            <w:r>
              <w:rPr>
                <w:rFonts w:ascii="Arial" w:cs="Arial" w:eastAsia="Arial" w:hAnsi="Arial"/>
                <w:sz w:val="17"/>
                <w:szCs w:val="17"/>
                <w:color w:val="auto"/>
              </w:rPr>
              <w:t>263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190</w:t>
            </w:r>
          </w:p>
        </w:tc>
        <w:tc>
          <w:tcPr>
            <w:tcW w:w="1460" w:type="dxa"/>
            <w:vAlign w:val="bottom"/>
          </w:tcPr>
          <w:p>
            <w:pPr>
              <w:jc w:val="right"/>
              <w:ind w:right="133"/>
              <w:spacing w:after="0"/>
              <w:rPr>
                <w:sz w:val="20"/>
                <w:szCs w:val="20"/>
                <w:color w:val="auto"/>
              </w:rPr>
            </w:pPr>
            <w:r>
              <w:rPr>
                <w:rFonts w:ascii="Arial" w:cs="Arial" w:eastAsia="Arial" w:hAnsi="Arial"/>
                <w:sz w:val="17"/>
                <w:szCs w:val="17"/>
                <w:color w:val="auto"/>
              </w:rPr>
              <w:t>151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19"/>
                <w:szCs w:val="19"/>
                <w:color w:val="auto"/>
              </w:rPr>
            </w:pPr>
          </w:p>
        </w:tc>
      </w:tr>
      <w:tr>
        <w:trPr>
          <w:trHeight w:val="221"/>
        </w:trPr>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TWD</w:t>
            </w:r>
          </w:p>
        </w:tc>
        <w:tc>
          <w:tcPr>
            <w:tcW w:w="3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5,700</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w:t>
            </w:r>
          </w:p>
        </w:tc>
        <w:tc>
          <w:tcPr>
            <w:tcW w:w="146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931</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FF0FC"/>
          </w:tcPr>
          <w:p>
            <w:pPr>
              <w:spacing w:after="0"/>
              <w:rPr>
                <w:sz w:val="19"/>
                <w:szCs w:val="19"/>
                <w:color w:val="auto"/>
              </w:rPr>
            </w:pPr>
          </w:p>
        </w:tc>
      </w:tr>
      <w:tr>
        <w:trPr>
          <w:trHeight w:val="221"/>
        </w:trPr>
        <w:tc>
          <w:tcPr>
            <w:tcW w:w="3340" w:type="dxa"/>
            <w:vAlign w:val="bottom"/>
          </w:tcPr>
          <w:p>
            <w:pPr>
              <w:spacing w:after="0"/>
              <w:rPr>
                <w:sz w:val="20"/>
                <w:szCs w:val="20"/>
                <w:color w:val="auto"/>
              </w:rPr>
            </w:pPr>
            <w:r>
              <w:rPr>
                <w:rFonts w:ascii="Arial" w:cs="Arial" w:eastAsia="Arial" w:hAnsi="Arial"/>
                <w:sz w:val="17"/>
                <w:szCs w:val="17"/>
                <w:color w:val="auto"/>
              </w:rPr>
              <w:t>Euro (“EUR”)</w:t>
            </w:r>
          </w:p>
        </w:tc>
        <w:tc>
          <w:tcPr>
            <w:tcW w:w="3320" w:type="dxa"/>
            <w:vAlign w:val="bottom"/>
          </w:tcPr>
          <w:p>
            <w:pPr>
              <w:jc w:val="right"/>
              <w:ind w:right="133"/>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w:t>
            </w:r>
          </w:p>
        </w:tc>
        <w:tc>
          <w:tcPr>
            <w:tcW w:w="1460" w:type="dxa"/>
            <w:vAlign w:val="bottom"/>
          </w:tcPr>
          <w:p>
            <w:pPr>
              <w:jc w:val="right"/>
              <w:ind w:right="133"/>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9"/>
                <w:szCs w:val="19"/>
                <w:color w:val="auto"/>
              </w:rPr>
            </w:pPr>
          </w:p>
        </w:tc>
      </w:tr>
      <w:tr>
        <w:trPr>
          <w:trHeight w:val="221"/>
        </w:trPr>
        <w:tc>
          <w:tcPr>
            <w:tcW w:w="3340" w:type="dxa"/>
            <w:vAlign w:val="bottom"/>
            <w:shd w:val="clear" w:color="auto" w:fill="CFF0FC"/>
          </w:tcPr>
          <w:p>
            <w:pPr>
              <w:spacing w:after="0"/>
              <w:rPr>
                <w:sz w:val="20"/>
                <w:szCs w:val="20"/>
                <w:color w:val="auto"/>
              </w:rPr>
            </w:pPr>
            <w:r>
              <w:rPr>
                <w:rFonts w:ascii="Arial" w:cs="Arial" w:eastAsia="Arial" w:hAnsi="Arial"/>
                <w:sz w:val="17"/>
                <w:szCs w:val="17"/>
                <w:color w:val="auto"/>
              </w:rPr>
              <w:t>JPY</w:t>
            </w:r>
          </w:p>
        </w:tc>
        <w:tc>
          <w:tcPr>
            <w:tcW w:w="3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rPr>
              <w:t>4,550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FF0FC"/>
          </w:tcPr>
          <w:p>
            <w:pPr>
              <w:spacing w:after="0"/>
              <w:rPr>
                <w:sz w:val="19"/>
                <w:szCs w:val="19"/>
                <w:color w:val="auto"/>
              </w:rPr>
            </w:pPr>
          </w:p>
        </w:tc>
      </w:tr>
      <w:tr>
        <w:trPr>
          <w:trHeight w:val="221"/>
        </w:trPr>
        <w:tc>
          <w:tcPr>
            <w:tcW w:w="33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Others</w:t>
            </w:r>
          </w:p>
        </w:tc>
        <w:tc>
          <w:tcPr>
            <w:tcW w:w="3320" w:type="dxa"/>
            <w:vAlign w:val="bottom"/>
            <w:tcBorders>
              <w:bottom w:val="single" w:sz="8" w:color="CFF0FC"/>
            </w:tcBorders>
          </w:tcPr>
          <w:p>
            <w:pPr>
              <w:jc w:val="right"/>
              <w:ind w:right="133"/>
              <w:spacing w:after="0"/>
              <w:rPr>
                <w:sz w:val="20"/>
                <w:szCs w:val="20"/>
                <w:color w:val="auto"/>
              </w:rPr>
            </w:pPr>
            <w:r>
              <w:rPr>
                <w:rFonts w:ascii="Arial" w:cs="Arial" w:eastAsia="Arial" w:hAnsi="Arial"/>
                <w:sz w:val="17"/>
                <w:szCs w:val="17"/>
                <w:color w:val="auto"/>
              </w:rPr>
              <w:t>6</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60" w:type="dxa"/>
            <w:vAlign w:val="bottom"/>
            <w:tcBorders>
              <w:bottom w:val="single" w:sz="8" w:color="CFF0FC"/>
            </w:tcBorders>
          </w:tcPr>
          <w:p>
            <w:pPr>
              <w:jc w:val="right"/>
              <w:ind w:right="133"/>
              <w:spacing w:after="0"/>
              <w:rPr>
                <w:sz w:val="20"/>
                <w:szCs w:val="20"/>
                <w:color w:val="auto"/>
              </w:rPr>
            </w:pPr>
            <w:r>
              <w:rPr>
                <w:rFonts w:ascii="Arial" w:cs="Arial" w:eastAsia="Arial" w:hAnsi="Arial"/>
                <w:sz w:val="17"/>
                <w:szCs w:val="17"/>
                <w:color w:val="auto"/>
              </w:rPr>
              <w:t>26</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FF0FC"/>
            </w:tcBorders>
          </w:tcPr>
          <w:p>
            <w:pPr>
              <w:spacing w:after="0"/>
              <w:rPr>
                <w:sz w:val="19"/>
                <w:szCs w:val="19"/>
                <w:color w:val="auto"/>
              </w:rPr>
            </w:pPr>
          </w:p>
        </w:tc>
      </w:tr>
      <w:tr>
        <w:trPr>
          <w:trHeight w:val="214"/>
        </w:trPr>
        <w:tc>
          <w:tcPr>
            <w:tcW w:w="3340" w:type="dxa"/>
            <w:vAlign w:val="bottom"/>
            <w:tcBorders>
              <w:bottom w:val="single" w:sz="8" w:color="CFF0FC"/>
            </w:tcBorders>
            <w:shd w:val="clear" w:color="auto" w:fill="CFF0FC"/>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39,828</w:t>
            </w:r>
          </w:p>
        </w:tc>
        <w:tc>
          <w:tcPr>
            <w:tcW w:w="1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37,264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1" w:lineRule="exact"/>
        <w:rPr>
          <w:sz w:val="20"/>
          <w:szCs w:val="20"/>
          <w:color w:val="auto"/>
        </w:rPr>
      </w:pPr>
    </w:p>
    <w:p>
      <w:pPr>
        <w:ind w:left="840" w:hanging="836"/>
        <w:spacing w:after="0"/>
        <w:tabs>
          <w:tab w:leader="none" w:pos="84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cash</w:t>
      </w:r>
    </w:p>
    <w:p>
      <w:pPr>
        <w:spacing w:after="0" w:line="182" w:lineRule="exact"/>
        <w:rPr>
          <w:rFonts w:ascii="Arial" w:cs="Arial" w:eastAsia="Arial" w:hAnsi="Arial"/>
          <w:sz w:val="17"/>
          <w:szCs w:val="17"/>
          <w:b w:val="1"/>
          <w:bCs w:val="1"/>
          <w:color w:val="auto"/>
        </w:rPr>
      </w:pPr>
    </w:p>
    <w:p>
      <w:pPr>
        <w:jc w:val="both"/>
        <w:ind w:left="820" w:right="20"/>
        <w:spacing w:after="0" w:line="253" w:lineRule="auto"/>
        <w:rPr>
          <w:rFonts w:ascii="Arial" w:cs="Arial" w:eastAsia="Arial" w:hAnsi="Arial"/>
          <w:sz w:val="17"/>
          <w:szCs w:val="17"/>
          <w:b w:val="1"/>
          <w:bCs w:val="1"/>
          <w:color w:val="auto"/>
        </w:rPr>
      </w:pPr>
      <w:r>
        <w:rPr>
          <w:rFonts w:ascii="Arial" w:cs="Arial" w:eastAsia="Arial" w:hAnsi="Arial"/>
          <w:sz w:val="16"/>
          <w:szCs w:val="16"/>
          <w:color w:val="auto"/>
        </w:rPr>
        <w:t>As of December 31, 2019, the Group’s restricted cash of US$23,852 represented bank balances held in restricted bank accounts pursuant to certain short term loan agreements (see Note 17 for details) and carried fixed interest at a weighted average rate of 1.85% per annum, out of which US$21,463 and US$2,389 are denominated in US$ and HK$, respectively. As of December 31, 2018, the Group did not have any restricted cash.</w:t>
      </w:r>
    </w:p>
    <w:p>
      <w:pPr>
        <w:spacing w:after="0" w:line="172" w:lineRule="exact"/>
        <w:rPr>
          <w:sz w:val="20"/>
          <w:szCs w:val="20"/>
          <w:color w:val="auto"/>
        </w:rPr>
      </w:pPr>
    </w:p>
    <w:p>
      <w:pPr>
        <w:ind w:left="840" w:hanging="836"/>
        <w:spacing w:after="0"/>
        <w:tabs>
          <w:tab w:leader="none" w:pos="84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color w:val="auto"/>
        </w:rPr>
        <w:t>Equity investment</w:t>
      </w:r>
    </w:p>
    <w:p>
      <w:pPr>
        <w:spacing w:after="0" w:line="213" w:lineRule="exact"/>
        <w:rPr>
          <w:rFonts w:ascii="Arial" w:cs="Arial" w:eastAsia="Arial" w:hAnsi="Arial"/>
          <w:sz w:val="17"/>
          <w:szCs w:val="17"/>
          <w:b w:val="1"/>
          <w:bCs w:val="1"/>
          <w:color w:val="auto"/>
        </w:rPr>
      </w:pPr>
    </w:p>
    <w:p>
      <w:pPr>
        <w:jc w:val="both"/>
        <w:ind w:left="840" w:right="2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On May 31, 2019, the Company and VGI Global Media PLC (“VGI”), an online-to-offline solutions provider across advertising, payment and logistics platforms in Thailand, jointly established a new company namely V-Click Technology Company Limited (“V-Click”). VGI holds a majority stake of 51% in V-Click and the Company holds the remaining 49% stake. The investment was accounted for as an equity-method investment due to the significant influence the Company has over the operating and financial policies of the equity investee.</w:t>
      </w:r>
    </w:p>
    <w:p>
      <w:pPr>
        <w:spacing w:after="0" w:line="171" w:lineRule="exact"/>
        <w:rPr>
          <w:sz w:val="20"/>
          <w:szCs w:val="20"/>
          <w:color w:val="auto"/>
        </w:rPr>
      </w:pPr>
    </w:p>
    <w:p>
      <w:pPr>
        <w:ind w:left="840" w:hanging="836"/>
        <w:spacing w:after="0"/>
        <w:tabs>
          <w:tab w:leader="none" w:pos="84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 an equity investee</w:t>
      </w:r>
    </w:p>
    <w:p>
      <w:pPr>
        <w:spacing w:after="0" w:line="226"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Movements on the Group’s investment in an equity investee during the year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7"/>
                <w:szCs w:val="17"/>
                <w:color w:val="auto"/>
              </w:rPr>
              <w:t>V-Click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w w:val="90"/>
              </w:rPr>
              <w:t>Balance as of January 1, 2018, December 31, 2018 and January 1,</w:t>
            </w:r>
          </w:p>
        </w:tc>
        <w:tc>
          <w:tcPr>
            <w:tcW w:w="3920" w:type="dxa"/>
            <w:vAlign w:val="bottom"/>
            <w:shd w:val="clear" w:color="auto" w:fill="CFF0FC"/>
          </w:tcPr>
          <w:p>
            <w:pPr>
              <w:ind w:left="20"/>
              <w:spacing w:after="0"/>
              <w:rPr>
                <w:sz w:val="20"/>
                <w:szCs w:val="20"/>
                <w:color w:val="auto"/>
              </w:rPr>
            </w:pPr>
            <w:r>
              <w:rPr>
                <w:rFonts w:ascii="Arial" w:cs="Arial" w:eastAsia="Arial" w:hAnsi="Arial"/>
                <w:sz w:val="17"/>
                <w:szCs w:val="17"/>
                <w:color w:val="auto"/>
              </w:rPr>
              <w:t>2019</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Cost of investment</w:t>
            </w:r>
          </w:p>
        </w:tc>
        <w:tc>
          <w:tcPr>
            <w:tcW w:w="39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Share of loss</w:t>
            </w:r>
          </w:p>
        </w:tc>
        <w:tc>
          <w:tcPr>
            <w:tcW w:w="39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Balance as of December 31, 2019</w:t>
            </w:r>
          </w:p>
        </w:tc>
        <w:tc>
          <w:tcPr>
            <w:tcW w:w="392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0" w:type="dxa"/>
            <w:vAlign w:val="bottom"/>
            <w:vMerge w:val="restart"/>
          </w:tcPr>
          <w:p>
            <w:pPr>
              <w:ind w:left="4520"/>
              <w:spacing w:after="0"/>
              <w:rPr>
                <w:sz w:val="20"/>
                <w:szCs w:val="20"/>
                <w:color w:val="auto"/>
              </w:rPr>
            </w:pPr>
            <w:r>
              <w:rPr>
                <w:rFonts w:ascii="Arial" w:cs="Arial" w:eastAsia="Arial" w:hAnsi="Arial"/>
                <w:sz w:val="17"/>
                <w:szCs w:val="17"/>
                <w:color w:val="auto"/>
              </w:rPr>
              <w:t>-</w:t>
            </w:r>
          </w:p>
        </w:tc>
        <w:tc>
          <w:tcPr>
            <w:tcW w:w="3920" w:type="dxa"/>
            <w:vAlign w:val="bottom"/>
            <w:vMerge w:val="restart"/>
          </w:tcPr>
          <w:p>
            <w:pPr>
              <w:ind w:left="20"/>
              <w:spacing w:after="0"/>
              <w:rPr>
                <w:sz w:val="20"/>
                <w:szCs w:val="20"/>
                <w:color w:val="auto"/>
              </w:rPr>
            </w:pPr>
            <w:r>
              <w:rPr>
                <w:rFonts w:ascii="Arial" w:cs="Arial" w:eastAsia="Arial" w:hAnsi="Arial"/>
                <w:sz w:val="17"/>
                <w:szCs w:val="17"/>
                <w:color w:val="auto"/>
              </w:rPr>
              <w:t>44 -</w:t>
            </w: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92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39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1" w:name="page182"/>
    <w:bookmarkEnd w:id="181"/>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Equity investment (Continued)</w:t>
      </w:r>
    </w:p>
    <w:p>
      <w:pPr>
        <w:spacing w:after="0" w:line="227" w:lineRule="exact"/>
        <w:rPr>
          <w:sz w:val="20"/>
          <w:szCs w:val="20"/>
          <w:color w:val="auto"/>
        </w:rPr>
      </w:pPr>
    </w:p>
    <w:p>
      <w:pPr>
        <w:ind w:left="840" w:right="20"/>
        <w:spacing w:after="0" w:line="286" w:lineRule="auto"/>
        <w:rPr>
          <w:sz w:val="20"/>
          <w:szCs w:val="20"/>
          <w:color w:val="auto"/>
        </w:rPr>
      </w:pPr>
      <w:r>
        <w:rPr>
          <w:rFonts w:ascii="Arial" w:cs="Arial" w:eastAsia="Arial" w:hAnsi="Arial"/>
          <w:sz w:val="17"/>
          <w:szCs w:val="17"/>
          <w:color w:val="auto"/>
        </w:rPr>
        <w:t>The Group recognized its share of the equity investee’s loss of US$408 for the year ended December 31, 2019. There was no indicator of impairment noted for this equity-method investment as of December 31, 2019.</w:t>
      </w:r>
    </w:p>
    <w:p>
      <w:pPr>
        <w:spacing w:after="0" w:line="140" w:lineRule="exact"/>
        <w:rPr>
          <w:sz w:val="20"/>
          <w:szCs w:val="20"/>
          <w:color w:val="auto"/>
        </w:rPr>
      </w:pPr>
    </w:p>
    <w:p>
      <w:pPr>
        <w:ind w:left="840" w:hanging="836"/>
        <w:spacing w:after="0"/>
        <w:tabs>
          <w:tab w:leader="none" w:pos="84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Amount due from an equity investee</w:t>
      </w:r>
    </w:p>
    <w:p>
      <w:pPr>
        <w:spacing w:after="0" w:line="213" w:lineRule="exact"/>
        <w:rPr>
          <w:rFonts w:ascii="Arial" w:cs="Arial" w:eastAsia="Arial" w:hAnsi="Arial"/>
          <w:sz w:val="17"/>
          <w:szCs w:val="17"/>
          <w:b w:val="1"/>
          <w:bCs w:val="1"/>
          <w:color w:val="auto"/>
        </w:rPr>
      </w:pPr>
    </w:p>
    <w:p>
      <w:pPr>
        <w:ind w:left="840" w:right="2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As of December 31, 2019, the amount was due from V-Click in relation to a cash advance of US$155 (2018: US$nil), which was unsecured, interest-free and repayable on demand.</w:t>
      </w:r>
    </w:p>
    <w:p>
      <w:pPr>
        <w:spacing w:after="0" w:line="244" w:lineRule="exact"/>
        <w:rPr>
          <w:sz w:val="20"/>
          <w:szCs w:val="20"/>
          <w:color w:val="auto"/>
        </w:rPr>
      </w:pPr>
    </w:p>
    <w:p>
      <w:pPr>
        <w:ind w:left="840" w:hanging="836"/>
        <w:spacing w:after="0"/>
        <w:tabs>
          <w:tab w:leader="none" w:pos="840"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Other long-term investments</w:t>
      </w:r>
    </w:p>
    <w:p>
      <w:pPr>
        <w:spacing w:after="0" w:line="226" w:lineRule="exact"/>
        <w:rPr>
          <w:rFonts w:ascii="Arial" w:cs="Arial" w:eastAsia="Arial" w:hAnsi="Arial"/>
          <w:sz w:val="17"/>
          <w:szCs w:val="17"/>
          <w:b w:val="1"/>
          <w:bCs w:val="1"/>
          <w:color w:val="auto"/>
        </w:rPr>
      </w:pPr>
    </w:p>
    <w:p>
      <w:pPr>
        <w:jc w:val="both"/>
        <w:ind w:left="840" w:right="2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Group’s other long-term investments consist of securities without readily determinable fair value and over which the Group has neither significant influence nor control through investments in common stock or in-substance common stock purchased in 2018 and 2019. There was no fair value change related to the investments for the years ended December 31, 2018 and 2019. The investments are not considered material to the Group’s financial position.</w:t>
      </w:r>
    </w:p>
    <w:p>
      <w:pPr>
        <w:spacing w:after="0" w:line="177" w:lineRule="exact"/>
        <w:rPr>
          <w:rFonts w:ascii="Arial" w:cs="Arial" w:eastAsia="Arial" w:hAnsi="Arial"/>
          <w:sz w:val="17"/>
          <w:szCs w:val="17"/>
          <w:b w:val="1"/>
          <w:bCs w:val="1"/>
          <w:color w:val="auto"/>
        </w:rPr>
      </w:pPr>
    </w:p>
    <w:p>
      <w:pPr>
        <w:ind w:left="840" w:right="2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As of December 31, 2018 and 2019, the Group made investments in equity investments without readily determinable fair value with an amount of US$503 and US$1,503, respectively.</w:t>
      </w:r>
    </w:p>
    <w:p>
      <w:pPr>
        <w:spacing w:after="0" w:line="159" w:lineRule="exact"/>
        <w:rPr>
          <w:sz w:val="20"/>
          <w:szCs w:val="20"/>
          <w:color w:val="auto"/>
        </w:rPr>
      </w:pPr>
    </w:p>
    <w:p>
      <w:pPr>
        <w:ind w:left="840" w:right="20"/>
        <w:spacing w:after="0" w:line="286" w:lineRule="auto"/>
        <w:rPr>
          <w:sz w:val="20"/>
          <w:szCs w:val="20"/>
          <w:color w:val="auto"/>
        </w:rPr>
      </w:pPr>
      <w:r>
        <w:rPr>
          <w:rFonts w:ascii="Arial" w:cs="Arial" w:eastAsia="Arial" w:hAnsi="Arial"/>
          <w:sz w:val="17"/>
          <w:szCs w:val="17"/>
          <w:color w:val="auto"/>
        </w:rPr>
        <w:t>As of December 31, 2019, the Group made a prepayment of US$1,000 (2018: US$nil) for a long-term equity investment. As of the date of these consolidated financial statements, the investment has not been completed.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tcPr>
          <w:p>
            <w:pPr>
              <w:jc w:val="right"/>
              <w:ind w:right="273"/>
              <w:spacing w:after="0"/>
              <w:rPr>
                <w:sz w:val="20"/>
                <w:szCs w:val="20"/>
                <w:color w:val="auto"/>
              </w:rPr>
            </w:pPr>
            <w:r>
              <w:rPr>
                <w:rFonts w:ascii="Arial" w:cs="Arial" w:eastAsia="Arial" w:hAnsi="Arial"/>
                <w:sz w:val="17"/>
                <w:szCs w:val="17"/>
                <w:b w:val="1"/>
                <w:bCs w:val="1"/>
                <w:color w:val="auto"/>
                <w:w w:val="84"/>
              </w:rPr>
              <w:t>9</w:t>
            </w:r>
          </w:p>
        </w:tc>
        <w:tc>
          <w:tcPr>
            <w:tcW w:w="6500" w:type="dxa"/>
            <w:vAlign w:val="bottom"/>
            <w:gridSpan w:val="3"/>
          </w:tcPr>
          <w:p>
            <w:pPr>
              <w:ind w:left="380"/>
              <w:spacing w:after="0"/>
              <w:rPr>
                <w:sz w:val="20"/>
                <w:szCs w:val="20"/>
                <w:color w:val="auto"/>
              </w:rPr>
            </w:pPr>
            <w:r>
              <w:rPr>
                <w:rFonts w:ascii="Arial" w:cs="Arial" w:eastAsia="Arial" w:hAnsi="Arial"/>
                <w:sz w:val="17"/>
                <w:szCs w:val="17"/>
                <w:b w:val="1"/>
                <w:bCs w:val="1"/>
                <w:color w:val="auto"/>
              </w:rPr>
              <w:t>Accounts receivable, net</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ind w:left="840"/>
              <w:spacing w:after="0"/>
              <w:rPr>
                <w:sz w:val="20"/>
                <w:szCs w:val="20"/>
                <w:color w:val="auto"/>
              </w:rPr>
            </w:pPr>
            <w:r>
              <w:rPr>
                <w:rFonts w:ascii="Arial" w:cs="Arial" w:eastAsia="Arial" w:hAnsi="Arial"/>
                <w:sz w:val="17"/>
                <w:szCs w:val="17"/>
                <w:color w:val="auto"/>
              </w:rPr>
              <w:t>As of December 31,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Accounts receivable, gross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67,134</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147,440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Less: allowance for doubtful accounts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(1,507)</w:t>
            </w:r>
          </w:p>
        </w:tc>
        <w:tc>
          <w:tcPr>
            <w:tcW w:w="7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(3,469)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Accounts receivable, net</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65,627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143,971</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00" w:type="dxa"/>
            <w:vAlign w:val="bottom"/>
            <w:gridSpan w:val="3"/>
            <w:vMerge w:val="restart"/>
          </w:tcPr>
          <w:p>
            <w:pPr>
              <w:ind w:left="380"/>
              <w:spacing w:after="0"/>
              <w:rPr>
                <w:sz w:val="20"/>
                <w:szCs w:val="20"/>
                <w:color w:val="auto"/>
              </w:rPr>
            </w:pPr>
            <w:r>
              <w:rPr>
                <w:rFonts w:ascii="Arial" w:cs="Arial" w:eastAsia="Arial" w:hAnsi="Arial"/>
                <w:sz w:val="17"/>
                <w:szCs w:val="17"/>
                <w:color w:val="auto"/>
                <w:w w:val="98"/>
              </w:rPr>
              <w:t>The following table presents the movement in the allowance for doubtful accounts:</w:t>
            </w: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60" w:type="dxa"/>
            <w:vAlign w:val="bottom"/>
          </w:tcPr>
          <w:p>
            <w:pPr>
              <w:spacing w:after="0"/>
              <w:rPr>
                <w:sz w:val="24"/>
                <w:szCs w:val="24"/>
                <w:color w:val="auto"/>
              </w:rPr>
            </w:pPr>
          </w:p>
        </w:tc>
        <w:tc>
          <w:tcPr>
            <w:tcW w:w="650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60" w:type="dxa"/>
            <w:vAlign w:val="bottom"/>
            <w:gridSpan w:val="6"/>
          </w:tcPr>
          <w:p>
            <w:pPr>
              <w:ind w:left="600"/>
              <w:spacing w:after="0"/>
              <w:rPr>
                <w:sz w:val="20"/>
                <w:szCs w:val="20"/>
                <w:color w:val="auto"/>
              </w:rPr>
            </w:pPr>
            <w:r>
              <w:rPr>
                <w:rFonts w:ascii="Arial" w:cs="Arial" w:eastAsia="Arial" w:hAnsi="Arial"/>
                <w:sz w:val="17"/>
                <w:szCs w:val="17"/>
                <w:color w:val="auto"/>
              </w:rPr>
              <w:t>For the years ended December 31,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at the beginning of year</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1,478</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1,507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Additions for the year</w:t>
            </w:r>
          </w:p>
        </w:tc>
        <w:tc>
          <w:tcPr>
            <w:tcW w:w="820" w:type="dxa"/>
            <w:vAlign w:val="bottom"/>
          </w:tcPr>
          <w:p>
            <w:pPr>
              <w:jc w:val="right"/>
              <w:spacing w:after="0"/>
              <w:rPr>
                <w:sz w:val="20"/>
                <w:szCs w:val="20"/>
                <w:color w:val="auto"/>
              </w:rPr>
            </w:pPr>
            <w:r>
              <w:rPr>
                <w:rFonts w:ascii="Arial" w:cs="Arial" w:eastAsia="Arial" w:hAnsi="Arial"/>
                <w:sz w:val="17"/>
                <w:szCs w:val="17"/>
                <w:color w:val="auto"/>
              </w:rPr>
              <w:t>910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92</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1,995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Recoveries</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(40)</w:t>
            </w:r>
          </w:p>
        </w:tc>
        <w:tc>
          <w:tcPr>
            <w:tcW w:w="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Accounts receivable written off</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(1,134)</w:t>
            </w:r>
          </w:p>
        </w:tc>
        <w:tc>
          <w:tcPr>
            <w:tcW w:w="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Exchange differences</w:t>
            </w:r>
          </w:p>
        </w:tc>
        <w:tc>
          <w:tcPr>
            <w:tcW w:w="6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(48)</w:t>
            </w:r>
          </w:p>
        </w:tc>
        <w:tc>
          <w:tcPr>
            <w:tcW w:w="7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Balance at the end of year</w:t>
            </w:r>
          </w:p>
        </w:tc>
        <w:tc>
          <w:tcPr>
            <w:tcW w:w="6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1,478</w:t>
            </w:r>
          </w:p>
        </w:tc>
        <w:tc>
          <w:tcPr>
            <w:tcW w:w="2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1,507</w:t>
            </w: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3,469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80" w:type="dxa"/>
            <w:vAlign w:val="bottom"/>
            <w:gridSpan w:val="2"/>
            <w:vMerge w:val="restart"/>
          </w:tcPr>
          <w:p>
            <w:pPr>
              <w:jc w:val="right"/>
              <w:ind w:right="433"/>
              <w:spacing w:after="0"/>
              <w:rPr>
                <w:sz w:val="20"/>
                <w:szCs w:val="20"/>
                <w:color w:val="auto"/>
              </w:rPr>
            </w:pPr>
            <w:r>
              <w:rPr>
                <w:rFonts w:ascii="Arial" w:cs="Arial" w:eastAsia="Arial" w:hAnsi="Arial"/>
                <w:sz w:val="17"/>
                <w:szCs w:val="17"/>
                <w:color w:val="auto"/>
              </w:rPr>
              <w:t>-45-</w:t>
            </w: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460" w:type="dxa"/>
            <w:vAlign w:val="bottom"/>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2" w:name="page183"/>
    <w:bookmarkEnd w:id="182"/>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color w:val="auto"/>
        </w:rPr>
        <w:t>Other assets</w:t>
      </w:r>
    </w:p>
    <w:p>
      <w:pPr>
        <w:spacing w:after="0" w:line="187"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other assets consist of the following:</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7120" w:type="dxa"/>
            <w:vAlign w:val="bottom"/>
          </w:tcPr>
          <w:p>
            <w:pPr>
              <w:spacing w:after="0"/>
              <w:rPr>
                <w:sz w:val="19"/>
                <w:szCs w:val="19"/>
                <w:color w:val="auto"/>
              </w:rPr>
            </w:pPr>
          </w:p>
        </w:tc>
        <w:tc>
          <w:tcPr>
            <w:tcW w:w="2460" w:type="dxa"/>
            <w:vAlign w:val="bottom"/>
            <w:gridSpan w:val="3"/>
          </w:tcPr>
          <w:p>
            <w:pPr>
              <w:ind w:left="840"/>
              <w:spacing w:after="0"/>
              <w:rPr>
                <w:sz w:val="20"/>
                <w:szCs w:val="20"/>
                <w:color w:val="auto"/>
              </w:rPr>
            </w:pPr>
            <w:r>
              <w:rPr>
                <w:rFonts w:ascii="Arial" w:cs="Arial" w:eastAsia="Arial" w:hAnsi="Arial"/>
                <w:sz w:val="17"/>
                <w:szCs w:val="17"/>
                <w:color w:val="auto"/>
              </w:rPr>
              <w:t>As of December 31,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7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Current</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Deposits</w:t>
            </w:r>
          </w:p>
        </w:tc>
        <w:tc>
          <w:tcPr>
            <w:tcW w:w="1420" w:type="dxa"/>
            <w:vAlign w:val="bottom"/>
          </w:tcPr>
          <w:p>
            <w:pPr>
              <w:jc w:val="right"/>
              <w:spacing w:after="0"/>
              <w:rPr>
                <w:sz w:val="20"/>
                <w:szCs w:val="20"/>
                <w:color w:val="auto"/>
              </w:rPr>
            </w:pPr>
            <w:r>
              <w:rPr>
                <w:rFonts w:ascii="Arial" w:cs="Arial" w:eastAsia="Arial" w:hAnsi="Arial"/>
                <w:sz w:val="17"/>
                <w:szCs w:val="17"/>
                <w:color w:val="auto"/>
              </w:rPr>
              <w:t>984</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4,859</w:t>
            </w:r>
          </w:p>
        </w:tc>
        <w:tc>
          <w:tcPr>
            <w:tcW w:w="100" w:type="dxa"/>
            <w:vAlign w:val="bottom"/>
          </w:tcPr>
          <w:p>
            <w:pPr>
              <w:spacing w:after="0"/>
              <w:rPr>
                <w:sz w:val="19"/>
                <w:szCs w:val="19"/>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Prepayments</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1,262</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2,793</w:t>
            </w:r>
          </w:p>
        </w:tc>
        <w:tc>
          <w:tcPr>
            <w:tcW w:w="100" w:type="dxa"/>
            <w:vAlign w:val="bottom"/>
            <w:shd w:val="clear" w:color="auto" w:fill="CFF0FC"/>
          </w:tcPr>
          <w:p>
            <w:pPr>
              <w:spacing w:after="0"/>
              <w:rPr>
                <w:sz w:val="19"/>
                <w:szCs w:val="19"/>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VAT receivable</w:t>
            </w:r>
          </w:p>
        </w:tc>
        <w:tc>
          <w:tcPr>
            <w:tcW w:w="1420" w:type="dxa"/>
            <w:vAlign w:val="bottom"/>
          </w:tcPr>
          <w:p>
            <w:pPr>
              <w:jc w:val="right"/>
              <w:spacing w:after="0"/>
              <w:rPr>
                <w:sz w:val="20"/>
                <w:szCs w:val="20"/>
                <w:color w:val="auto"/>
              </w:rPr>
            </w:pPr>
            <w:r>
              <w:rPr>
                <w:rFonts w:ascii="Arial" w:cs="Arial" w:eastAsia="Arial" w:hAnsi="Arial"/>
                <w:sz w:val="17"/>
                <w:szCs w:val="17"/>
                <w:color w:val="auto"/>
              </w:rPr>
              <w:t>325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Pr>
          <w:p>
            <w:pPr>
              <w:spacing w:after="0"/>
              <w:rPr>
                <w:sz w:val="19"/>
                <w:szCs w:val="19"/>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Others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671</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978</w:t>
            </w:r>
          </w:p>
        </w:tc>
        <w:tc>
          <w:tcPr>
            <w:tcW w:w="100" w:type="dxa"/>
            <w:vAlign w:val="bottom"/>
            <w:shd w:val="clear" w:color="auto" w:fill="CFF0FC"/>
          </w:tcPr>
          <w:p>
            <w:pPr>
              <w:spacing w:after="0"/>
              <w:rPr>
                <w:sz w:val="19"/>
                <w:szCs w:val="19"/>
                <w:color w:val="auto"/>
              </w:rPr>
            </w:pPr>
          </w:p>
        </w:tc>
      </w:tr>
      <w:tr>
        <w:trPr>
          <w:trHeight w:val="254"/>
        </w:trPr>
        <w:tc>
          <w:tcPr>
            <w:tcW w:w="7120" w:type="dxa"/>
            <w:vAlign w:val="bottom"/>
            <w:tcBorders>
              <w:bottom w:val="single" w:sz="8" w:color="CFF0FC"/>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3,242</w:t>
            </w:r>
          </w:p>
        </w:tc>
        <w:tc>
          <w:tcPr>
            <w:tcW w:w="24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8,983</w:t>
            </w:r>
          </w:p>
        </w:tc>
        <w:tc>
          <w:tcPr>
            <w:tcW w:w="100" w:type="dxa"/>
            <w:vAlign w:val="bottom"/>
            <w:tcBorders>
              <w:bottom w:val="single" w:sz="8" w:color="CFF0FC"/>
            </w:tcBorders>
          </w:tcPr>
          <w:p>
            <w:pPr>
              <w:spacing w:after="0"/>
              <w:rPr>
                <w:sz w:val="22"/>
                <w:szCs w:val="22"/>
                <w:color w:val="auto"/>
              </w:rPr>
            </w:pPr>
          </w:p>
        </w:tc>
      </w:tr>
      <w:tr>
        <w:trPr>
          <w:trHeight w:val="200"/>
        </w:trPr>
        <w:tc>
          <w:tcPr>
            <w:tcW w:w="7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Non-current</w:t>
            </w: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Rental deposits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2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840" w:hanging="836"/>
        <w:spacing w:after="0"/>
        <w:tabs>
          <w:tab w:leader="none" w:pos="840" w:val="left"/>
        </w:tabs>
        <w:numPr>
          <w:ilvl w:val="0"/>
          <w:numId w:val="196"/>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200"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4"/>
          </w:tcPr>
          <w:p>
            <w:pPr>
              <w:ind w:left="380"/>
              <w:spacing w:after="0"/>
              <w:rPr>
                <w:sz w:val="20"/>
                <w:szCs w:val="20"/>
                <w:color w:val="auto"/>
              </w:rPr>
            </w:pPr>
            <w:r>
              <w:rPr>
                <w:rFonts w:ascii="Arial" w:cs="Arial" w:eastAsia="Arial" w:hAnsi="Arial"/>
                <w:sz w:val="17"/>
                <w:szCs w:val="17"/>
                <w:color w:val="auto"/>
              </w:rPr>
              <w:t>As of December 31,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Cost:</w:t>
            </w:r>
          </w:p>
        </w:tc>
        <w:tc>
          <w:tcPr>
            <w:tcW w:w="2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7"/>
                <w:szCs w:val="17"/>
                <w:color w:val="auto"/>
              </w:rPr>
              <w:t>Office equipment</w:t>
            </w:r>
          </w:p>
        </w:tc>
        <w:tc>
          <w:tcPr>
            <w:tcW w:w="2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Leasehold improvements</w:t>
            </w:r>
          </w:p>
        </w:tc>
        <w:tc>
          <w:tcPr>
            <w:tcW w:w="2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Furniture and fixtures</w:t>
            </w:r>
          </w:p>
        </w:tc>
        <w:tc>
          <w:tcPr>
            <w:tcW w:w="26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Total cost</w:t>
            </w:r>
          </w:p>
        </w:tc>
        <w:tc>
          <w:tcPr>
            <w:tcW w:w="2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6,943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2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(6,046)</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(6,266)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Exchange differences</w:t>
            </w:r>
          </w:p>
        </w:tc>
        <w:tc>
          <w:tcPr>
            <w:tcW w:w="2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(132)</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0480" w:type="dxa"/>
            <w:vAlign w:val="bottom"/>
            <w:gridSpan w:val="10"/>
          </w:tcPr>
          <w:p>
            <w:pPr>
              <w:ind w:left="840"/>
              <w:spacing w:after="0"/>
              <w:rPr>
                <w:sz w:val="20"/>
                <w:szCs w:val="20"/>
                <w:color w:val="auto"/>
              </w:rPr>
            </w:pPr>
            <w:r>
              <w:rPr>
                <w:rFonts w:ascii="Arial" w:cs="Arial" w:eastAsia="Arial" w:hAnsi="Arial"/>
                <w:sz w:val="17"/>
                <w:szCs w:val="17"/>
                <w:color w:val="auto"/>
              </w:rPr>
              <w:t>Depreciation expense recognized for the years ended December 31, 2017, 2018 and 2019 are summarized as follows: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20" w:type="dxa"/>
            <w:vAlign w:val="bottom"/>
            <w:gridSpan w:val="7"/>
          </w:tcPr>
          <w:p>
            <w:pPr>
              <w:ind w:left="860"/>
              <w:spacing w:after="0"/>
              <w:rPr>
                <w:sz w:val="20"/>
                <w:szCs w:val="20"/>
                <w:color w:val="auto"/>
              </w:rPr>
            </w:pPr>
            <w:r>
              <w:rPr>
                <w:rFonts w:ascii="Arial" w:cs="Arial" w:eastAsia="Arial" w:hAnsi="Arial"/>
                <w:sz w:val="17"/>
                <w:szCs w:val="17"/>
                <w:color w:val="auto"/>
                <w:w w:val="96"/>
              </w:rPr>
              <w:t>For the years ended December 31,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gridSpan w:val="3"/>
          </w:tcPr>
          <w:p>
            <w:pPr>
              <w:jc w:val="right"/>
              <w:ind w:right="20"/>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38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840" w:type="dxa"/>
            <w:vAlign w:val="bottom"/>
            <w:gridSpan w:val="3"/>
          </w:tcPr>
          <w:p>
            <w:pPr>
              <w:jc w:val="right"/>
              <w:ind w:right="20"/>
              <w:spacing w:after="0"/>
              <w:rPr>
                <w:sz w:val="20"/>
                <w:szCs w:val="20"/>
                <w:color w:val="auto"/>
              </w:rPr>
            </w:pPr>
            <w:r>
              <w:rPr>
                <w:rFonts w:ascii="Arial" w:cs="Arial" w:eastAsia="Arial" w:hAnsi="Arial"/>
                <w:sz w:val="17"/>
                <w:szCs w:val="17"/>
                <w:color w:val="auto"/>
              </w:rPr>
              <w:t>108</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124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 expenses</w:t>
            </w:r>
          </w:p>
        </w:tc>
        <w:tc>
          <w:tcPr>
            <w:tcW w:w="38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582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504</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 expenses</w:t>
            </w:r>
          </w:p>
        </w:tc>
        <w:tc>
          <w:tcPr>
            <w:tcW w:w="26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667</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425</w:t>
            </w:r>
          </w:p>
        </w:tc>
        <w:tc>
          <w:tcPr>
            <w:tcW w:w="2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262</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384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1,363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1,059</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334</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20" w:type="dxa"/>
            <w:vAlign w:val="bottom"/>
            <w:tcBorders>
              <w:top w:val="single" w:sz="8" w:color="CFF0FC"/>
            </w:tcBorders>
          </w:tcPr>
          <w:p>
            <w:pPr>
              <w:spacing w:after="0" w:line="20" w:lineRule="exact"/>
              <w:rPr>
                <w:sz w:val="1"/>
                <w:szCs w:val="1"/>
                <w:color w:val="auto"/>
              </w:rPr>
            </w:pPr>
          </w:p>
        </w:tc>
        <w:tc>
          <w:tcPr>
            <w:tcW w:w="2620" w:type="dxa"/>
            <w:vAlign w:val="bottom"/>
            <w:tcBorders>
              <w:top w:val="single" w:sz="8" w:color="CFF0FC"/>
              <w:bottom w:val="single" w:sz="8" w:color="CFF0FC"/>
            </w:tcBorders>
            <w:vMerge w:val="restart"/>
          </w:tcPr>
          <w:p>
            <w:pPr>
              <w:jc w:val="right"/>
              <w:ind w:right="1153"/>
              <w:spacing w:after="0"/>
              <w:rPr>
                <w:sz w:val="20"/>
                <w:szCs w:val="20"/>
                <w:color w:val="auto"/>
              </w:rPr>
            </w:pPr>
            <w:r>
              <w:rPr>
                <w:rFonts w:ascii="Arial" w:cs="Arial" w:eastAsia="Arial" w:hAnsi="Arial"/>
                <w:sz w:val="17"/>
                <w:szCs w:val="17"/>
                <w:color w:val="auto"/>
              </w:rPr>
              <w:t>-46-</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3" w:name="page184"/>
    <w:bookmarkEnd w:id="183"/>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 net</w:t>
      </w:r>
    </w:p>
    <w:p>
      <w:pPr>
        <w:spacing w:after="0" w:line="187"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Intangible assets consist of the following:</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7120" w:type="dxa"/>
            <w:vAlign w:val="bottom"/>
          </w:tcPr>
          <w:p>
            <w:pPr>
              <w:spacing w:after="0"/>
              <w:rPr>
                <w:sz w:val="19"/>
                <w:szCs w:val="19"/>
                <w:color w:val="auto"/>
              </w:rPr>
            </w:pPr>
          </w:p>
        </w:tc>
        <w:tc>
          <w:tcPr>
            <w:tcW w:w="2400" w:type="dxa"/>
            <w:vAlign w:val="bottom"/>
            <w:gridSpan w:val="3"/>
          </w:tcPr>
          <w:p>
            <w:pPr>
              <w:ind w:left="840"/>
              <w:spacing w:after="0"/>
              <w:rPr>
                <w:sz w:val="20"/>
                <w:szCs w:val="20"/>
                <w:color w:val="auto"/>
              </w:rPr>
            </w:pPr>
            <w:r>
              <w:rPr>
                <w:rFonts w:ascii="Arial" w:cs="Arial" w:eastAsia="Arial" w:hAnsi="Arial"/>
                <w:sz w:val="17"/>
                <w:szCs w:val="17"/>
                <w:color w:val="auto"/>
              </w:rPr>
              <w:t>As of December 31,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7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Cost:</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120" w:type="dxa"/>
            <w:vAlign w:val="bottom"/>
          </w:tcPr>
          <w:p>
            <w:pPr>
              <w:ind w:left="240"/>
              <w:spacing w:after="0"/>
              <w:rPr>
                <w:sz w:val="20"/>
                <w:szCs w:val="20"/>
                <w:color w:val="auto"/>
              </w:rPr>
            </w:pPr>
            <w:r>
              <w:rPr>
                <w:rFonts w:ascii="Arial" w:cs="Arial" w:eastAsia="Arial" w:hAnsi="Arial"/>
                <w:sz w:val="17"/>
                <w:szCs w:val="17"/>
                <w:color w:val="auto"/>
              </w:rPr>
              <w:t>Computer software</w:t>
            </w:r>
          </w:p>
        </w:tc>
        <w:tc>
          <w:tcPr>
            <w:tcW w:w="1420" w:type="dxa"/>
            <w:vAlign w:val="bottom"/>
          </w:tcPr>
          <w:p>
            <w:pPr>
              <w:jc w:val="right"/>
              <w:spacing w:after="0"/>
              <w:rPr>
                <w:sz w:val="20"/>
                <w:szCs w:val="20"/>
                <w:color w:val="auto"/>
              </w:rPr>
            </w:pPr>
            <w:r>
              <w:rPr>
                <w:rFonts w:ascii="Arial" w:cs="Arial" w:eastAsia="Arial" w:hAnsi="Arial"/>
                <w:sz w:val="17"/>
                <w:szCs w:val="17"/>
                <w:color w:val="auto"/>
              </w:rPr>
              <w:t>22,382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22,615</w:t>
            </w:r>
          </w:p>
        </w:tc>
        <w:tc>
          <w:tcPr>
            <w:tcW w:w="100" w:type="dxa"/>
            <w:vAlign w:val="bottom"/>
          </w:tcPr>
          <w:p>
            <w:pPr>
              <w:spacing w:after="0"/>
              <w:rPr>
                <w:sz w:val="19"/>
                <w:szCs w:val="19"/>
                <w:color w:val="auto"/>
              </w:rPr>
            </w:pPr>
          </w:p>
        </w:tc>
      </w:tr>
      <w:tr>
        <w:trPr>
          <w:trHeight w:val="221"/>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Developed technologies</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FF0FC"/>
          </w:tcPr>
          <w:p>
            <w:pPr>
              <w:spacing w:after="0"/>
              <w:rPr>
                <w:sz w:val="19"/>
                <w:szCs w:val="19"/>
                <w:color w:val="auto"/>
              </w:rPr>
            </w:pPr>
          </w:p>
        </w:tc>
      </w:tr>
      <w:tr>
        <w:trPr>
          <w:trHeight w:val="221"/>
        </w:trPr>
        <w:tc>
          <w:tcPr>
            <w:tcW w:w="7120" w:type="dxa"/>
            <w:vAlign w:val="bottom"/>
          </w:tcPr>
          <w:p>
            <w:pPr>
              <w:ind w:left="240"/>
              <w:spacing w:after="0"/>
              <w:rPr>
                <w:sz w:val="20"/>
                <w:szCs w:val="20"/>
                <w:color w:val="auto"/>
              </w:rPr>
            </w:pPr>
            <w:r>
              <w:rPr>
                <w:rFonts w:ascii="Arial" w:cs="Arial" w:eastAsia="Arial" w:hAnsi="Arial"/>
                <w:sz w:val="17"/>
                <w:szCs w:val="17"/>
                <w:color w:val="auto"/>
              </w:rPr>
              <w:t>Customer relationship</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19"/>
                <w:szCs w:val="19"/>
                <w:color w:val="auto"/>
              </w:rPr>
            </w:pPr>
          </w:p>
        </w:tc>
      </w:tr>
      <w:tr>
        <w:trPr>
          <w:trHeight w:val="221"/>
        </w:trPr>
        <w:tc>
          <w:tcPr>
            <w:tcW w:w="7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Contract backlog</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w:t>
            </w:r>
          </w:p>
        </w:tc>
        <w:tc>
          <w:tcPr>
            <w:tcW w:w="100" w:type="dxa"/>
            <w:vAlign w:val="bottom"/>
            <w:shd w:val="clear" w:color="auto" w:fill="CFF0FC"/>
          </w:tcPr>
          <w:p>
            <w:pPr>
              <w:spacing w:after="0"/>
              <w:rPr>
                <w:sz w:val="19"/>
                <w:szCs w:val="19"/>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(15,136)</w:t>
            </w:r>
          </w:p>
        </w:tc>
        <w:tc>
          <w:tcPr>
            <w:tcW w:w="7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(19,910)</w:t>
            </w: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Exchange differences</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(117)</w:t>
            </w:r>
          </w:p>
        </w:tc>
      </w:tr>
      <w:tr>
        <w:trPr>
          <w:trHeight w:val="214"/>
        </w:trPr>
        <w:tc>
          <w:tcPr>
            <w:tcW w:w="7120" w:type="dxa"/>
            <w:vAlign w:val="bottom"/>
          </w:tcPr>
          <w:p>
            <w:pPr>
              <w:spacing w:after="0"/>
              <w:rPr>
                <w:sz w:val="20"/>
                <w:szCs w:val="20"/>
                <w:color w:val="auto"/>
              </w:rPr>
            </w:pPr>
            <w:r>
              <w:rPr>
                <w:rFonts w:ascii="Arial" w:cs="Arial" w:eastAsia="Arial" w:hAnsi="Arial"/>
                <w:sz w:val="17"/>
                <w:szCs w:val="17"/>
                <w:color w:val="auto"/>
              </w:rPr>
              <w:t>Intangible assets, net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7,247</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4,418</w:t>
            </w:r>
          </w:p>
        </w:tc>
        <w:tc>
          <w:tcPr>
            <w:tcW w:w="10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Amortization expense recognized for the years ended December 31, 2017, 2018 and 2019 are summarized as follows:</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3460" w:type="dxa"/>
            <w:vAlign w:val="bottom"/>
            <w:gridSpan w:val="5"/>
          </w:tcPr>
          <w:p>
            <w:pPr>
              <w:ind w:left="860"/>
              <w:spacing w:after="0"/>
              <w:rPr>
                <w:sz w:val="20"/>
                <w:szCs w:val="20"/>
                <w:color w:val="auto"/>
              </w:rPr>
            </w:pPr>
            <w:r>
              <w:rPr>
                <w:rFonts w:ascii="Arial" w:cs="Arial" w:eastAsia="Arial" w:hAnsi="Arial"/>
                <w:sz w:val="17"/>
                <w:szCs w:val="17"/>
                <w:color w:val="auto"/>
                <w:w w:val="97"/>
              </w:rPr>
              <w:t>For the years ended December 31,</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4,147</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4,147</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4,771</w:t>
            </w:r>
          </w:p>
        </w:tc>
        <w:tc>
          <w:tcPr>
            <w:tcW w:w="80" w:type="dxa"/>
            <w:vAlign w:val="bottom"/>
            <w:shd w:val="clear" w:color="auto" w:fill="CFF0FC"/>
          </w:tcPr>
          <w:p>
            <w:pPr>
              <w:spacing w:after="0"/>
              <w:rPr>
                <w:sz w:val="19"/>
                <w:szCs w:val="19"/>
                <w:color w:val="auto"/>
              </w:rPr>
            </w:pP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2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 expenses</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r>
      <w:tr>
        <w:trPr>
          <w:trHeight w:val="221"/>
        </w:trPr>
        <w:tc>
          <w:tcPr>
            <w:tcW w:w="6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 expenses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FF0FC"/>
            </w:tcBorders>
          </w:tcPr>
          <w:p>
            <w:pPr>
              <w:spacing w:after="0"/>
              <w:rPr>
                <w:sz w:val="19"/>
                <w:szCs w:val="19"/>
                <w:color w:val="auto"/>
              </w:rPr>
            </w:pPr>
          </w:p>
        </w:tc>
      </w:tr>
      <w:tr>
        <w:trPr>
          <w:trHeight w:val="214"/>
        </w:trPr>
        <w:tc>
          <w:tcPr>
            <w:tcW w:w="6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4,221</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4,167</w:t>
            </w:r>
          </w:p>
        </w:tc>
        <w:tc>
          <w:tcPr>
            <w:tcW w:w="2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4,774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estimated aggregate amortization expense for each of the next five years as of December 31, 2019 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Amortization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expense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of intangible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420" w:type="dxa"/>
            <w:vAlign w:val="bottom"/>
            <w:shd w:val="clear" w:color="auto" w:fill="CFF0FC"/>
          </w:tcPr>
          <w:p>
            <w:pPr>
              <w:jc w:val="right"/>
              <w:ind w:right="1993"/>
              <w:spacing w:after="0"/>
              <w:rPr>
                <w:sz w:val="20"/>
                <w:szCs w:val="20"/>
                <w:color w:val="auto"/>
              </w:rPr>
            </w:pPr>
            <w:r>
              <w:rPr>
                <w:rFonts w:ascii="Arial" w:cs="Arial" w:eastAsia="Arial" w:hAnsi="Arial"/>
                <w:sz w:val="17"/>
                <w:szCs w:val="17"/>
                <w:color w:val="auto"/>
                <w:w w:val="84"/>
              </w:rPr>
              <w:t>2020</w:t>
            </w:r>
          </w:p>
        </w:tc>
        <w:tc>
          <w:tcPr>
            <w:tcW w:w="7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3,093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420" w:type="dxa"/>
            <w:vAlign w:val="bottom"/>
          </w:tcPr>
          <w:p>
            <w:pPr>
              <w:jc w:val="right"/>
              <w:ind w:right="1993"/>
              <w:spacing w:after="0"/>
              <w:rPr>
                <w:sz w:val="20"/>
                <w:szCs w:val="20"/>
                <w:color w:val="auto"/>
              </w:rPr>
            </w:pPr>
            <w:r>
              <w:rPr>
                <w:rFonts w:ascii="Arial" w:cs="Arial" w:eastAsia="Arial" w:hAnsi="Arial"/>
                <w:sz w:val="17"/>
                <w:szCs w:val="17"/>
                <w:color w:val="auto"/>
                <w:w w:val="84"/>
              </w:rPr>
              <w:t>2021</w:t>
            </w:r>
          </w:p>
        </w:tc>
        <w:tc>
          <w:tcPr>
            <w:tcW w:w="7820" w:type="dxa"/>
            <w:vAlign w:val="bottom"/>
            <w:gridSpan w:val="2"/>
          </w:tcPr>
          <w:p>
            <w:pPr>
              <w:jc w:val="right"/>
              <w:spacing w:after="0"/>
              <w:rPr>
                <w:sz w:val="20"/>
                <w:szCs w:val="20"/>
                <w:color w:val="auto"/>
              </w:rPr>
            </w:pPr>
            <w:r>
              <w:rPr>
                <w:rFonts w:ascii="Arial" w:cs="Arial" w:eastAsia="Arial" w:hAnsi="Arial"/>
                <w:sz w:val="17"/>
                <w:szCs w:val="17"/>
                <w:color w:val="auto"/>
              </w:rPr>
              <w:t>664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420" w:type="dxa"/>
            <w:vAlign w:val="bottom"/>
            <w:shd w:val="clear" w:color="auto" w:fill="CFF0FC"/>
          </w:tcPr>
          <w:p>
            <w:pPr>
              <w:jc w:val="right"/>
              <w:ind w:right="1993"/>
              <w:spacing w:after="0"/>
              <w:rPr>
                <w:sz w:val="20"/>
                <w:szCs w:val="20"/>
                <w:color w:val="auto"/>
              </w:rPr>
            </w:pPr>
            <w:r>
              <w:rPr>
                <w:rFonts w:ascii="Arial" w:cs="Arial" w:eastAsia="Arial" w:hAnsi="Arial"/>
                <w:sz w:val="17"/>
                <w:szCs w:val="17"/>
                <w:color w:val="auto"/>
                <w:w w:val="84"/>
              </w:rPr>
              <w:t>2022</w:t>
            </w:r>
          </w:p>
        </w:tc>
        <w:tc>
          <w:tcPr>
            <w:tcW w:w="7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420" w:type="dxa"/>
            <w:vAlign w:val="bottom"/>
          </w:tcPr>
          <w:p>
            <w:pPr>
              <w:jc w:val="right"/>
              <w:ind w:right="1993"/>
              <w:spacing w:after="0"/>
              <w:rPr>
                <w:sz w:val="20"/>
                <w:szCs w:val="20"/>
                <w:color w:val="auto"/>
              </w:rPr>
            </w:pPr>
            <w:r>
              <w:rPr>
                <w:rFonts w:ascii="Arial" w:cs="Arial" w:eastAsia="Arial" w:hAnsi="Arial"/>
                <w:sz w:val="17"/>
                <w:szCs w:val="17"/>
                <w:color w:val="auto"/>
                <w:w w:val="84"/>
              </w:rPr>
              <w:t>2023</w:t>
            </w:r>
          </w:p>
        </w:tc>
        <w:tc>
          <w:tcPr>
            <w:tcW w:w="7820" w:type="dxa"/>
            <w:vAlign w:val="bottom"/>
            <w:gridSpan w:val="2"/>
          </w:tcPr>
          <w:p>
            <w:pPr>
              <w:jc w:val="right"/>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2420" w:type="dxa"/>
            <w:vAlign w:val="bottom"/>
            <w:shd w:val="clear" w:color="auto" w:fill="CFF0FC"/>
          </w:tcPr>
          <w:p>
            <w:pPr>
              <w:jc w:val="right"/>
              <w:ind w:right="1993"/>
              <w:spacing w:after="0"/>
              <w:rPr>
                <w:sz w:val="20"/>
                <w:szCs w:val="20"/>
                <w:color w:val="auto"/>
              </w:rPr>
            </w:pPr>
            <w:r>
              <w:rPr>
                <w:rFonts w:ascii="Arial" w:cs="Arial" w:eastAsia="Arial" w:hAnsi="Arial"/>
                <w:sz w:val="17"/>
                <w:szCs w:val="17"/>
                <w:color w:val="auto"/>
                <w:w w:val="84"/>
              </w:rPr>
              <w:t>2024</w:t>
            </w:r>
          </w:p>
        </w:tc>
        <w:tc>
          <w:tcPr>
            <w:tcW w:w="6100" w:type="dxa"/>
            <w:vAlign w:val="bottom"/>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820" w:type="dxa"/>
            <w:vAlign w:val="bottom"/>
            <w:gridSpan w:val="2"/>
          </w:tcPr>
          <w:p>
            <w:pPr>
              <w:jc w:val="right"/>
              <w:spacing w:after="0"/>
              <w:rPr>
                <w:sz w:val="20"/>
                <w:szCs w:val="20"/>
                <w:color w:val="auto"/>
              </w:rPr>
            </w:pPr>
            <w:r>
              <w:rPr>
                <w:rFonts w:ascii="Arial" w:cs="Arial" w:eastAsia="Arial" w:hAnsi="Arial"/>
                <w:sz w:val="17"/>
                <w:szCs w:val="17"/>
                <w:color w:val="auto"/>
              </w:rPr>
              <w:t>4,418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100" w:type="dxa"/>
            <w:vAlign w:val="bottom"/>
            <w:vMerge w:val="restart"/>
          </w:tcPr>
          <w:p>
            <w:pPr>
              <w:jc w:val="right"/>
              <w:ind w:right="3533"/>
              <w:spacing w:after="0"/>
              <w:rPr>
                <w:sz w:val="20"/>
                <w:szCs w:val="20"/>
                <w:color w:val="auto"/>
              </w:rPr>
            </w:pPr>
            <w:r>
              <w:rPr>
                <w:rFonts w:ascii="Arial" w:cs="Arial" w:eastAsia="Arial" w:hAnsi="Arial"/>
                <w:sz w:val="17"/>
                <w:szCs w:val="17"/>
                <w:color w:val="auto"/>
              </w:rPr>
              <w:t>-47-</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61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4" w:name="page185"/>
    <w:bookmarkEnd w:id="184"/>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187"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color w:val="auto"/>
        </w:rPr>
        <w:t>Movements on goodwill during the year were as follows:</w:t>
      </w:r>
    </w:p>
    <w:p>
      <w:pPr>
        <w:spacing w:after="0" w:line="247" w:lineRule="exact"/>
        <w:rPr>
          <w:sz w:val="20"/>
          <w:szCs w:val="20"/>
          <w:color w:val="auto"/>
        </w:rPr>
      </w:pPr>
    </w:p>
    <w:tbl>
      <w:tblPr>
        <w:tblLayout w:type="fixed"/>
        <w:tblInd w:w="916" w:type="dxa"/>
        <w:tblCellMar>
          <w:top w:w="0" w:type="dxa"/>
          <w:left w:w="0" w:type="dxa"/>
          <w:bottom w:w="0" w:type="dxa"/>
          <w:right w:w="0" w:type="dxa"/>
        </w:tblCellMar>
      </w:tblPr>
      <w:tr>
        <w:trPr>
          <w:trHeight w:val="208"/>
        </w:trPr>
        <w:tc>
          <w:tcPr>
            <w:tcW w:w="6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Marketing</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Enterprise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61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Solutions</w:t>
            </w: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Solutions</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r>
      <w:tr>
        <w:trPr>
          <w:trHeight w:val="209"/>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Balance as of January 1, 2018, December 31,</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2018 and January 1, 2019</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48,496</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48,496</w:t>
            </w:r>
          </w:p>
        </w:tc>
        <w:tc>
          <w:tcPr>
            <w:tcW w:w="80" w:type="dxa"/>
            <w:vAlign w:val="bottom"/>
            <w:shd w:val="clear" w:color="auto" w:fill="CFF0FC"/>
          </w:tcPr>
          <w:p>
            <w:pPr>
              <w:spacing w:after="0"/>
              <w:rPr>
                <w:sz w:val="19"/>
                <w:szCs w:val="19"/>
                <w:color w:val="auto"/>
              </w:rPr>
            </w:pPr>
          </w:p>
        </w:tc>
      </w:tr>
      <w:tr>
        <w:trPr>
          <w:trHeight w:val="209"/>
        </w:trPr>
        <w:tc>
          <w:tcPr>
            <w:tcW w:w="6140" w:type="dxa"/>
            <w:vAlign w:val="bottom"/>
          </w:tcPr>
          <w:p>
            <w:pPr>
              <w:spacing w:after="0"/>
              <w:rPr>
                <w:sz w:val="20"/>
                <w:szCs w:val="20"/>
                <w:color w:val="auto"/>
              </w:rPr>
            </w:pPr>
            <w:r>
              <w:rPr>
                <w:rFonts w:ascii="Arial" w:cs="Arial" w:eastAsia="Arial" w:hAnsi="Arial"/>
                <w:sz w:val="17"/>
                <w:szCs w:val="17"/>
                <w:color w:val="auto"/>
              </w:rPr>
              <w:t>Goodwill arising from acquisitions during the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614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year (Note 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16,089</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17,214</w:t>
            </w:r>
          </w:p>
        </w:tc>
        <w:tc>
          <w:tcPr>
            <w:tcW w:w="80" w:type="dxa"/>
            <w:vAlign w:val="bottom"/>
            <w:tcBorders>
              <w:bottom w:val="single" w:sz="8" w:color="CFF0FC"/>
            </w:tcBorders>
          </w:tcPr>
          <w:p>
            <w:pPr>
              <w:spacing w:after="0"/>
              <w:rPr>
                <w:sz w:val="19"/>
                <w:szCs w:val="19"/>
                <w:color w:val="auto"/>
              </w:rPr>
            </w:pPr>
          </w:p>
        </w:tc>
      </w:tr>
      <w:tr>
        <w:trPr>
          <w:trHeight w:val="214"/>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as of December 31, 2019</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49,621</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16,089</w:t>
            </w:r>
          </w:p>
        </w:tc>
        <w:tc>
          <w:tcPr>
            <w:tcW w:w="2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65,710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836"/>
        <w:spacing w:after="0" w:line="286" w:lineRule="auto"/>
        <w:rPr>
          <w:sz w:val="20"/>
          <w:szCs w:val="20"/>
          <w:color w:val="auto"/>
        </w:rPr>
      </w:pPr>
      <w:r>
        <w:rPr>
          <w:rFonts w:ascii="Arial" w:cs="Arial" w:eastAsia="Arial" w:hAnsi="Arial"/>
          <w:sz w:val="17"/>
          <w:szCs w:val="17"/>
          <w:color w:val="auto"/>
        </w:rPr>
        <w:t>Goodwill is not deductible for tax purposes. The Group performs the annual impairment test on December 31 of each year using a two-step process as explained in Note 2(q).</w:t>
      </w:r>
    </w:p>
    <w:p>
      <w:pPr>
        <w:spacing w:after="0" w:line="133" w:lineRule="exact"/>
        <w:rPr>
          <w:sz w:val="20"/>
          <w:szCs w:val="20"/>
          <w:color w:val="auto"/>
        </w:rPr>
      </w:pPr>
    </w:p>
    <w:p>
      <w:pPr>
        <w:jc w:val="both"/>
        <w:ind w:left="836"/>
        <w:spacing w:after="0" w:line="265" w:lineRule="auto"/>
        <w:rPr>
          <w:sz w:val="20"/>
          <w:szCs w:val="20"/>
          <w:color w:val="auto"/>
        </w:rPr>
      </w:pPr>
      <w:r>
        <w:rPr>
          <w:rFonts w:ascii="Arial" w:cs="Arial" w:eastAsia="Arial" w:hAnsi="Arial"/>
          <w:sz w:val="17"/>
          <w:szCs w:val="17"/>
          <w:color w:val="auto"/>
        </w:rPr>
        <w:t>For the years ended December 31, 2017 and 2018, the Group determined that there was one single operating segment and one single reporting unit for goodwill impairment purpose. In the first step of the goodwill impairment test, the Group estimated the fair value of its reporting unit using the market approach. Under the market approach, the Group utilized the market capitalization of its publicly-traded shares to determine the fair value of the Group, as a single reporting unit.</w:t>
      </w:r>
    </w:p>
    <w:p>
      <w:pPr>
        <w:spacing w:after="0" w:line="138" w:lineRule="exact"/>
        <w:rPr>
          <w:sz w:val="20"/>
          <w:szCs w:val="20"/>
          <w:color w:val="auto"/>
        </w:rPr>
      </w:pPr>
    </w:p>
    <w:p>
      <w:pPr>
        <w:jc w:val="both"/>
        <w:ind w:left="836"/>
        <w:spacing w:after="0" w:line="263" w:lineRule="auto"/>
        <w:rPr>
          <w:sz w:val="20"/>
          <w:szCs w:val="20"/>
          <w:color w:val="auto"/>
        </w:rPr>
      </w:pPr>
      <w:r>
        <w:rPr>
          <w:rFonts w:ascii="Arial" w:cs="Arial" w:eastAsia="Arial" w:hAnsi="Arial"/>
          <w:sz w:val="17"/>
          <w:szCs w:val="17"/>
          <w:color w:val="auto"/>
        </w:rPr>
        <w:t>Following the acquisition of Changyi on January 1, 2019, management determined that the Group operates under two separate operating segments and two separate reporting units for goodwill impairment purpose with the goodwill arising from the acquisition of Changyi of US$5,531 attributed to Enterprise Solutions and the goodwill arising from other acquisitions of US$49,621 attributed to the Marketing Solutions. In the first step of the goodwill impairment test, the Group estimates the fair value of individual reporting unit using a combination of income approach and market approach.</w:t>
      </w:r>
    </w:p>
    <w:p>
      <w:pPr>
        <w:spacing w:after="0" w:line="191" w:lineRule="exact"/>
        <w:rPr>
          <w:sz w:val="20"/>
          <w:szCs w:val="20"/>
          <w:color w:val="auto"/>
        </w:rPr>
      </w:pPr>
    </w:p>
    <w:p>
      <w:pPr>
        <w:jc w:val="both"/>
        <w:ind w:left="836"/>
        <w:spacing w:after="0" w:line="270" w:lineRule="auto"/>
        <w:rPr>
          <w:sz w:val="20"/>
          <w:szCs w:val="20"/>
          <w:color w:val="auto"/>
        </w:rPr>
      </w:pPr>
      <w:r>
        <w:rPr>
          <w:rFonts w:ascii="Arial" w:cs="Arial" w:eastAsia="Arial" w:hAnsi="Arial"/>
          <w:sz w:val="17"/>
          <w:szCs w:val="17"/>
          <w:color w:val="auto"/>
        </w:rPr>
        <w:t>According to the assessment of the first step, as of December 31, 2018 and 2019, the fair values of the reporting units exceeded the respective carrying amounts and goodwill was not considered impaired. Accordingly, the second step was not required. Based on the impairment tests performed, no impairment of goodwill was recorded for all years presented.</w:t>
      </w:r>
    </w:p>
    <w:p>
      <w:pPr>
        <w:spacing w:after="0" w:line="128" w:lineRule="exact"/>
        <w:rPr>
          <w:sz w:val="20"/>
          <w:szCs w:val="20"/>
          <w:color w:val="auto"/>
        </w:rPr>
      </w:pPr>
    </w:p>
    <w:p>
      <w:pPr>
        <w:ind w:left="836" w:hanging="836"/>
        <w:spacing w:after="0"/>
        <w:tabs>
          <w:tab w:leader="none" w:pos="836"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color w:val="auto"/>
        </w:rPr>
        <w:t>Lease Accounting</w:t>
      </w:r>
    </w:p>
    <w:p>
      <w:pPr>
        <w:spacing w:after="0" w:line="187" w:lineRule="exact"/>
        <w:rPr>
          <w:rFonts w:ascii="Arial" w:cs="Arial" w:eastAsia="Arial" w:hAnsi="Arial"/>
          <w:sz w:val="17"/>
          <w:szCs w:val="17"/>
          <w:b w:val="1"/>
          <w:bCs w:val="1"/>
          <w:color w:val="auto"/>
        </w:rPr>
      </w:pPr>
    </w:p>
    <w:p>
      <w:pPr>
        <w:jc w:val="both"/>
        <w:ind w:left="836"/>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The Group adopted ASC 842 as of January 1, 2019. As part of the implementation, the Group recognized its lease liabilities, including the current and non-current portions, within its consolidated balance sheets as of the adoption date, which represents the present value of the Group’s obligation related to the estimated future lease payments. The Group also recognized ROU assets which represent the right to use the leased assets over the period of individual leases. The ROU assets were calculated as the lease liabilities less any asset or liability balances that existed at the time of adoption. The amortization expense of ROU assets amounted to US$1,548 for the year ended December 31, 2019.</w:t>
      </w:r>
    </w:p>
    <w:p>
      <w:pPr>
        <w:spacing w:after="0" w:line="164" w:lineRule="exact"/>
        <w:rPr>
          <w:rFonts w:ascii="Arial" w:cs="Arial" w:eastAsia="Arial" w:hAnsi="Arial"/>
          <w:sz w:val="17"/>
          <w:szCs w:val="17"/>
          <w:b w:val="1"/>
          <w:bCs w:val="1"/>
          <w:color w:val="auto"/>
        </w:rPr>
      </w:pPr>
    </w:p>
    <w:p>
      <w:pPr>
        <w:jc w:val="both"/>
        <w:ind w:left="816"/>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lease term is generally specified in lease agreements, however certain agreements provide for lease term extensions or early termination options. To determine the period for the estimated future lease payments, the Group evaluates whether it is reasonably certain that it will exercise the option at the commencement date and periodically thereafter. The lease terms of the Group’s operating leases generally range from 12 months to 39 months, and the weighted average remaining lease term is 18 months as of December 31, 2019.</w:t>
      </w:r>
    </w:p>
    <w:p>
      <w:pPr>
        <w:spacing w:after="0" w:line="184" w:lineRule="exact"/>
        <w:rPr>
          <w:rFonts w:ascii="Arial" w:cs="Arial" w:eastAsia="Arial" w:hAnsi="Arial"/>
          <w:sz w:val="17"/>
          <w:szCs w:val="17"/>
          <w:b w:val="1"/>
          <w:bCs w:val="1"/>
          <w:color w:val="auto"/>
        </w:rPr>
      </w:pPr>
    </w:p>
    <w:p>
      <w:pPr>
        <w:ind w:left="5536" w:hanging="104"/>
        <w:spacing w:after="0"/>
        <w:tabs>
          <w:tab w:leader="none" w:pos="5536" w:val="left"/>
        </w:tabs>
        <w:numPr>
          <w:ilvl w:val="1"/>
          <w:numId w:val="199"/>
        </w:numPr>
        <w:rPr>
          <w:rFonts w:ascii="Arial" w:cs="Arial" w:eastAsia="Arial" w:hAnsi="Arial"/>
          <w:sz w:val="17"/>
          <w:szCs w:val="17"/>
          <w:color w:val="auto"/>
        </w:rPr>
      </w:pPr>
      <w:r>
        <w:rPr>
          <w:rFonts w:ascii="Arial" w:cs="Arial" w:eastAsia="Arial" w:hAnsi="Arial"/>
          <w:sz w:val="17"/>
          <w:szCs w:val="17"/>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85" w:name="page186"/>
    <w:bookmarkEnd w:id="185"/>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Lease Accounting (Continued)</w:t>
      </w:r>
    </w:p>
    <w:p>
      <w:pPr>
        <w:spacing w:after="0" w:line="239" w:lineRule="exact"/>
        <w:rPr>
          <w:rFonts w:ascii="Arial" w:cs="Arial" w:eastAsia="Arial" w:hAnsi="Arial"/>
          <w:sz w:val="17"/>
          <w:szCs w:val="17"/>
          <w:b w:val="1"/>
          <w:bCs w:val="1"/>
          <w:color w:val="auto"/>
        </w:rPr>
      </w:pPr>
    </w:p>
    <w:p>
      <w:pPr>
        <w:jc w:val="both"/>
        <w:ind w:left="84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To determine the estimated future lease payments, the Group reviews each of its lease agreements to identify the various payment components. The Group includes only the actual lease components in its determination of future lease payments for all the leases. Once the estimated future lease payments are determined, the Group uses a discount rate to calculate the present value of the future lease payments. As of December 31, 2019, a weighted average discount rate of 7.00% has been applied to the remaining lease payments to calculate the lease liabilities included within the consolidated balance sheets. This represents the incremental borrowing rate the Group would be subject to on borrowings from its available revolving debt agreements.</w:t>
      </w:r>
    </w:p>
    <w:p>
      <w:pPr>
        <w:spacing w:after="0" w:line="194"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maturity of the Group’s operating lease liabilities as of December 31, 2019:</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Remaining of</w:t>
            </w:r>
          </w:p>
        </w:tc>
        <w:tc>
          <w:tcPr>
            <w:tcW w:w="1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2020</w:t>
            </w:r>
          </w:p>
        </w:tc>
        <w:tc>
          <w:tcPr>
            <w:tcW w:w="1720" w:type="dxa"/>
            <w:vAlign w:val="bottom"/>
          </w:tcPr>
          <w:p>
            <w:pPr>
              <w:jc w:val="right"/>
              <w:spacing w:after="0"/>
              <w:rPr>
                <w:sz w:val="20"/>
                <w:szCs w:val="20"/>
                <w:color w:val="auto"/>
              </w:rPr>
            </w:pPr>
            <w:r>
              <w:rPr>
                <w:rFonts w:ascii="Arial" w:cs="Arial" w:eastAsia="Arial" w:hAnsi="Arial"/>
                <w:sz w:val="17"/>
                <w:szCs w:val="17"/>
                <w:color w:val="auto"/>
              </w:rPr>
              <w:t>1,200</w:t>
            </w:r>
          </w:p>
        </w:tc>
        <w:tc>
          <w:tcPr>
            <w:tcW w:w="80" w:type="dxa"/>
            <w:vAlign w:val="bottom"/>
          </w:tcPr>
          <w:p>
            <w:pPr>
              <w:spacing w:after="0"/>
              <w:rPr>
                <w:sz w:val="19"/>
                <w:szCs w:val="19"/>
                <w:color w:val="auto"/>
              </w:rPr>
            </w:pPr>
          </w:p>
        </w:tc>
      </w:t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736</w:t>
            </w:r>
          </w:p>
        </w:tc>
        <w:tc>
          <w:tcPr>
            <w:tcW w:w="80" w:type="dxa"/>
            <w:vAlign w:val="bottom"/>
            <w:shd w:val="clear" w:color="auto" w:fill="CFF0FC"/>
          </w:tcPr>
          <w:p>
            <w:pPr>
              <w:spacing w:after="0"/>
              <w:rPr>
                <w:sz w:val="19"/>
                <w:szCs w:val="19"/>
                <w:color w:val="auto"/>
              </w:rPr>
            </w:pPr>
          </w:p>
        </w:tc>
      </w:tr>
      <w:tr>
        <w:trPr>
          <w:trHeight w:val="214"/>
        </w:trPr>
        <w:tc>
          <w:tcPr>
            <w:tcW w:w="8520" w:type="dxa"/>
            <w:vAlign w:val="bottom"/>
          </w:tcPr>
          <w:p>
            <w:pPr>
              <w:spacing w:after="0"/>
              <w:rPr>
                <w:sz w:val="20"/>
                <w:szCs w:val="20"/>
                <w:color w:val="auto"/>
              </w:rPr>
            </w:pPr>
            <w:r>
              <w:rPr>
                <w:rFonts w:ascii="Arial" w:cs="Arial" w:eastAsia="Arial" w:hAnsi="Arial"/>
                <w:sz w:val="17"/>
                <w:szCs w:val="17"/>
                <w:color w:val="auto"/>
              </w:rPr>
              <w:t>Total operating lease payments (undiscounted)</w:t>
            </w:r>
          </w:p>
        </w:tc>
        <w:tc>
          <w:tcPr>
            <w:tcW w:w="1720" w:type="dxa"/>
            <w:vAlign w:val="bottom"/>
          </w:tcPr>
          <w:p>
            <w:pPr>
              <w:jc w:val="right"/>
              <w:spacing w:after="0"/>
              <w:rPr>
                <w:sz w:val="20"/>
                <w:szCs w:val="20"/>
                <w:color w:val="auto"/>
              </w:rPr>
            </w:pPr>
            <w:r>
              <w:rPr>
                <w:rFonts w:ascii="Arial" w:cs="Arial" w:eastAsia="Arial" w:hAnsi="Arial"/>
                <w:sz w:val="17"/>
                <w:szCs w:val="17"/>
                <w:color w:val="auto"/>
              </w:rPr>
              <w:t>1,936</w:t>
            </w:r>
          </w:p>
        </w:tc>
        <w:tc>
          <w:tcPr>
            <w:tcW w:w="80" w:type="dxa"/>
            <w:vAlign w:val="bottom"/>
          </w:tcPr>
          <w:p>
            <w:pPr>
              <w:spacing w:after="0"/>
              <w:rPr>
                <w:sz w:val="18"/>
                <w:szCs w:val="18"/>
                <w:color w:val="auto"/>
              </w:rPr>
            </w:pPr>
          </w:p>
        </w:tc>
      </w:t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Less: Imputed interest</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(116)</w:t>
            </w:r>
          </w:p>
        </w:tc>
      </w:tr>
      <w:tr>
        <w:trPr>
          <w:trHeight w:val="214"/>
        </w:trPr>
        <w:tc>
          <w:tcPr>
            <w:tcW w:w="8520" w:type="dxa"/>
            <w:vAlign w:val="bottom"/>
          </w:tcPr>
          <w:p>
            <w:pPr>
              <w:spacing w:after="0"/>
              <w:rPr>
                <w:sz w:val="20"/>
                <w:szCs w:val="20"/>
                <w:color w:val="auto"/>
              </w:rPr>
            </w:pPr>
            <w:r>
              <w:rPr>
                <w:rFonts w:ascii="Arial" w:cs="Arial" w:eastAsia="Arial" w:hAnsi="Arial"/>
                <w:sz w:val="17"/>
                <w:szCs w:val="17"/>
                <w:color w:val="auto"/>
              </w:rPr>
              <w:t>Total operating lease liabilities (discounted)</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1,820</w:t>
            </w:r>
          </w:p>
        </w:tc>
        <w:tc>
          <w:tcPr>
            <w:tcW w:w="8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840"/>
        <w:spacing w:after="0" w:line="265" w:lineRule="auto"/>
        <w:rPr>
          <w:sz w:val="20"/>
          <w:szCs w:val="20"/>
          <w:color w:val="auto"/>
        </w:rPr>
      </w:pPr>
      <w:r>
        <w:rPr>
          <w:rFonts w:ascii="Arial" w:cs="Arial" w:eastAsia="Arial" w:hAnsi="Arial"/>
          <w:sz w:val="17"/>
          <w:szCs w:val="17"/>
          <w:color w:val="auto"/>
        </w:rPr>
        <w:t>Lease expenses for these leases are recognized on a straight-line basis over the lease term. For short-term leases over which the Group has elected not to apply the recognition requirements of ASC 842, the Group has recognized the lease payments as expenses on a straight-line basis over the lease term. For the years ended December 31, 2017 and 2018, total rental expenses under all operating leases were US$1,862 and US$2,737, respectively. For the year ended December 31, 2019, total lease cost is comprised of the following:</w:t>
      </w:r>
    </w:p>
    <w:p>
      <w:pPr>
        <w:spacing w:after="0" w:line="203" w:lineRule="exact"/>
        <w:rPr>
          <w:sz w:val="20"/>
          <w:szCs w:val="20"/>
          <w:color w:val="auto"/>
        </w:rPr>
      </w:pPr>
    </w:p>
    <w:tbl>
      <w:tblPr>
        <w:tblLayout w:type="fixed"/>
        <w:tblInd w:w="840" w:type="dxa"/>
        <w:tblCellMar>
          <w:top w:w="0" w:type="dxa"/>
          <w:left w:w="0" w:type="dxa"/>
          <w:bottom w:w="0" w:type="dxa"/>
          <w:right w:w="0" w:type="dxa"/>
        </w:tblCellMar>
      </w:tblPr>
      <w:tr>
        <w:trPr>
          <w:trHeight w:val="208"/>
        </w:trPr>
        <w:tc>
          <w:tcPr>
            <w:tcW w:w="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Operating</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lease cost</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Relating to the operating lease liabilities</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Relating to short-term leases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85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7"/>
                <w:szCs w:val="17"/>
                <w:color w:val="auto"/>
                <w:w w:val="96"/>
              </w:rPr>
              <w:t>Supplemental cash flow information related to operating leases for the year ended December 31, 2019 was as follows:</w:t>
            </w: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60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Cash payments for operating leases</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7"/>
                <w:szCs w:val="17"/>
                <w:color w:val="auto"/>
              </w:rPr>
              <w:t>Right-of-use assets obtained in exchange for operating lease liabilities</w:t>
            </w:r>
          </w:p>
        </w:tc>
        <w:tc>
          <w:tcPr>
            <w:tcW w:w="1720" w:type="dxa"/>
            <w:vAlign w:val="bottom"/>
          </w:tcPr>
          <w:p>
            <w:pPr>
              <w:jc w:val="right"/>
              <w:spacing w:after="0"/>
              <w:rPr>
                <w:sz w:val="20"/>
                <w:szCs w:val="20"/>
                <w:color w:val="auto"/>
              </w:rPr>
            </w:pPr>
            <w:r>
              <w:rPr>
                <w:rFonts w:ascii="Arial" w:cs="Arial" w:eastAsia="Arial" w:hAnsi="Arial"/>
                <w:sz w:val="17"/>
                <w:szCs w:val="17"/>
                <w:color w:val="auto"/>
              </w:rPr>
              <w:t>3,199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7940" w:type="dxa"/>
            <w:vAlign w:val="bottom"/>
            <w:gridSpan w:val="3"/>
          </w:tcPr>
          <w:p>
            <w:pPr>
              <w:ind w:left="340"/>
              <w:spacing w:after="0"/>
              <w:rPr>
                <w:sz w:val="20"/>
                <w:szCs w:val="20"/>
                <w:color w:val="auto"/>
              </w:rPr>
            </w:pPr>
            <w:r>
              <w:rPr>
                <w:rFonts w:ascii="Arial" w:cs="Arial" w:eastAsia="Arial" w:hAnsi="Arial"/>
                <w:sz w:val="17"/>
                <w:szCs w:val="17"/>
                <w:b w:val="1"/>
                <w:bCs w:val="1"/>
                <w:color w:val="auto"/>
              </w:rPr>
              <w:t>iCLICK INTERACTIVE ASIA GROUP LIMITED</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4"/>
        </w:trPr>
        <w:tc>
          <w:tcPr>
            <w:tcW w:w="500" w:type="dxa"/>
            <w:vAlign w:val="bottom"/>
          </w:tcPr>
          <w:p>
            <w:pPr>
              <w:spacing w:after="0"/>
              <w:rPr>
                <w:sz w:val="24"/>
                <w:szCs w:val="24"/>
                <w:color w:val="auto"/>
              </w:rPr>
            </w:pPr>
          </w:p>
        </w:tc>
        <w:tc>
          <w:tcPr>
            <w:tcW w:w="7940" w:type="dxa"/>
            <w:vAlign w:val="bottom"/>
            <w:gridSpan w:val="3"/>
          </w:tcPr>
          <w:p>
            <w:pPr>
              <w:ind w:left="340"/>
              <w:spacing w:after="0"/>
              <w:rPr>
                <w:sz w:val="20"/>
                <w:szCs w:val="20"/>
                <w:color w:val="auto"/>
              </w:rPr>
            </w:pPr>
            <w:r>
              <w:rPr>
                <w:rFonts w:ascii="Arial" w:cs="Arial" w:eastAsia="Arial" w:hAnsi="Arial"/>
                <w:sz w:val="17"/>
                <w:szCs w:val="17"/>
                <w:b w:val="1"/>
                <w:bCs w:val="1"/>
                <w:color w:val="auto"/>
              </w:rPr>
              <w:t>NOTES TO THE CONSOLIDATED FINANCIAL STATEMENTS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500" w:type="dxa"/>
            <w:vAlign w:val="bottom"/>
          </w:tcPr>
          <w:p>
            <w:pPr>
              <w:spacing w:after="0"/>
              <w:rPr>
                <w:sz w:val="19"/>
                <w:szCs w:val="19"/>
                <w:color w:val="auto"/>
              </w:rPr>
            </w:pPr>
          </w:p>
        </w:tc>
        <w:tc>
          <w:tcPr>
            <w:tcW w:w="7940" w:type="dxa"/>
            <w:vAlign w:val="bottom"/>
            <w:gridSpan w:val="3"/>
          </w:tcPr>
          <w:p>
            <w:pPr>
              <w:ind w:left="340"/>
              <w:spacing w:after="0"/>
              <w:rPr>
                <w:sz w:val="20"/>
                <w:szCs w:val="20"/>
                <w:color w:val="auto"/>
              </w:rPr>
            </w:pPr>
            <w:r>
              <w:rPr>
                <w:rFonts w:ascii="Arial" w:cs="Arial" w:eastAsia="Arial" w:hAnsi="Arial"/>
                <w:sz w:val="17"/>
                <w:szCs w:val="17"/>
                <w:color w:val="auto"/>
              </w:rPr>
              <w:t>(US$’000, except share data and per share data, or otherwise noted)</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6"/>
        </w:trPr>
        <w:tc>
          <w:tcPr>
            <w:tcW w:w="50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15</w:t>
            </w:r>
          </w:p>
        </w:tc>
        <w:tc>
          <w:tcPr>
            <w:tcW w:w="7940" w:type="dxa"/>
            <w:vAlign w:val="bottom"/>
            <w:gridSpan w:val="3"/>
          </w:tcPr>
          <w:p>
            <w:pPr>
              <w:ind w:left="340"/>
              <w:spacing w:after="0"/>
              <w:rPr>
                <w:sz w:val="20"/>
                <w:szCs w:val="20"/>
                <w:color w:val="auto"/>
              </w:rPr>
            </w:pPr>
            <w:r>
              <w:rPr>
                <w:rFonts w:ascii="Arial" w:cs="Arial" w:eastAsia="Arial" w:hAnsi="Arial"/>
                <w:sz w:val="17"/>
                <w:szCs w:val="17"/>
                <w:b w:val="1"/>
                <w:bCs w:val="1"/>
                <w:color w:val="auto"/>
              </w:rPr>
              <w:t>Deferred revenue</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gridSpan w:val="3"/>
          </w:tcPr>
          <w:p>
            <w:pPr>
              <w:jc w:val="center"/>
              <w:ind w:left="233"/>
              <w:spacing w:after="0"/>
              <w:rPr>
                <w:sz w:val="20"/>
                <w:szCs w:val="20"/>
                <w:color w:val="auto"/>
              </w:rPr>
            </w:pPr>
            <w:r>
              <w:rPr>
                <w:rFonts w:ascii="Arial" w:cs="Arial" w:eastAsia="Arial" w:hAnsi="Arial"/>
                <w:sz w:val="17"/>
                <w:szCs w:val="17"/>
                <w:color w:val="auto"/>
                <w:w w:val="93"/>
              </w:rPr>
              <w:t>As of December 31,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7"/>
                <w:szCs w:val="17"/>
                <w:color w:val="auto"/>
              </w:rPr>
              <w:t>Deferred revenue, current</w:t>
            </w:r>
          </w:p>
        </w:tc>
        <w:tc>
          <w:tcPr>
            <w:tcW w:w="1020" w:type="dxa"/>
            <w:vAlign w:val="bottom"/>
          </w:tcPr>
          <w:p>
            <w:pPr>
              <w:jc w:val="right"/>
              <w:spacing w:after="0"/>
              <w:rPr>
                <w:sz w:val="20"/>
                <w:szCs w:val="20"/>
                <w:color w:val="auto"/>
              </w:rPr>
            </w:pPr>
            <w:r>
              <w:rPr>
                <w:rFonts w:ascii="Arial" w:cs="Arial" w:eastAsia="Arial" w:hAnsi="Arial"/>
                <w:sz w:val="17"/>
                <w:szCs w:val="17"/>
                <w:color w:val="auto"/>
              </w:rPr>
              <w:t>27,191</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27,089</w:t>
            </w:r>
          </w:p>
        </w:tc>
        <w:tc>
          <w:tcPr>
            <w:tcW w:w="10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5"/>
        </w:trPr>
        <w:tc>
          <w:tcPr>
            <w:tcW w:w="500" w:type="dxa"/>
            <w:vAlign w:val="bottom"/>
          </w:tcPr>
          <w:p>
            <w:pPr>
              <w:spacing w:after="0"/>
              <w:rPr>
                <w:sz w:val="24"/>
                <w:szCs w:val="24"/>
                <w:color w:val="auto"/>
              </w:rPr>
            </w:pPr>
          </w:p>
        </w:tc>
        <w:tc>
          <w:tcPr>
            <w:tcW w:w="7940" w:type="dxa"/>
            <w:vAlign w:val="bottom"/>
            <w:gridSpan w:val="3"/>
          </w:tcPr>
          <w:p>
            <w:pPr>
              <w:ind w:left="340"/>
              <w:spacing w:after="0"/>
              <w:rPr>
                <w:sz w:val="20"/>
                <w:szCs w:val="20"/>
                <w:color w:val="auto"/>
              </w:rPr>
            </w:pPr>
            <w:r>
              <w:rPr>
                <w:rFonts w:ascii="Arial" w:cs="Arial" w:eastAsia="Arial" w:hAnsi="Arial"/>
                <w:sz w:val="17"/>
                <w:szCs w:val="17"/>
                <w:color w:val="auto"/>
                <w:w w:val="95"/>
              </w:rPr>
              <w:t>Changes in deferred revenue balance for the years ended December 31, 2018 and 2019 were as follows: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7"/>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gridSpan w:val="3"/>
          </w:tcPr>
          <w:p>
            <w:pPr>
              <w:jc w:val="center"/>
              <w:ind w:left="233"/>
              <w:spacing w:after="0"/>
              <w:rPr>
                <w:sz w:val="20"/>
                <w:szCs w:val="20"/>
                <w:color w:val="auto"/>
              </w:rPr>
            </w:pPr>
            <w:r>
              <w:rPr>
                <w:rFonts w:ascii="Arial" w:cs="Arial" w:eastAsia="Arial" w:hAnsi="Arial"/>
                <w:sz w:val="17"/>
                <w:szCs w:val="17"/>
                <w:color w:val="auto"/>
                <w:w w:val="89"/>
              </w:rPr>
              <w:t>For the years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60" w:type="dxa"/>
            <w:vAlign w:val="bottom"/>
            <w:gridSpan w:val="3"/>
          </w:tcPr>
          <w:p>
            <w:pPr>
              <w:jc w:val="center"/>
              <w:ind w:left="233"/>
              <w:spacing w:after="0"/>
              <w:rPr>
                <w:sz w:val="20"/>
                <w:szCs w:val="20"/>
                <w:color w:val="auto"/>
              </w:rPr>
            </w:pPr>
            <w:r>
              <w:rPr>
                <w:rFonts w:ascii="Arial" w:cs="Arial" w:eastAsia="Arial" w:hAnsi="Arial"/>
                <w:sz w:val="17"/>
                <w:szCs w:val="17"/>
                <w:color w:val="auto"/>
                <w:w w:val="89"/>
              </w:rPr>
              <w:t>December 31,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5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at beginning of year</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33,037</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27,191</w:t>
            </w:r>
          </w:p>
        </w:tc>
        <w:tc>
          <w:tcPr>
            <w:tcW w:w="100" w:type="dxa"/>
            <w:vAlign w:val="bottom"/>
            <w:shd w:val="clear" w:color="auto" w:fill="CFF0FC"/>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7"/>
                <w:szCs w:val="17"/>
                <w:color w:val="auto"/>
              </w:rPr>
              <w:t>Additions to deferred revenue</w:t>
            </w:r>
          </w:p>
        </w:tc>
        <w:tc>
          <w:tcPr>
            <w:tcW w:w="1020" w:type="dxa"/>
            <w:vAlign w:val="bottom"/>
          </w:tcPr>
          <w:p>
            <w:pPr>
              <w:jc w:val="right"/>
              <w:spacing w:after="0"/>
              <w:rPr>
                <w:sz w:val="20"/>
                <w:szCs w:val="20"/>
                <w:color w:val="auto"/>
              </w:rPr>
            </w:pPr>
            <w:r>
              <w:rPr>
                <w:rFonts w:ascii="Arial" w:cs="Arial" w:eastAsia="Arial" w:hAnsi="Arial"/>
                <w:sz w:val="17"/>
                <w:szCs w:val="17"/>
                <w:color w:val="auto"/>
              </w:rPr>
              <w:t>192,822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260,051</w:t>
            </w:r>
          </w:p>
        </w:tc>
        <w:tc>
          <w:tcPr>
            <w:tcW w:w="10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5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Recognition of deferred revenue as revenues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(197,698)</w:t>
            </w:r>
          </w:p>
        </w:tc>
        <w:tc>
          <w:tcPr>
            <w:tcW w:w="7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(259,574)</w:t>
            </w: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7"/>
                <w:szCs w:val="17"/>
                <w:color w:val="auto"/>
              </w:rPr>
              <w:t>Exchange differences</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(970)</w:t>
            </w:r>
          </w:p>
        </w:tc>
        <w:tc>
          <w:tcPr>
            <w:tcW w:w="7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(579)</w:t>
            </w:r>
          </w:p>
        </w:tc>
      </w:tr>
      <w:tr>
        <w:trPr>
          <w:trHeight w:val="214"/>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end of year</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27,191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27,089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840" w:hanging="836"/>
        <w:spacing w:after="0"/>
        <w:tabs>
          <w:tab w:leader="none" w:pos="84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Accrued liabilities and other liabilities</w:t>
      </w:r>
    </w:p>
    <w:p>
      <w:pPr>
        <w:spacing w:after="0" w:line="226"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Accrued liabilities and other liabilities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gridSpan w:val="5"/>
          </w:tcPr>
          <w:p>
            <w:pPr>
              <w:ind w:left="840"/>
              <w:spacing w:after="0"/>
              <w:rPr>
                <w:sz w:val="20"/>
                <w:szCs w:val="20"/>
                <w:color w:val="auto"/>
              </w:rPr>
            </w:pPr>
            <w:r>
              <w:rPr>
                <w:rFonts w:ascii="Arial" w:cs="Arial" w:eastAsia="Arial" w:hAnsi="Arial"/>
                <w:sz w:val="17"/>
                <w:szCs w:val="17"/>
                <w:color w:val="auto"/>
              </w:rPr>
              <w:t>As of December 31,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440" w:type="dxa"/>
            <w:vAlign w:val="bottom"/>
            <w:gridSpan w:val="4"/>
          </w:tcPr>
          <w:p>
            <w:pPr>
              <w:jc w:val="right"/>
              <w:ind w:right="2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Current</w:t>
            </w:r>
          </w:p>
        </w:tc>
        <w:tc>
          <w:tcPr>
            <w:tcW w:w="26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Rebates payable to customers</w:t>
            </w:r>
          </w:p>
        </w:tc>
        <w:tc>
          <w:tcPr>
            <w:tcW w:w="4440" w:type="dxa"/>
            <w:vAlign w:val="bottom"/>
            <w:gridSpan w:val="4"/>
          </w:tcPr>
          <w:p>
            <w:pPr>
              <w:jc w:val="right"/>
              <w:ind w:right="20"/>
              <w:spacing w:after="0"/>
              <w:rPr>
                <w:sz w:val="20"/>
                <w:szCs w:val="20"/>
                <w:color w:val="auto"/>
              </w:rPr>
            </w:pPr>
            <w:r>
              <w:rPr>
                <w:rFonts w:ascii="Arial" w:cs="Arial" w:eastAsia="Arial" w:hAnsi="Arial"/>
                <w:sz w:val="17"/>
                <w:szCs w:val="17"/>
                <w:color w:val="auto"/>
              </w:rPr>
              <w:t>2,209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VAT and other taxes payable</w:t>
            </w:r>
          </w:p>
        </w:tc>
        <w:tc>
          <w:tcPr>
            <w:tcW w:w="444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3,548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Security deposit received from customers</w:t>
            </w:r>
          </w:p>
        </w:tc>
        <w:tc>
          <w:tcPr>
            <w:tcW w:w="4440" w:type="dxa"/>
            <w:vAlign w:val="bottom"/>
            <w:gridSpan w:val="4"/>
          </w:tcPr>
          <w:p>
            <w:pPr>
              <w:jc w:val="right"/>
              <w:ind w:right="20"/>
              <w:spacing w:after="0"/>
              <w:rPr>
                <w:sz w:val="20"/>
                <w:szCs w:val="20"/>
                <w:color w:val="auto"/>
              </w:rPr>
            </w:pPr>
            <w:r>
              <w:rPr>
                <w:rFonts w:ascii="Arial" w:cs="Arial" w:eastAsia="Arial" w:hAnsi="Arial"/>
                <w:sz w:val="17"/>
                <w:szCs w:val="17"/>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Accrued employee benefits</w:t>
            </w:r>
          </w:p>
        </w:tc>
        <w:tc>
          <w:tcPr>
            <w:tcW w:w="444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3,980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Accrued professional fees</w:t>
            </w:r>
          </w:p>
        </w:tc>
        <w:tc>
          <w:tcPr>
            <w:tcW w:w="4440" w:type="dxa"/>
            <w:vAlign w:val="bottom"/>
            <w:gridSpan w:val="4"/>
          </w:tcPr>
          <w:p>
            <w:pPr>
              <w:jc w:val="right"/>
              <w:ind w:right="20"/>
              <w:spacing w:after="0"/>
              <w:rPr>
                <w:sz w:val="20"/>
                <w:szCs w:val="20"/>
                <w:color w:val="auto"/>
              </w:rPr>
            </w:pPr>
            <w:r>
              <w:rPr>
                <w:rFonts w:ascii="Arial" w:cs="Arial" w:eastAsia="Arial" w:hAnsi="Arial"/>
                <w:sz w:val="17"/>
                <w:szCs w:val="17"/>
                <w:color w:val="auto"/>
              </w:rPr>
              <w:t>3,359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Accrued marketing and hosting expense</w:t>
            </w:r>
          </w:p>
        </w:tc>
        <w:tc>
          <w:tcPr>
            <w:tcW w:w="444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1,342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Others</w:t>
            </w:r>
          </w:p>
        </w:tc>
        <w:tc>
          <w:tcPr>
            <w:tcW w:w="3020" w:type="dxa"/>
            <w:vAlign w:val="bottom"/>
            <w:tcBorders>
              <w:bottom w:val="single" w:sz="8" w:color="CFF0FC"/>
            </w:tcBorders>
            <w:gridSpan w:val="2"/>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1,359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shd w:val="clear" w:color="auto" w:fill="CFF0FC"/>
          </w:tcPr>
          <w:p>
            <w:pPr>
              <w:spacing w:after="0"/>
              <w:rPr>
                <w:sz w:val="18"/>
                <w:szCs w:val="18"/>
                <w:color w:val="auto"/>
              </w:rPr>
            </w:pPr>
          </w:p>
        </w:tc>
        <w:tc>
          <w:tcPr>
            <w:tcW w:w="444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16,348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19,937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Non-current</w:t>
            </w:r>
          </w:p>
        </w:tc>
        <w:tc>
          <w:tcPr>
            <w:tcW w:w="26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Deferred other income</w:t>
            </w:r>
          </w:p>
        </w:tc>
        <w:tc>
          <w:tcPr>
            <w:tcW w:w="3020" w:type="dxa"/>
            <w:vAlign w:val="bottom"/>
            <w:tcBorders>
              <w:bottom w:val="single" w:sz="8" w:color="CFF0FC"/>
            </w:tcBorders>
            <w:gridSpan w:val="2"/>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673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449</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233"/>
              <w:spacing w:after="0"/>
              <w:rPr>
                <w:sz w:val="20"/>
                <w:szCs w:val="20"/>
                <w:color w:val="auto"/>
              </w:rPr>
            </w:pPr>
            <w:r>
              <w:rPr>
                <w:rFonts w:ascii="Arial" w:cs="Arial" w:eastAsia="Arial" w:hAnsi="Arial"/>
                <w:sz w:val="17"/>
                <w:szCs w:val="17"/>
                <w:b w:val="1"/>
                <w:bCs w:val="1"/>
                <w:color w:val="auto"/>
                <w:w w:val="84"/>
              </w:rPr>
              <w:t>17</w:t>
            </w:r>
          </w:p>
        </w:tc>
        <w:tc>
          <w:tcPr>
            <w:tcW w:w="4520" w:type="dxa"/>
            <w:vAlign w:val="bottom"/>
            <w:gridSpan w:val="2"/>
            <w:vMerge w:val="restart"/>
          </w:tcPr>
          <w:p>
            <w:pPr>
              <w:ind w:left="340"/>
              <w:spacing w:after="0"/>
              <w:rPr>
                <w:sz w:val="20"/>
                <w:szCs w:val="20"/>
                <w:color w:val="auto"/>
              </w:rPr>
            </w:pPr>
            <w:r>
              <w:rPr>
                <w:rFonts w:ascii="Arial" w:cs="Arial" w:eastAsia="Arial" w:hAnsi="Arial"/>
                <w:sz w:val="17"/>
                <w:szCs w:val="17"/>
                <w:b w:val="1"/>
                <w:bCs w:val="1"/>
                <w:color w:val="auto"/>
              </w:rPr>
              <w:t>Bank borrowings</w:t>
            </w:r>
          </w:p>
        </w:tc>
        <w:tc>
          <w:tcPr>
            <w:tcW w:w="2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500" w:type="dxa"/>
            <w:vAlign w:val="bottom"/>
            <w:vMerge w:val="continue"/>
          </w:tcPr>
          <w:p>
            <w:pPr>
              <w:spacing w:after="0"/>
              <w:rPr>
                <w:sz w:val="24"/>
                <w:szCs w:val="24"/>
                <w:color w:val="auto"/>
              </w:rPr>
            </w:pPr>
          </w:p>
        </w:tc>
        <w:tc>
          <w:tcPr>
            <w:tcW w:w="4520" w:type="dxa"/>
            <w:vAlign w:val="bottom"/>
            <w:gridSpan w:val="2"/>
            <w:vMerge w:val="continue"/>
          </w:tcPr>
          <w:p>
            <w:pPr>
              <w:spacing w:after="0"/>
              <w:rPr>
                <w:sz w:val="24"/>
                <w:szCs w:val="24"/>
                <w:color w:val="auto"/>
              </w:rPr>
            </w:pPr>
          </w:p>
        </w:tc>
        <w:tc>
          <w:tcPr>
            <w:tcW w:w="2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gridSpan w:val="5"/>
          </w:tcPr>
          <w:p>
            <w:pPr>
              <w:ind w:left="680"/>
              <w:spacing w:after="0"/>
              <w:rPr>
                <w:sz w:val="20"/>
                <w:szCs w:val="20"/>
                <w:color w:val="auto"/>
              </w:rPr>
            </w:pPr>
            <w:r>
              <w:rPr>
                <w:rFonts w:ascii="Arial" w:cs="Arial" w:eastAsia="Arial" w:hAnsi="Arial"/>
                <w:sz w:val="17"/>
                <w:szCs w:val="17"/>
                <w:color w:val="auto"/>
              </w:rPr>
              <w:t>As of December 31,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280" w:type="dxa"/>
            <w:vAlign w:val="bottom"/>
            <w:gridSpan w:val="3"/>
          </w:tcPr>
          <w:p>
            <w:pPr>
              <w:jc w:val="right"/>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Half-year revolving loans denominated in RMB</w:t>
            </w:r>
          </w:p>
        </w:tc>
        <w:tc>
          <w:tcPr>
            <w:tcW w:w="2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(Note (i), (ii), (iii),(x))</w:t>
            </w:r>
          </w:p>
        </w:tc>
        <w:tc>
          <w:tcPr>
            <w:tcW w:w="42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9,439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9,851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1-year revolving loan denominated in HK$</w:t>
            </w: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ind w:left="120"/>
              <w:spacing w:after="0"/>
              <w:rPr>
                <w:sz w:val="20"/>
                <w:szCs w:val="20"/>
                <w:color w:val="auto"/>
              </w:rPr>
            </w:pPr>
            <w:r>
              <w:rPr>
                <w:rFonts w:ascii="Arial" w:cs="Arial" w:eastAsia="Arial" w:hAnsi="Arial"/>
                <w:sz w:val="17"/>
                <w:szCs w:val="17"/>
                <w:color w:val="auto"/>
              </w:rPr>
              <w:t>(Note (iv))</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538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1-year revolving loan denominated in RMB</w:t>
            </w:r>
          </w:p>
        </w:tc>
        <w:tc>
          <w:tcPr>
            <w:tcW w:w="2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(Note (vii),(xi))</w:t>
            </w:r>
          </w:p>
        </w:tc>
        <w:tc>
          <w:tcPr>
            <w:tcW w:w="42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6,796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1-year revolving loan denominated in US$ (Note (v),</w:t>
            </w: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00" w:type="dxa"/>
            <w:vAlign w:val="bottom"/>
          </w:tcPr>
          <w:p>
            <w:pPr>
              <w:ind w:left="120"/>
              <w:spacing w:after="0"/>
              <w:rPr>
                <w:sz w:val="20"/>
                <w:szCs w:val="20"/>
                <w:color w:val="auto"/>
              </w:rPr>
            </w:pPr>
            <w:r>
              <w:rPr>
                <w:rFonts w:ascii="Arial" w:cs="Arial" w:eastAsia="Arial" w:hAnsi="Arial"/>
                <w:sz w:val="17"/>
                <w:szCs w:val="17"/>
                <w:color w:val="auto"/>
              </w:rPr>
              <w:t>(vi),(viii),(ix))</w:t>
            </w:r>
          </w:p>
        </w:tc>
        <w:tc>
          <w:tcPr>
            <w:tcW w:w="2680" w:type="dxa"/>
            <w:vAlign w:val="bottom"/>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19,666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4280" w:type="dxa"/>
            <w:vAlign w:val="bottom"/>
            <w:gridSpan w:val="3"/>
          </w:tcPr>
          <w:p>
            <w:pPr>
              <w:jc w:val="right"/>
              <w:spacing w:after="0"/>
              <w:rPr>
                <w:sz w:val="20"/>
                <w:szCs w:val="20"/>
                <w:color w:val="auto"/>
              </w:rPr>
            </w:pPr>
            <w:r>
              <w:rPr>
                <w:rFonts w:ascii="Arial" w:cs="Arial" w:eastAsia="Arial" w:hAnsi="Arial"/>
                <w:sz w:val="17"/>
                <w:szCs w:val="17"/>
                <w:color w:val="auto"/>
              </w:rPr>
              <w:t>9,439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36,851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80" w:type="dxa"/>
            <w:vAlign w:val="bottom"/>
            <w:vMerge w:val="restart"/>
          </w:tcPr>
          <w:p>
            <w:pPr>
              <w:jc w:val="right"/>
              <w:ind w:right="1793"/>
              <w:spacing w:after="0"/>
              <w:rPr>
                <w:sz w:val="20"/>
                <w:szCs w:val="20"/>
                <w:color w:val="auto"/>
              </w:rPr>
            </w:pPr>
            <w:r>
              <w:rPr>
                <w:rFonts w:ascii="Arial" w:cs="Arial" w:eastAsia="Arial" w:hAnsi="Arial"/>
                <w:sz w:val="17"/>
                <w:szCs w:val="17"/>
                <w:color w:val="auto"/>
              </w:rPr>
              <w:t>-50-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7" w:name="page188"/>
    <w:bookmarkEnd w:id="187"/>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right="8180" w:hanging="836"/>
        <w:spacing w:after="0" w:line="498" w:lineRule="auto"/>
        <w:tabs>
          <w:tab w:leader="none" w:pos="836"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Bank borrowings (Continued) </w:t>
      </w:r>
      <w:r>
        <w:rPr>
          <w:rFonts w:ascii="Arial" w:cs="Arial" w:eastAsia="Arial" w:hAnsi="Arial"/>
          <w:sz w:val="17"/>
          <w:szCs w:val="17"/>
          <w:color w:val="auto"/>
        </w:rPr>
        <w:t>Note:</w:t>
      </w:r>
    </w:p>
    <w:p>
      <w:pPr>
        <w:spacing w:after="0" w:line="1" w:lineRule="exact"/>
        <w:rPr>
          <w:rFonts w:ascii="Arial" w:cs="Arial" w:eastAsia="Arial" w:hAnsi="Arial"/>
          <w:sz w:val="17"/>
          <w:szCs w:val="17"/>
          <w:b w:val="1"/>
          <w:bCs w:val="1"/>
          <w:color w:val="auto"/>
        </w:rPr>
      </w:pPr>
    </w:p>
    <w:p>
      <w:pPr>
        <w:jc w:val="both"/>
        <w:ind w:left="1656" w:hanging="823"/>
        <w:spacing w:after="0" w:line="261" w:lineRule="auto"/>
        <w:tabs>
          <w:tab w:leader="none" w:pos="1656" w:val="left"/>
        </w:tabs>
        <w:numPr>
          <w:ilvl w:val="2"/>
          <w:numId w:val="202"/>
        </w:numPr>
        <w:rPr>
          <w:rFonts w:ascii="Arial" w:cs="Arial" w:eastAsia="Arial" w:hAnsi="Arial"/>
          <w:sz w:val="17"/>
          <w:szCs w:val="17"/>
          <w:color w:val="auto"/>
        </w:rPr>
      </w:pPr>
      <w:r>
        <w:rPr>
          <w:rFonts w:ascii="Arial" w:cs="Arial" w:eastAsia="Arial" w:hAnsi="Arial"/>
          <w:sz w:val="17"/>
          <w:szCs w:val="17"/>
          <w:color w:val="auto"/>
        </w:rPr>
        <w:t>On December 27, 2017, the Company, through its PRC subsidiaries, renewed a one-year revolving loan agreement with a bank amounting to RMB50 million (equivalent to US$7,603). The interest rate of this loan facility was the benchmark interest rate determined by the People’s Bank of China for loans over one year granted by financial institutions plus 1.65% per annum. This loan was subsequently renewed for one year in December 2018 amounting to RMB50 million (equivalent to US$7,261) at the interest rate determined by the People’s Bank of China for loans over half year granted by financial institutions plus 2.65% per annum. The loan was subsequently repaid in 2019.</w:t>
      </w:r>
    </w:p>
    <w:p>
      <w:pPr>
        <w:spacing w:after="0" w:line="155" w:lineRule="exact"/>
        <w:rPr>
          <w:rFonts w:ascii="Arial" w:cs="Arial" w:eastAsia="Arial" w:hAnsi="Arial"/>
          <w:sz w:val="17"/>
          <w:szCs w:val="17"/>
          <w:color w:val="auto"/>
        </w:rPr>
      </w:pPr>
    </w:p>
    <w:p>
      <w:pPr>
        <w:jc w:val="both"/>
        <w:ind w:left="1656" w:hanging="823"/>
        <w:spacing w:after="0" w:line="263" w:lineRule="auto"/>
        <w:tabs>
          <w:tab w:leader="none" w:pos="1656" w:val="left"/>
        </w:tabs>
        <w:numPr>
          <w:ilvl w:val="2"/>
          <w:numId w:val="202"/>
        </w:numPr>
        <w:rPr>
          <w:rFonts w:ascii="Arial" w:cs="Arial" w:eastAsia="Arial" w:hAnsi="Arial"/>
          <w:sz w:val="17"/>
          <w:szCs w:val="17"/>
          <w:color w:val="auto"/>
        </w:rPr>
      </w:pPr>
      <w:r>
        <w:rPr>
          <w:rFonts w:ascii="Arial" w:cs="Arial" w:eastAsia="Arial" w:hAnsi="Arial"/>
          <w:sz w:val="17"/>
          <w:szCs w:val="17"/>
          <w:color w:val="auto"/>
        </w:rPr>
        <w:t>On September 21, 2018, the Company, through a PRC subsidiary, entered into a half-year revolving loan agreement with a bank amounting to a total of RMB15 million (equivalent to US$2,178). Corporate guarantee by the Company and accounts receivable of certain subsidiaries of the Company were provided as pledge to secure the obligations under this revolving loan. The interest rate of this loan facility was the benchmark interest rate determined by the People’s Bank of China for loans over half year granted by financial institutions plus 2.65% per annum. The loan was subsequently repaid in 2019.</w:t>
      </w:r>
    </w:p>
    <w:p>
      <w:pPr>
        <w:spacing w:after="0" w:line="138" w:lineRule="exact"/>
        <w:rPr>
          <w:rFonts w:ascii="Arial" w:cs="Arial" w:eastAsia="Arial" w:hAnsi="Arial"/>
          <w:sz w:val="17"/>
          <w:szCs w:val="17"/>
          <w:color w:val="auto"/>
        </w:rPr>
      </w:pPr>
    </w:p>
    <w:p>
      <w:pPr>
        <w:jc w:val="both"/>
        <w:ind w:left="1656" w:hanging="823"/>
        <w:spacing w:after="0" w:line="281" w:lineRule="auto"/>
        <w:tabs>
          <w:tab w:leader="none" w:pos="1656" w:val="left"/>
        </w:tabs>
        <w:numPr>
          <w:ilvl w:val="2"/>
          <w:numId w:val="202"/>
        </w:numPr>
        <w:rPr>
          <w:rFonts w:ascii="Arial" w:cs="Arial" w:eastAsia="Arial" w:hAnsi="Arial"/>
          <w:sz w:val="16"/>
          <w:szCs w:val="16"/>
          <w:color w:val="auto"/>
        </w:rPr>
      </w:pPr>
      <w:r>
        <w:rPr>
          <w:rFonts w:ascii="Arial" w:cs="Arial" w:eastAsia="Arial" w:hAnsi="Arial"/>
          <w:sz w:val="16"/>
          <w:szCs w:val="16"/>
          <w:color w:val="auto"/>
        </w:rPr>
        <w:t>On January 7, 2019 and February 12, 2019, the Company, through a PRC subsidiary, entered into two facility agreements for working capital loans with a bank, which provides for a RMB32 million (equivalent to US$5,000) and RMB64 million (equivalent to US$10,000) half-year revolving loan, respectively. Out of the US$5,000 loan facility, the PRC subsidiary had utilized RMB20.3 million (equivalent to US$2,845) as of December 31, 2019. The Company did not have amounts drawn down under the US$10,000 loan facility which remained outstanding as of December 31, 2019. Corporate guarantee by the Company and deposits of the Company are provided as pledge to secure the obligations under this revolving loan. The interest rate of this loan facility is fixed at 5.25% per annum.</w:t>
      </w:r>
    </w:p>
    <w:p>
      <w:pPr>
        <w:spacing w:after="0" w:line="47" w:lineRule="exact"/>
        <w:rPr>
          <w:rFonts w:ascii="Arial" w:cs="Arial" w:eastAsia="Arial" w:hAnsi="Arial"/>
          <w:sz w:val="16"/>
          <w:szCs w:val="16"/>
          <w:color w:val="auto"/>
        </w:rPr>
      </w:pPr>
    </w:p>
    <w:p>
      <w:pPr>
        <w:jc w:val="both"/>
        <w:ind w:left="1636" w:hanging="829"/>
        <w:spacing w:after="0" w:line="263" w:lineRule="auto"/>
        <w:tabs>
          <w:tab w:leader="none" w:pos="1636" w:val="left"/>
        </w:tabs>
        <w:numPr>
          <w:ilvl w:val="1"/>
          <w:numId w:val="202"/>
        </w:numPr>
        <w:rPr>
          <w:rFonts w:ascii="Arial" w:cs="Arial" w:eastAsia="Arial" w:hAnsi="Arial"/>
          <w:sz w:val="17"/>
          <w:szCs w:val="17"/>
          <w:color w:val="auto"/>
        </w:rPr>
      </w:pPr>
      <w:r>
        <w:rPr>
          <w:rFonts w:ascii="Arial" w:cs="Arial" w:eastAsia="Arial" w:hAnsi="Arial"/>
          <w:sz w:val="17"/>
          <w:szCs w:val="17"/>
          <w:color w:val="auto"/>
        </w:rPr>
        <w:t>On March 18, 2019, the Company through its Hong Kong subsidiaries, entered into a one-year revolving loan agreement with a bank amounting to a total of HK$24 million (equivalent to US$3,057). Out of this loan facility, the Hong Kong subsidiaries had utilized HK$4.2 million (equivalent to US$538) as of December 31, 2019. Corporate guarantee by the Company and accounts receivable of certain subsidiaries of the Company are provided as pledge to secure the obligations under this revolving loan. The interest rate of this loan facility is at 4.25% per annum over 1-month Hong Kong Interbank Offered Rate (“HIBOR”).</w:t>
      </w:r>
    </w:p>
    <w:p>
      <w:pPr>
        <w:spacing w:after="0" w:line="177" w:lineRule="exact"/>
        <w:rPr>
          <w:rFonts w:ascii="Arial" w:cs="Arial" w:eastAsia="Arial" w:hAnsi="Arial"/>
          <w:sz w:val="17"/>
          <w:szCs w:val="17"/>
          <w:color w:val="auto"/>
        </w:rPr>
      </w:pPr>
    </w:p>
    <w:p>
      <w:pPr>
        <w:ind w:left="5536" w:hanging="104"/>
        <w:spacing w:after="0"/>
        <w:tabs>
          <w:tab w:leader="none" w:pos="5536" w:val="left"/>
        </w:tabs>
        <w:numPr>
          <w:ilvl w:val="3"/>
          <w:numId w:val="202"/>
        </w:numPr>
        <w:rPr>
          <w:rFonts w:ascii="Arial" w:cs="Arial" w:eastAsia="Arial" w:hAnsi="Arial"/>
          <w:sz w:val="17"/>
          <w:szCs w:val="17"/>
          <w:color w:val="auto"/>
        </w:rPr>
      </w:pPr>
      <w:r>
        <w:rPr>
          <w:rFonts w:ascii="Arial" w:cs="Arial" w:eastAsia="Arial" w:hAnsi="Arial"/>
          <w:sz w:val="17"/>
          <w:szCs w:val="17"/>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88" w:name="page189"/>
    <w:bookmarkEnd w:id="188"/>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right="8180" w:hanging="836"/>
        <w:spacing w:after="0" w:line="411" w:lineRule="auto"/>
        <w:tabs>
          <w:tab w:leader="none" w:pos="836"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borrowings (Continued) </w:t>
      </w:r>
      <w:r>
        <w:rPr>
          <w:rFonts w:ascii="Arial" w:cs="Arial" w:eastAsia="Arial" w:hAnsi="Arial"/>
          <w:sz w:val="16"/>
          <w:szCs w:val="16"/>
          <w:color w:val="auto"/>
        </w:rPr>
        <w:t>Note: (Continued)</w:t>
      </w:r>
    </w:p>
    <w:p>
      <w:pPr>
        <w:jc w:val="both"/>
        <w:ind w:left="1636" w:hanging="829"/>
        <w:spacing w:after="0" w:line="299" w:lineRule="auto"/>
        <w:tabs>
          <w:tab w:leader="none" w:pos="1636" w:val="left"/>
        </w:tabs>
        <w:numPr>
          <w:ilvl w:val="1"/>
          <w:numId w:val="203"/>
        </w:numPr>
        <w:rPr>
          <w:rFonts w:ascii="Arial" w:cs="Arial" w:eastAsia="Arial" w:hAnsi="Arial"/>
          <w:sz w:val="15"/>
          <w:szCs w:val="15"/>
          <w:color w:val="auto"/>
        </w:rPr>
      </w:pPr>
      <w:r>
        <w:rPr>
          <w:rFonts w:ascii="Arial" w:cs="Arial" w:eastAsia="Arial" w:hAnsi="Arial"/>
          <w:sz w:val="15"/>
          <w:szCs w:val="15"/>
          <w:color w:val="auto"/>
        </w:rPr>
        <w:t>On April 15, 2019, the Company, through its PRC subsidiary, entered into a facility agreement for working capital loans with a bank. The loan facility provides for a US$13,600 one-year revolving loan, which is supported by the US$15,000 standby documentary credit facilities stated in Note 17(ix). On September 24, 2019, this loan was subsequently amended which provides for a US$20,000 one-year revolving loan. Out of this loan facility, the PRC subsidiary had utilized US$2,840 as of December 31, 2019. Corporate guarantee by the Company and deposits and accounts receivable of certain subsidiaries of the Company are provided as pledge to secure the obligations under this revolving loan. The interest rate of this loan facility is either (i) 120% of the benchmark interest rate determined by the People’s Bank of China for a one-year loan granted by financial institutions if the loan is drawn down in RMB, or (ii) 1-month LIBOR plus 3.00% per annum if the loan is drawn down in US$. The total balance of US$2,840 as of December 31, 2019 was wholly drawn down in US$.</w:t>
      </w:r>
    </w:p>
    <w:p>
      <w:pPr>
        <w:spacing w:after="0" w:line="89" w:lineRule="exact"/>
        <w:rPr>
          <w:rFonts w:ascii="Arial" w:cs="Arial" w:eastAsia="Arial" w:hAnsi="Arial"/>
          <w:sz w:val="15"/>
          <w:szCs w:val="15"/>
          <w:color w:val="auto"/>
        </w:rPr>
      </w:pPr>
    </w:p>
    <w:p>
      <w:pPr>
        <w:jc w:val="both"/>
        <w:ind w:left="1636" w:hanging="829"/>
        <w:spacing w:after="0" w:line="263" w:lineRule="auto"/>
        <w:tabs>
          <w:tab w:leader="none" w:pos="1636" w:val="left"/>
        </w:tabs>
        <w:numPr>
          <w:ilvl w:val="1"/>
          <w:numId w:val="203"/>
        </w:numPr>
        <w:rPr>
          <w:rFonts w:ascii="Arial" w:cs="Arial" w:eastAsia="Arial" w:hAnsi="Arial"/>
          <w:sz w:val="17"/>
          <w:szCs w:val="17"/>
          <w:color w:val="auto"/>
        </w:rPr>
      </w:pPr>
      <w:r>
        <w:rPr>
          <w:rFonts w:ascii="Arial" w:cs="Arial" w:eastAsia="Arial" w:hAnsi="Arial"/>
          <w:sz w:val="17"/>
          <w:szCs w:val="17"/>
          <w:color w:val="auto"/>
        </w:rPr>
        <w:t>On May 23, 2019, the Company, through its Hong Kong subsidiary, entered into a facility agreement for working capital loans with a bank, which provides for a US$10,000 one-year revolving loan. Out of this loan facility, the Hong Kong subsidiary had utilized US$6,984 as of December 31, 2019. Corporate guarantee of the Company and deposits of a subsidiary of the Company are provided as pledge to secure the obligations under this revolving loan. The interest rate of this loan facility is 1.00% per annum over deposit rate on the pledged deposit.</w:t>
      </w:r>
    </w:p>
    <w:p>
      <w:pPr>
        <w:spacing w:after="0" w:line="112" w:lineRule="exact"/>
        <w:rPr>
          <w:rFonts w:ascii="Arial" w:cs="Arial" w:eastAsia="Arial" w:hAnsi="Arial"/>
          <w:sz w:val="17"/>
          <w:szCs w:val="17"/>
          <w:color w:val="auto"/>
        </w:rPr>
      </w:pPr>
    </w:p>
    <w:p>
      <w:pPr>
        <w:jc w:val="both"/>
        <w:ind w:left="1636" w:hanging="829"/>
        <w:spacing w:after="0" w:line="260" w:lineRule="auto"/>
        <w:tabs>
          <w:tab w:leader="none" w:pos="1636" w:val="left"/>
        </w:tabs>
        <w:numPr>
          <w:ilvl w:val="1"/>
          <w:numId w:val="203"/>
        </w:numPr>
        <w:rPr>
          <w:rFonts w:ascii="Arial" w:cs="Arial" w:eastAsia="Arial" w:hAnsi="Arial"/>
          <w:sz w:val="17"/>
          <w:szCs w:val="17"/>
          <w:color w:val="auto"/>
        </w:rPr>
      </w:pPr>
      <w:r>
        <w:rPr>
          <w:rFonts w:ascii="Arial" w:cs="Arial" w:eastAsia="Arial" w:hAnsi="Arial"/>
          <w:sz w:val="17"/>
          <w:szCs w:val="17"/>
          <w:color w:val="auto"/>
        </w:rPr>
        <w:t>On August 29, 2019, the Company, through its PRC subsidiaries, entered into a facility agreement for working capital loans with a bank, which provides for a RMB18.5 million (equivalent to US$2,592) one-year revolving loan. Out of this loan facility, the PRC subsidiary had utilized RMB18.5 million (equivalent to US$2,592) as of December 31, 2019. Corporate guarantee of the Company and deposits of a Hong Kong subsidiary of the Company are provided as pledge to secure the obligations under this revolving loan. The interest rate of this loan facility was the benchmark interest rate determined by the People’s Bank of China for loans over one year granted by financial institutions plus 1.00% per annum. This loan was subsequently renewed in September 2019 whereby the interest rate of this loan facility was amended to be fixed at 5.22% per annum.</w:t>
      </w:r>
    </w:p>
    <w:p>
      <w:pPr>
        <w:spacing w:after="0" w:line="117" w:lineRule="exact"/>
        <w:rPr>
          <w:rFonts w:ascii="Arial" w:cs="Arial" w:eastAsia="Arial" w:hAnsi="Arial"/>
          <w:sz w:val="17"/>
          <w:szCs w:val="17"/>
          <w:color w:val="auto"/>
        </w:rPr>
      </w:pPr>
    </w:p>
    <w:p>
      <w:pPr>
        <w:jc w:val="both"/>
        <w:ind w:left="1636" w:hanging="829"/>
        <w:spacing w:after="0" w:line="263" w:lineRule="auto"/>
        <w:tabs>
          <w:tab w:leader="none" w:pos="1636" w:val="left"/>
        </w:tabs>
        <w:numPr>
          <w:ilvl w:val="1"/>
          <w:numId w:val="203"/>
        </w:numPr>
        <w:rPr>
          <w:rFonts w:ascii="Arial" w:cs="Arial" w:eastAsia="Arial" w:hAnsi="Arial"/>
          <w:sz w:val="17"/>
          <w:szCs w:val="17"/>
          <w:color w:val="auto"/>
        </w:rPr>
      </w:pPr>
      <w:r>
        <w:rPr>
          <w:rFonts w:ascii="Arial" w:cs="Arial" w:eastAsia="Arial" w:hAnsi="Arial"/>
          <w:sz w:val="17"/>
          <w:szCs w:val="17"/>
          <w:color w:val="auto"/>
        </w:rPr>
        <w:t>On August 29, 2019, the Company, through its Hong Kong subsidiaries, entered into a facility agreement for working capital loans with a bank, which provides for a US$1,600 one-year revolving loan. Out of this loan facility, the Hong Kong subsidiaries had utilized US$1,600 as of December 31, 2019. Corporate guarantee of the Company and deposits of a Hong Kong subsidiary of the Company are provided as pledge to secure the obligations under this revolving loan. The interest rate of this loan facility is the 1-month London Inter-bank Offered Rate (“LIBOR”) plus 1.00% per annum.</w:t>
      </w:r>
    </w:p>
    <w:p>
      <w:pPr>
        <w:spacing w:after="0" w:line="112" w:lineRule="exact"/>
        <w:rPr>
          <w:rFonts w:ascii="Arial" w:cs="Arial" w:eastAsia="Arial" w:hAnsi="Arial"/>
          <w:sz w:val="17"/>
          <w:szCs w:val="17"/>
          <w:color w:val="auto"/>
        </w:rPr>
      </w:pPr>
    </w:p>
    <w:p>
      <w:pPr>
        <w:jc w:val="both"/>
        <w:ind w:left="1636" w:hanging="829"/>
        <w:spacing w:after="0" w:line="273" w:lineRule="auto"/>
        <w:tabs>
          <w:tab w:leader="none" w:pos="1636" w:val="left"/>
        </w:tabs>
        <w:numPr>
          <w:ilvl w:val="1"/>
          <w:numId w:val="203"/>
        </w:numPr>
        <w:rPr>
          <w:rFonts w:ascii="Arial" w:cs="Arial" w:eastAsia="Arial" w:hAnsi="Arial"/>
          <w:sz w:val="16"/>
          <w:szCs w:val="16"/>
          <w:color w:val="auto"/>
        </w:rPr>
      </w:pPr>
      <w:r>
        <w:rPr>
          <w:rFonts w:ascii="Arial" w:cs="Arial" w:eastAsia="Arial" w:hAnsi="Arial"/>
          <w:sz w:val="16"/>
          <w:szCs w:val="16"/>
          <w:color w:val="auto"/>
        </w:rPr>
        <w:t>On October 4, 2019, the Company through its Hong Kong subsidiaries, entered into a one-year facility agreement for working capital loans with a bank, which provides for (i) US$15,000 standby documentary credit facilities, (ii) US$10,000 combined limit for pre-shipment buyer loan and revolving loan, and (iii) US$1,000 overdraft facilities. Out of these loan facilities, the Hong Kong subsidiaries had utilized US$8,242 as of December 31, 2019. Corporate guarantee of the Company and bank deposits of certain subsidiaries of the Company are provided as pledge to secure the obligations under these loan facilities. For the pre-shipment buyer loan, the interest rate is at either (i) HIBOR plus 3.85% per annum if the loan is drawn down in HK$, or (ii) LIBOR plus 3.85% per annum if the loan is drawn down in US$. For the revolving loan, the interest rate is at either (i) HIBOR plus 4.25% per annum if the loan is drawn down in HK$, or</w:t>
      </w:r>
    </w:p>
    <w:p>
      <w:pPr>
        <w:spacing w:after="0" w:line="4" w:lineRule="exact"/>
        <w:rPr>
          <w:rFonts w:ascii="Arial" w:cs="Arial" w:eastAsia="Arial" w:hAnsi="Arial"/>
          <w:sz w:val="16"/>
          <w:szCs w:val="16"/>
          <w:color w:val="auto"/>
        </w:rPr>
      </w:pPr>
    </w:p>
    <w:p>
      <w:pPr>
        <w:ind w:left="1636" w:firstLine="3"/>
        <w:spacing w:after="0" w:line="271" w:lineRule="auto"/>
        <w:tabs>
          <w:tab w:leader="none" w:pos="1898" w:val="left"/>
        </w:tabs>
        <w:numPr>
          <w:ilvl w:val="2"/>
          <w:numId w:val="203"/>
        </w:numPr>
        <w:rPr>
          <w:rFonts w:ascii="Arial" w:cs="Arial" w:eastAsia="Arial" w:hAnsi="Arial"/>
          <w:sz w:val="17"/>
          <w:szCs w:val="17"/>
          <w:color w:val="auto"/>
        </w:rPr>
      </w:pPr>
      <w:r>
        <w:rPr>
          <w:rFonts w:ascii="Arial" w:cs="Arial" w:eastAsia="Arial" w:hAnsi="Arial"/>
          <w:sz w:val="17"/>
          <w:szCs w:val="17"/>
          <w:color w:val="auto"/>
        </w:rPr>
        <w:t>LIBOR plus 4.25% per annum if the loan is drawn down in US$. For the overdraft facility, the interest rate is at the bank’s US$ best lending rate.</w:t>
      </w:r>
    </w:p>
    <w:p>
      <w:pPr>
        <w:spacing w:after="0" w:line="170" w:lineRule="exact"/>
        <w:rPr>
          <w:rFonts w:ascii="Arial" w:cs="Arial" w:eastAsia="Arial" w:hAnsi="Arial"/>
          <w:sz w:val="17"/>
          <w:szCs w:val="17"/>
          <w:color w:val="auto"/>
        </w:rPr>
      </w:pPr>
    </w:p>
    <w:p>
      <w:pPr>
        <w:ind w:left="5536" w:hanging="104"/>
        <w:spacing w:after="0"/>
        <w:tabs>
          <w:tab w:leader="none" w:pos="5536" w:val="left"/>
        </w:tabs>
        <w:numPr>
          <w:ilvl w:val="3"/>
          <w:numId w:val="203"/>
        </w:numPr>
        <w:rPr>
          <w:rFonts w:ascii="Arial" w:cs="Arial" w:eastAsia="Arial" w:hAnsi="Arial"/>
          <w:sz w:val="17"/>
          <w:szCs w:val="17"/>
          <w:color w:val="auto"/>
        </w:rPr>
      </w:pPr>
      <w:r>
        <w:rPr>
          <w:rFonts w:ascii="Arial" w:cs="Arial" w:eastAsia="Arial" w:hAnsi="Arial"/>
          <w:sz w:val="17"/>
          <w:szCs w:val="17"/>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89" w:name="page190"/>
    <w:bookmarkEnd w:id="189"/>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right="8180" w:hanging="836"/>
        <w:spacing w:after="0" w:line="436" w:lineRule="auto"/>
        <w:tabs>
          <w:tab w:leader="none" w:pos="840"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borrowings (Continued) </w:t>
      </w:r>
      <w:r>
        <w:rPr>
          <w:rFonts w:ascii="Arial" w:cs="Arial" w:eastAsia="Arial" w:hAnsi="Arial"/>
          <w:sz w:val="16"/>
          <w:szCs w:val="16"/>
          <w:color w:val="auto"/>
        </w:rPr>
        <w:t>Note: (Continued)</w:t>
      </w:r>
    </w:p>
    <w:p>
      <w:pPr>
        <w:jc w:val="both"/>
        <w:ind w:left="1640" w:hanging="829"/>
        <w:spacing w:after="0" w:line="263" w:lineRule="auto"/>
        <w:tabs>
          <w:tab w:leader="none" w:pos="164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On December 20, 2019, the Company, through its PRC subsidiaries, entered into a facility agreement for working capital loans with a bank, which provides for a RMB50 million (equivalent to US$7,006) half-year revolving loan. Out of this loan facility, the PRC subsidiary had utilized RMB50 million (equivalent to US$7,006) as of December 31, 2019. Corporate guarantee of the Company and accounts receivable of certain subsidiaries of the Company are provided as pledge to secure the obligations under this revolving loan. The interest rate of this loan facility is fixed at 7% per annum.</w:t>
      </w:r>
    </w:p>
    <w:p>
      <w:pPr>
        <w:spacing w:after="0" w:line="112" w:lineRule="exact"/>
        <w:rPr>
          <w:rFonts w:ascii="Arial" w:cs="Arial" w:eastAsia="Arial" w:hAnsi="Arial"/>
          <w:sz w:val="17"/>
          <w:szCs w:val="17"/>
          <w:color w:val="auto"/>
        </w:rPr>
      </w:pPr>
    </w:p>
    <w:p>
      <w:pPr>
        <w:jc w:val="both"/>
        <w:ind w:left="1640" w:hanging="829"/>
        <w:spacing w:after="0" w:line="263" w:lineRule="auto"/>
        <w:tabs>
          <w:tab w:leader="none" w:pos="164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On December 20, 2019, the Company, through its PRC subsidiaries, entered into a facility agreement for working capital loans with a bank, which provides for a RMB50 million (equivalent to US$7,006) one-year revolving loan. Out of this loan facility, the PRC subsidiary had utilized RMB30 million (equivalent to US$4,204) as of December 31, 2019. Corporate guarantee of the Company and deposits of certain subsidiaries of the Company are provided as pledge to secure the obligations under this revolving loan. The interest rate of this loan facility is fixed at 4.95% per annum.</w:t>
      </w:r>
    </w:p>
    <w:p>
      <w:pPr>
        <w:spacing w:after="0" w:line="112" w:lineRule="exact"/>
        <w:rPr>
          <w:rFonts w:ascii="Arial" w:cs="Arial" w:eastAsia="Arial" w:hAnsi="Arial"/>
          <w:sz w:val="17"/>
          <w:szCs w:val="17"/>
          <w:color w:val="auto"/>
        </w:rPr>
      </w:pPr>
    </w:p>
    <w:p>
      <w:pPr>
        <w:jc w:val="both"/>
        <w:ind w:left="1660" w:hanging="823"/>
        <w:spacing w:after="0" w:line="270" w:lineRule="auto"/>
        <w:tabs>
          <w:tab w:leader="none" w:pos="1660" w:val="left"/>
        </w:tabs>
        <w:numPr>
          <w:ilvl w:val="2"/>
          <w:numId w:val="204"/>
        </w:numPr>
        <w:rPr>
          <w:rFonts w:ascii="Arial" w:cs="Arial" w:eastAsia="Arial" w:hAnsi="Arial"/>
          <w:sz w:val="17"/>
          <w:szCs w:val="17"/>
          <w:color w:val="auto"/>
        </w:rPr>
      </w:pPr>
      <w:r>
        <w:rPr>
          <w:rFonts w:ascii="Arial" w:cs="Arial" w:eastAsia="Arial" w:hAnsi="Arial"/>
          <w:sz w:val="17"/>
          <w:szCs w:val="17"/>
          <w:color w:val="auto"/>
        </w:rPr>
        <w:t>As of December 31, 2019, no financial covenants (minimum monthly adjusted quick ratio and minimum quarterly earnings before interest, tax, depreciation and amortization (“EBITDA”) as defined in the banking facilities agreements) as set out in these loan agreements have been breached.</w:t>
      </w:r>
    </w:p>
    <w:p>
      <w:pPr>
        <w:spacing w:after="0" w:line="108"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The weighted average interest rate for bank loans outstanding as of December 31, 2018 and 2019 was 7.00% and 5.17% per annum, respectively. Other than those shown above, the Company did not have any significant capital and other commitments, long-term obligations, or guarantees as of December 31, 2018 and 2019.</w:t>
      </w:r>
    </w:p>
    <w:p>
      <w:pPr>
        <w:spacing w:after="0" w:line="1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7"/>
          <w:szCs w:val="17"/>
          <w:b w:val="1"/>
          <w:bCs w:val="1"/>
          <w:color w:val="auto"/>
        </w:rPr>
        <w:t>Convertible notes at fair value</w:t>
      </w:r>
    </w:p>
    <w:p>
      <w:pPr>
        <w:spacing w:after="0" w:line="221" w:lineRule="exact"/>
        <w:rPr>
          <w:sz w:val="20"/>
          <w:szCs w:val="20"/>
          <w:color w:val="auto"/>
        </w:rPr>
      </w:pPr>
    </w:p>
    <w:p>
      <w:pPr>
        <w:ind w:left="840" w:hanging="836"/>
        <w:spacing w:after="0"/>
        <w:tabs>
          <w:tab w:leader="none" w:pos="840"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notes issued in 2018</w:t>
      </w:r>
    </w:p>
    <w:p>
      <w:pPr>
        <w:spacing w:after="0" w:line="174" w:lineRule="exact"/>
        <w:rPr>
          <w:rFonts w:ascii="Arial" w:cs="Arial" w:eastAsia="Arial" w:hAnsi="Arial"/>
          <w:sz w:val="17"/>
          <w:szCs w:val="17"/>
          <w:b w:val="1"/>
          <w:bCs w:val="1"/>
          <w:color w:val="auto"/>
        </w:rPr>
      </w:pPr>
    </w:p>
    <w:p>
      <w:pPr>
        <w:jc w:val="both"/>
        <w:ind w:left="840"/>
        <w:spacing w:after="0" w:line="223" w:lineRule="auto"/>
        <w:rPr>
          <w:rFonts w:ascii="Arial" w:cs="Arial" w:eastAsia="Arial" w:hAnsi="Arial"/>
          <w:sz w:val="17"/>
          <w:szCs w:val="17"/>
          <w:b w:val="1"/>
          <w:bCs w:val="1"/>
          <w:color w:val="auto"/>
        </w:rPr>
      </w:pPr>
      <w:r>
        <w:rPr>
          <w:rFonts w:ascii="Arial" w:cs="Arial" w:eastAsia="Arial" w:hAnsi="Arial"/>
          <w:sz w:val="17"/>
          <w:szCs w:val="17"/>
          <w:color w:val="auto"/>
        </w:rPr>
        <w:t>On September 12, 2018, the Company issued US$30,000 of zero-coupon convertible notes (“the 2018 Notes”) at par. The 2018 Notes mature on September 12, 2023 and are non-interest bearing, unless the 2018 Notes are redeemed or repaid upon the occurrence of events of default or relevant events as defined in the agreement whereby an interest of 5% per annum would be charged. The Company considers the likelihood of occurrence of events or relevant events as defined in the agreement to be remote.</w:t>
      </w:r>
    </w:p>
    <w:p>
      <w:pPr>
        <w:spacing w:after="0" w:line="119" w:lineRule="exact"/>
        <w:rPr>
          <w:rFonts w:ascii="Arial" w:cs="Arial" w:eastAsia="Arial" w:hAnsi="Arial"/>
          <w:sz w:val="17"/>
          <w:szCs w:val="17"/>
          <w:b w:val="1"/>
          <w:bCs w:val="1"/>
          <w:color w:val="auto"/>
        </w:rPr>
      </w:pPr>
    </w:p>
    <w:p>
      <w:pPr>
        <w:jc w:val="both"/>
        <w:ind w:left="840"/>
        <w:spacing w:after="0" w:line="216" w:lineRule="auto"/>
        <w:rPr>
          <w:rFonts w:ascii="Arial" w:cs="Arial" w:eastAsia="Arial" w:hAnsi="Arial"/>
          <w:sz w:val="17"/>
          <w:szCs w:val="17"/>
          <w:b w:val="1"/>
          <w:bCs w:val="1"/>
          <w:color w:val="auto"/>
        </w:rPr>
      </w:pPr>
      <w:r>
        <w:rPr>
          <w:rFonts w:ascii="Arial" w:cs="Arial" w:eastAsia="Arial" w:hAnsi="Arial"/>
          <w:sz w:val="17"/>
          <w:szCs w:val="17"/>
          <w:color w:val="auto"/>
        </w:rPr>
        <w:t>Holder of the 2018 Notes has the option to convert the 2018 Notes at any time on or after October 22, 2018 up to the close of business of the maturity date (the “2018 Notes Conversion Period”). Any outstanding principal amount not converted within the 2018 Notes Conversion Period will mandatorily be converted on the maturity date. The 2018 Notes can be converted into the Company’s ADSs at an conversion price of 92% of the lowest of (i) the volume weighted average prices (“VWAP”) of the ADSs over the period from the issue date to the conversion date, (ii) the VWAP of the ADSs over the five trading day period preceding the conversion date, and (iii) a fixed price of US$8. Notwithstanding the foregoing, in no event will the Conversion Price be less than US$2.78. The Company will not issue any fractional ADSs upon conversion of the 2018 Notes and will instead pay cash in lieu of any fractional ADSs deliverable upon conversion.</w:t>
      </w:r>
    </w:p>
    <w:p>
      <w:pPr>
        <w:spacing w:after="0" w:line="134" w:lineRule="exact"/>
        <w:rPr>
          <w:rFonts w:ascii="Arial" w:cs="Arial" w:eastAsia="Arial" w:hAnsi="Arial"/>
          <w:sz w:val="17"/>
          <w:szCs w:val="17"/>
          <w:b w:val="1"/>
          <w:bCs w:val="1"/>
          <w:color w:val="auto"/>
        </w:rPr>
      </w:pPr>
    </w:p>
    <w:p>
      <w:pPr>
        <w:ind w:left="840"/>
        <w:spacing w:after="0" w:line="268" w:lineRule="auto"/>
        <w:rPr>
          <w:rFonts w:ascii="Arial" w:cs="Arial" w:eastAsia="Arial" w:hAnsi="Arial"/>
          <w:sz w:val="17"/>
          <w:szCs w:val="17"/>
          <w:b w:val="1"/>
          <w:bCs w:val="1"/>
          <w:color w:val="auto"/>
        </w:rPr>
      </w:pPr>
      <w:r>
        <w:rPr>
          <w:rFonts w:ascii="Arial" w:cs="Arial" w:eastAsia="Arial" w:hAnsi="Arial"/>
          <w:sz w:val="16"/>
          <w:szCs w:val="16"/>
          <w:color w:val="auto"/>
        </w:rPr>
        <w:t>If the VWAP of ADSs on the conversion date is lower than that on September 12, 2018, the Company may make an election to settle in whole by paying the holder of the 2018 Notes a cash alternative amount (which is equivalent to principal amount to be converted divided by 92%).</w:t>
      </w:r>
    </w:p>
    <w:p>
      <w:pPr>
        <w:spacing w:after="0" w:line="96" w:lineRule="exact"/>
        <w:rPr>
          <w:rFonts w:ascii="Arial" w:cs="Arial" w:eastAsia="Arial" w:hAnsi="Arial"/>
          <w:sz w:val="17"/>
          <w:szCs w:val="17"/>
          <w:b w:val="1"/>
          <w:bCs w:val="1"/>
          <w:color w:val="auto"/>
        </w:rPr>
      </w:pPr>
    </w:p>
    <w:p>
      <w:pPr>
        <w:jc w:val="both"/>
        <w:ind w:left="840"/>
        <w:spacing w:after="0" w:line="216" w:lineRule="auto"/>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in the 2018 Notes, no ordinary shares (including ordinary shares represented by ADSs) will be delivered to the 2018 Notes holder if such delivery would result in the aggregate number of ordinary shares (including ordinary shares represented by ADSs) to be delivered taken together with the aggregate number of ordinary shares delivered by the Company since the issue date to exceed 19.9% of the Company's outstanding common stock as of the issue date (the “Share Cap”). In such event, the Company's obligation will be satisfied by delivering the maximum number of ADSs such that the delivery does not exceed the Share Cap and any portion of the principal amount that is not so converted will be settled by the Company by paying the cash settlement amount (“Cash Settlement Amount”) to such converting holder. The Cash Settlement Amount is the remaining amount divided by 92%.</w:t>
      </w:r>
    </w:p>
    <w:p>
      <w:pPr>
        <w:spacing w:after="0" w:line="342" w:lineRule="exact"/>
        <w:rPr>
          <w:rFonts w:ascii="Arial" w:cs="Arial" w:eastAsia="Arial" w:hAnsi="Arial"/>
          <w:sz w:val="17"/>
          <w:szCs w:val="17"/>
          <w:b w:val="1"/>
          <w:bCs w:val="1"/>
          <w:color w:val="auto"/>
        </w:rPr>
      </w:pPr>
    </w:p>
    <w:p>
      <w:pPr>
        <w:ind w:left="5540" w:hanging="104"/>
        <w:spacing w:after="0"/>
        <w:tabs>
          <w:tab w:leader="none" w:pos="554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7"/>
          <w:szCs w:val="17"/>
          <w:b w:val="1"/>
          <w:bCs w:val="1"/>
          <w:color w:val="auto"/>
        </w:rPr>
        <w:t>Convertible notes at fair value (Continued)</w:t>
      </w:r>
    </w:p>
    <w:p>
      <w:pPr>
        <w:spacing w:after="0" w:line="143" w:lineRule="exact"/>
        <w:rPr>
          <w:sz w:val="20"/>
          <w:szCs w:val="20"/>
          <w:color w:val="auto"/>
        </w:rPr>
      </w:pPr>
    </w:p>
    <w:p>
      <w:pPr>
        <w:ind w:left="840" w:hanging="836"/>
        <w:spacing w:after="0"/>
        <w:tabs>
          <w:tab w:leader="none" w:pos="84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notes issued in 2018 (Continued)</w:t>
      </w:r>
    </w:p>
    <w:p>
      <w:pPr>
        <w:spacing w:after="0" w:line="148" w:lineRule="exact"/>
        <w:rPr>
          <w:rFonts w:ascii="Arial" w:cs="Arial" w:eastAsia="Arial" w:hAnsi="Arial"/>
          <w:sz w:val="17"/>
          <w:szCs w:val="17"/>
          <w:b w:val="1"/>
          <w:bCs w:val="1"/>
          <w:color w:val="auto"/>
        </w:rPr>
      </w:pPr>
    </w:p>
    <w:p>
      <w:pPr>
        <w:jc w:val="both"/>
        <w:ind w:left="840" w:right="20"/>
        <w:spacing w:after="0" w:line="218" w:lineRule="auto"/>
        <w:rPr>
          <w:rFonts w:ascii="Arial" w:cs="Arial" w:eastAsia="Arial" w:hAnsi="Arial"/>
          <w:sz w:val="17"/>
          <w:szCs w:val="17"/>
          <w:b w:val="1"/>
          <w:bCs w:val="1"/>
          <w:color w:val="auto"/>
        </w:rPr>
      </w:pPr>
      <w:r>
        <w:rPr>
          <w:rFonts w:ascii="Arial" w:cs="Arial" w:eastAsia="Arial" w:hAnsi="Arial"/>
          <w:sz w:val="17"/>
          <w:szCs w:val="17"/>
          <w:color w:val="auto"/>
        </w:rPr>
        <w:t>Concurrently with the issuance of the 2018 Notes, the Company offered a put option to the holder of the 2018 Notes, whereby the holder has the right to require the Company to repurchase all of the outstanding 2018 Notes for cash at a price equal to 100% of the outstanding principal amount plus accrued and unpaid interest to the repurchase date in case of the occurrence of any of the relevant events as defined in the agreement prior to the maturity date. The Company considers the likelihood of occurrence of such relevant events to be remote. The Company also concluded that the feature of contingent put options being considered clearly and closely related to its debt host does not need to be considered as an embedded derivative to be bifurcated.</w:t>
      </w:r>
    </w:p>
    <w:p>
      <w:pPr>
        <w:spacing w:after="0" w:line="118" w:lineRule="exact"/>
        <w:rPr>
          <w:rFonts w:ascii="Arial" w:cs="Arial" w:eastAsia="Arial" w:hAnsi="Arial"/>
          <w:sz w:val="17"/>
          <w:szCs w:val="17"/>
          <w:b w:val="1"/>
          <w:bCs w:val="1"/>
          <w:color w:val="auto"/>
        </w:rPr>
      </w:pPr>
    </w:p>
    <w:p>
      <w:pPr>
        <w:jc w:val="both"/>
        <w:ind w:left="840" w:right="20"/>
        <w:spacing w:after="0" w:line="223" w:lineRule="auto"/>
        <w:rPr>
          <w:rFonts w:ascii="Arial" w:cs="Arial" w:eastAsia="Arial" w:hAnsi="Arial"/>
          <w:sz w:val="17"/>
          <w:szCs w:val="17"/>
          <w:b w:val="1"/>
          <w:bCs w:val="1"/>
          <w:color w:val="auto"/>
        </w:rPr>
      </w:pPr>
      <w:r>
        <w:rPr>
          <w:rFonts w:ascii="Arial" w:cs="Arial" w:eastAsia="Arial" w:hAnsi="Arial"/>
          <w:sz w:val="17"/>
          <w:szCs w:val="17"/>
          <w:color w:val="auto"/>
        </w:rPr>
        <w:t>For both the convertible debt and conversion option which are recognized as financial liabilities, the Company has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132" w:lineRule="exact"/>
        <w:rPr>
          <w:rFonts w:ascii="Arial" w:cs="Arial" w:eastAsia="Arial" w:hAnsi="Arial"/>
          <w:sz w:val="17"/>
          <w:szCs w:val="17"/>
          <w:b w:val="1"/>
          <w:bCs w:val="1"/>
          <w:color w:val="auto"/>
        </w:rPr>
      </w:pPr>
    </w:p>
    <w:p>
      <w:pPr>
        <w:ind w:left="840" w:right="20"/>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Issuance costs related to the 2018 Notes for which the fair value option is elected amounting to US$2,190 have been recognized in earnings as incurred during the year ended December 31, 2018 and not deferred in accordance with ASC 825-10-25-3.</w:t>
      </w:r>
    </w:p>
    <w:p>
      <w:pPr>
        <w:spacing w:after="0" w:line="118" w:lineRule="exact"/>
        <w:rPr>
          <w:rFonts w:ascii="Arial" w:cs="Arial" w:eastAsia="Arial" w:hAnsi="Arial"/>
          <w:sz w:val="17"/>
          <w:szCs w:val="17"/>
          <w:b w:val="1"/>
          <w:bCs w:val="1"/>
          <w:color w:val="auto"/>
        </w:rPr>
      </w:pPr>
    </w:p>
    <w:p>
      <w:pPr>
        <w:jc w:val="both"/>
        <w:ind w:left="840" w:right="20"/>
        <w:spacing w:after="0" w:line="218" w:lineRule="auto"/>
        <w:rPr>
          <w:rFonts w:ascii="Arial" w:cs="Arial" w:eastAsia="Arial" w:hAnsi="Arial"/>
          <w:sz w:val="17"/>
          <w:szCs w:val="17"/>
          <w:b w:val="1"/>
          <w:bCs w:val="1"/>
          <w:color w:val="auto"/>
        </w:rPr>
      </w:pPr>
      <w:r>
        <w:rPr>
          <w:rFonts w:ascii="Arial" w:cs="Arial" w:eastAsia="Arial" w:hAnsi="Arial"/>
          <w:sz w:val="17"/>
          <w:szCs w:val="17"/>
          <w:color w:val="auto"/>
        </w:rPr>
        <w:t>On February 1, 2019 and March 1, 2019, the holder of the 2018 Notes partially converted the 2018 Notes with a principal amount of US$1,000 and US$2,000 into 283,888 ADSs and 536,594 ADSs at a conversion price of US$3.52 per ADS and US$3.73 per ADS, respectively. The fair values of these partially converted 2018 Notes as of February 1, 2019 and March 1, 2019 was US$1,631 and US$2,801, respectively. On August 22, 2019, there was a further conversion of the 2018 Notes of US$3,000 in principal amount. Instead of issuing new ADSs, the Company elected the cash alternative election pursuant to the agreement of the 2018 Notes to satisfy the exercise of the holder's conversion right by making a cash alternative payment of US$3,261 to the 2018 Notes holder.</w:t>
      </w:r>
    </w:p>
    <w:p>
      <w:pPr>
        <w:spacing w:after="0" w:line="118" w:lineRule="exact"/>
        <w:rPr>
          <w:rFonts w:ascii="Arial" w:cs="Arial" w:eastAsia="Arial" w:hAnsi="Arial"/>
          <w:sz w:val="17"/>
          <w:szCs w:val="17"/>
          <w:b w:val="1"/>
          <w:bCs w:val="1"/>
          <w:color w:val="auto"/>
        </w:rPr>
      </w:pPr>
    </w:p>
    <w:p>
      <w:pPr>
        <w:jc w:val="both"/>
        <w:ind w:left="840" w:right="20"/>
        <w:spacing w:after="0" w:line="214" w:lineRule="auto"/>
        <w:rPr>
          <w:rFonts w:ascii="Arial" w:cs="Arial" w:eastAsia="Arial" w:hAnsi="Arial"/>
          <w:sz w:val="17"/>
          <w:szCs w:val="17"/>
          <w:b w:val="1"/>
          <w:bCs w:val="1"/>
          <w:color w:val="auto"/>
        </w:rPr>
      </w:pPr>
      <w:r>
        <w:rPr>
          <w:rFonts w:ascii="Arial" w:cs="Arial" w:eastAsia="Arial" w:hAnsi="Arial"/>
          <w:sz w:val="17"/>
          <w:szCs w:val="17"/>
          <w:color w:val="auto"/>
        </w:rPr>
        <w:t>In October 2019, the Company entered into a purchase agreement (the "Purchase Agreement") with the 2018 Notes holder, which entitled the Company an option exercisable by the Company to partially redeem US$20 million in aggregate principal amount of the 2018 Notes at a cash consideration of US$23.2 million in three stages in November 2019. In November 2019, there was an amendment to the Purchase Agreement (“Amended Purchase Agreement”) made with a revised payment schedule for the partial redemption to be done in 4 stages from November 2019 to March 2020 (the "Revised Payment Schedule). The Company has exercised the option and redeemed the 2018 Notes with a principal amount of US$3,450 and US$3,450 on November 14, 2019 and December 12, 2019, respectively, at a total of US$8,004 in accordance with the Revised Payment Schedule. Subsequent to December 31, 2019, the Company has exercised the option to further redeem the 2018 Notes with a principal amount of US$6,900 and US$6,200 on February 3, 2020 and March 31, 2020, respectively, at a total of US$15,196 in accordance with the Revised Payment Schedule.</w:t>
      </w:r>
    </w:p>
    <w:p>
      <w:pPr>
        <w:spacing w:after="0" w:line="122" w:lineRule="exact"/>
        <w:rPr>
          <w:rFonts w:ascii="Arial" w:cs="Arial" w:eastAsia="Arial" w:hAnsi="Arial"/>
          <w:sz w:val="17"/>
          <w:szCs w:val="17"/>
          <w:b w:val="1"/>
          <w:bCs w:val="1"/>
          <w:color w:val="auto"/>
        </w:rPr>
      </w:pPr>
    </w:p>
    <w:p>
      <w:pPr>
        <w:jc w:val="both"/>
        <w:ind w:left="840" w:right="20"/>
        <w:spacing w:after="0" w:line="244" w:lineRule="auto"/>
        <w:rPr>
          <w:rFonts w:ascii="Arial" w:cs="Arial" w:eastAsia="Arial" w:hAnsi="Arial"/>
          <w:sz w:val="17"/>
          <w:szCs w:val="17"/>
          <w:b w:val="1"/>
          <w:bCs w:val="1"/>
          <w:color w:val="auto"/>
        </w:rPr>
      </w:pPr>
      <w:r>
        <w:rPr>
          <w:rFonts w:ascii="Arial" w:cs="Arial" w:eastAsia="Arial" w:hAnsi="Arial"/>
          <w:sz w:val="16"/>
          <w:szCs w:val="16"/>
          <w:color w:val="auto"/>
        </w:rPr>
        <w:t>The fair value of the 2018 Notes was determined using a Monte Carlo simulation with the key assumptions summarized in the below table. The volatility was based on the implied historical volatility of certain comparable companies. The risk-free interest rate is equal to the yield, as of the measurement date, of the zero-coupon U.S. Treasury bill that commensurates with the remaining period until the maturity of the 2018 Notes.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Measurement date</w:t>
            </w:r>
          </w:p>
        </w:tc>
        <w:tc>
          <w:tcPr>
            <w:tcW w:w="5960" w:type="dxa"/>
            <w:vAlign w:val="bottom"/>
          </w:tcPr>
          <w:p>
            <w:pPr>
              <w:jc w:val="right"/>
              <w:ind w:right="293"/>
              <w:spacing w:after="0"/>
              <w:rPr>
                <w:sz w:val="20"/>
                <w:szCs w:val="20"/>
                <w:color w:val="auto"/>
              </w:rPr>
            </w:pPr>
            <w:r>
              <w:rPr>
                <w:rFonts w:ascii="Arial" w:cs="Arial" w:eastAsia="Arial" w:hAnsi="Arial"/>
                <w:sz w:val="17"/>
                <w:szCs w:val="17"/>
                <w:color w:val="auto"/>
              </w:rPr>
              <w:t>Volatility</w:t>
            </w:r>
          </w:p>
        </w:tc>
        <w:tc>
          <w:tcPr>
            <w:tcW w:w="1420" w:type="dxa"/>
            <w:vAlign w:val="bottom"/>
          </w:tcPr>
          <w:p>
            <w:pPr>
              <w:jc w:val="right"/>
              <w:ind w:right="33"/>
              <w:spacing w:after="0"/>
              <w:rPr>
                <w:sz w:val="20"/>
                <w:szCs w:val="20"/>
                <w:color w:val="auto"/>
              </w:rPr>
            </w:pPr>
            <w:r>
              <w:rPr>
                <w:rFonts w:ascii="Arial" w:cs="Arial" w:eastAsia="Arial" w:hAnsi="Arial"/>
                <w:sz w:val="17"/>
                <w:szCs w:val="17"/>
                <w:color w:val="auto"/>
              </w:rPr>
              <w:t>Risk-free rate</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96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December 31, 2018</w:t>
            </w:r>
          </w:p>
        </w:tc>
        <w:tc>
          <w:tcPr>
            <w:tcW w:w="5960" w:type="dxa"/>
            <w:vAlign w:val="bottom"/>
            <w:shd w:val="clear" w:color="auto" w:fill="CFF0FC"/>
          </w:tcPr>
          <w:p>
            <w:pPr>
              <w:jc w:val="right"/>
              <w:ind w:right="293"/>
              <w:spacing w:after="0"/>
              <w:rPr>
                <w:sz w:val="20"/>
                <w:szCs w:val="20"/>
                <w:color w:val="auto"/>
              </w:rPr>
            </w:pPr>
            <w:r>
              <w:rPr>
                <w:rFonts w:ascii="Arial" w:cs="Arial" w:eastAsia="Arial" w:hAnsi="Arial"/>
                <w:sz w:val="17"/>
                <w:szCs w:val="17"/>
                <w:color w:val="auto"/>
              </w:rPr>
              <w:t>44.32</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2.52</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February 1, 2019</w:t>
            </w:r>
          </w:p>
        </w:tc>
        <w:tc>
          <w:tcPr>
            <w:tcW w:w="5960" w:type="dxa"/>
            <w:vAlign w:val="bottom"/>
          </w:tcPr>
          <w:p>
            <w:pPr>
              <w:jc w:val="right"/>
              <w:ind w:right="293"/>
              <w:spacing w:after="0"/>
              <w:rPr>
                <w:sz w:val="20"/>
                <w:szCs w:val="20"/>
                <w:color w:val="auto"/>
              </w:rPr>
            </w:pPr>
            <w:r>
              <w:rPr>
                <w:rFonts w:ascii="Arial" w:cs="Arial" w:eastAsia="Arial" w:hAnsi="Arial"/>
                <w:sz w:val="17"/>
                <w:szCs w:val="17"/>
                <w:color w:val="auto"/>
              </w:rPr>
              <w:t>44.59</w:t>
            </w:r>
          </w:p>
        </w:tc>
        <w:tc>
          <w:tcPr>
            <w:tcW w:w="1420" w:type="dxa"/>
            <w:vAlign w:val="bottom"/>
          </w:tcPr>
          <w:p>
            <w:pPr>
              <w:jc w:val="right"/>
              <w:ind w:right="33"/>
              <w:spacing w:after="0"/>
              <w:rPr>
                <w:sz w:val="20"/>
                <w:szCs w:val="20"/>
                <w:color w:val="auto"/>
              </w:rPr>
            </w:pPr>
            <w:r>
              <w:rPr>
                <w:rFonts w:ascii="Arial" w:cs="Arial" w:eastAsia="Arial" w:hAnsi="Arial"/>
                <w:sz w:val="17"/>
                <w:szCs w:val="17"/>
                <w:color w:val="auto"/>
              </w:rPr>
              <w:t>2.55</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March 1, 2019</w:t>
            </w:r>
          </w:p>
        </w:tc>
        <w:tc>
          <w:tcPr>
            <w:tcW w:w="5960" w:type="dxa"/>
            <w:vAlign w:val="bottom"/>
            <w:shd w:val="clear" w:color="auto" w:fill="CFF0FC"/>
          </w:tcPr>
          <w:p>
            <w:pPr>
              <w:jc w:val="right"/>
              <w:ind w:right="293"/>
              <w:spacing w:after="0"/>
              <w:rPr>
                <w:sz w:val="20"/>
                <w:szCs w:val="20"/>
                <w:color w:val="auto"/>
              </w:rPr>
            </w:pPr>
            <w:r>
              <w:rPr>
                <w:rFonts w:ascii="Arial" w:cs="Arial" w:eastAsia="Arial" w:hAnsi="Arial"/>
                <w:sz w:val="17"/>
                <w:szCs w:val="17"/>
                <w:color w:val="auto"/>
              </w:rPr>
              <w:t>44.99</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2.62</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August 22, 2019</w:t>
            </w:r>
          </w:p>
        </w:tc>
        <w:tc>
          <w:tcPr>
            <w:tcW w:w="5960" w:type="dxa"/>
            <w:vAlign w:val="bottom"/>
          </w:tcPr>
          <w:p>
            <w:pPr>
              <w:jc w:val="right"/>
              <w:ind w:right="293"/>
              <w:spacing w:after="0"/>
              <w:rPr>
                <w:sz w:val="20"/>
                <w:szCs w:val="20"/>
                <w:color w:val="auto"/>
              </w:rPr>
            </w:pPr>
            <w:r>
              <w:rPr>
                <w:rFonts w:ascii="Arial" w:cs="Arial" w:eastAsia="Arial" w:hAnsi="Arial"/>
                <w:sz w:val="17"/>
                <w:szCs w:val="17"/>
                <w:color w:val="auto"/>
              </w:rPr>
              <w:t>43,86</w:t>
            </w:r>
          </w:p>
        </w:tc>
        <w:tc>
          <w:tcPr>
            <w:tcW w:w="1420" w:type="dxa"/>
            <w:vAlign w:val="bottom"/>
          </w:tcPr>
          <w:p>
            <w:pPr>
              <w:jc w:val="right"/>
              <w:ind w:right="33"/>
              <w:spacing w:after="0"/>
              <w:rPr>
                <w:sz w:val="20"/>
                <w:szCs w:val="20"/>
                <w:color w:val="auto"/>
              </w:rPr>
            </w:pPr>
            <w:r>
              <w:rPr>
                <w:rFonts w:ascii="Arial" w:cs="Arial" w:eastAsia="Arial" w:hAnsi="Arial"/>
                <w:sz w:val="17"/>
                <w:szCs w:val="17"/>
                <w:color w:val="auto"/>
              </w:rPr>
              <w:t>1.47</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November 14, 2019</w:t>
            </w:r>
          </w:p>
        </w:tc>
        <w:tc>
          <w:tcPr>
            <w:tcW w:w="5960" w:type="dxa"/>
            <w:vAlign w:val="bottom"/>
            <w:shd w:val="clear" w:color="auto" w:fill="CFF0FC"/>
          </w:tcPr>
          <w:p>
            <w:pPr>
              <w:jc w:val="right"/>
              <w:ind w:right="293"/>
              <w:spacing w:after="0"/>
              <w:rPr>
                <w:sz w:val="20"/>
                <w:szCs w:val="20"/>
                <w:color w:val="auto"/>
              </w:rPr>
            </w:pPr>
            <w:r>
              <w:rPr>
                <w:rFonts w:ascii="Arial" w:cs="Arial" w:eastAsia="Arial" w:hAnsi="Arial"/>
                <w:sz w:val="17"/>
                <w:szCs w:val="17"/>
                <w:color w:val="auto"/>
              </w:rPr>
              <w:t>44.34</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1.61</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December 12, 2019</w:t>
            </w:r>
          </w:p>
        </w:tc>
        <w:tc>
          <w:tcPr>
            <w:tcW w:w="5960" w:type="dxa"/>
            <w:vAlign w:val="bottom"/>
          </w:tcPr>
          <w:p>
            <w:pPr>
              <w:jc w:val="right"/>
              <w:ind w:right="293"/>
              <w:spacing w:after="0"/>
              <w:rPr>
                <w:sz w:val="20"/>
                <w:szCs w:val="20"/>
                <w:color w:val="auto"/>
              </w:rPr>
            </w:pPr>
            <w:r>
              <w:rPr>
                <w:rFonts w:ascii="Arial" w:cs="Arial" w:eastAsia="Arial" w:hAnsi="Arial"/>
                <w:sz w:val="17"/>
                <w:szCs w:val="17"/>
                <w:color w:val="auto"/>
              </w:rPr>
              <w:t>43.86</w:t>
            </w:r>
          </w:p>
        </w:tc>
        <w:tc>
          <w:tcPr>
            <w:tcW w:w="1420" w:type="dxa"/>
            <w:vAlign w:val="bottom"/>
          </w:tcPr>
          <w:p>
            <w:pPr>
              <w:jc w:val="right"/>
              <w:ind w:right="33"/>
              <w:spacing w:after="0"/>
              <w:rPr>
                <w:sz w:val="20"/>
                <w:szCs w:val="20"/>
                <w:color w:val="auto"/>
              </w:rPr>
            </w:pPr>
            <w:r>
              <w:rPr>
                <w:rFonts w:ascii="Arial" w:cs="Arial" w:eastAsia="Arial" w:hAnsi="Arial"/>
                <w:sz w:val="17"/>
                <w:szCs w:val="17"/>
                <w:color w:val="auto"/>
              </w:rPr>
              <w:t>1.71</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December 31, 2019</w:t>
            </w:r>
          </w:p>
        </w:tc>
        <w:tc>
          <w:tcPr>
            <w:tcW w:w="5960" w:type="dxa"/>
            <w:vAlign w:val="bottom"/>
            <w:shd w:val="clear" w:color="auto" w:fill="CFF0FC"/>
          </w:tcPr>
          <w:p>
            <w:pPr>
              <w:jc w:val="right"/>
              <w:ind w:right="293"/>
              <w:spacing w:after="0"/>
              <w:rPr>
                <w:sz w:val="20"/>
                <w:szCs w:val="20"/>
                <w:color w:val="auto"/>
              </w:rPr>
            </w:pPr>
            <w:r>
              <w:rPr>
                <w:rFonts w:ascii="Arial" w:cs="Arial" w:eastAsia="Arial" w:hAnsi="Arial"/>
                <w:sz w:val="17"/>
                <w:szCs w:val="17"/>
                <w:color w:val="auto"/>
              </w:rPr>
              <w:t>44.17</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1.67</w:t>
            </w:r>
          </w:p>
        </w:tc>
        <w:tc>
          <w:tcPr>
            <w:tcW w:w="20" w:type="dxa"/>
            <w:vAlign w:val="bottom"/>
          </w:tcPr>
          <w:p>
            <w:pPr>
              <w:spacing w:after="0"/>
              <w:rPr>
                <w:sz w:val="19"/>
                <w:szCs w:val="19"/>
                <w:color w:val="auto"/>
              </w:rPr>
            </w:pPr>
          </w:p>
        </w:tc>
      </w:tr>
      <w:tr>
        <w:trPr>
          <w:trHeight w:val="624"/>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960" w:type="dxa"/>
            <w:vAlign w:val="bottom"/>
          </w:tcPr>
          <w:p>
            <w:pPr>
              <w:jc w:val="right"/>
              <w:ind w:right="3913"/>
              <w:spacing w:after="0"/>
              <w:rPr>
                <w:sz w:val="20"/>
                <w:szCs w:val="20"/>
                <w:color w:val="auto"/>
              </w:rPr>
            </w:pPr>
            <w:r>
              <w:rPr>
                <w:rFonts w:ascii="Arial" w:cs="Arial" w:eastAsia="Arial" w:hAnsi="Arial"/>
                <w:sz w:val="17"/>
                <w:szCs w:val="17"/>
                <w:color w:val="auto"/>
              </w:rPr>
              <w:t>-54-</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59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1" w:name="page192"/>
    <w:bookmarkEnd w:id="191"/>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7"/>
          <w:szCs w:val="17"/>
          <w:b w:val="1"/>
          <w:bCs w:val="1"/>
          <w:color w:val="auto"/>
        </w:rPr>
        <w:t>Convertible notes at fair value (Continued)</w:t>
      </w:r>
    </w:p>
    <w:p>
      <w:pPr>
        <w:spacing w:after="0" w:line="182" w:lineRule="exact"/>
        <w:rPr>
          <w:sz w:val="20"/>
          <w:szCs w:val="20"/>
          <w:color w:val="auto"/>
        </w:rPr>
      </w:pPr>
    </w:p>
    <w:p>
      <w:pPr>
        <w:ind w:left="840" w:hanging="836"/>
        <w:spacing w:after="0"/>
        <w:tabs>
          <w:tab w:leader="none" w:pos="84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notes issued in 2019</w:t>
      </w:r>
    </w:p>
    <w:p>
      <w:pPr>
        <w:spacing w:after="0" w:line="201" w:lineRule="exact"/>
        <w:rPr>
          <w:sz w:val="20"/>
          <w:szCs w:val="20"/>
          <w:color w:val="auto"/>
        </w:rPr>
      </w:pPr>
    </w:p>
    <w:p>
      <w:pPr>
        <w:jc w:val="both"/>
        <w:ind w:left="840"/>
        <w:spacing w:after="0" w:line="228" w:lineRule="auto"/>
        <w:rPr>
          <w:sz w:val="20"/>
          <w:szCs w:val="20"/>
          <w:color w:val="auto"/>
        </w:rPr>
      </w:pPr>
      <w:r>
        <w:rPr>
          <w:rFonts w:ascii="Arial" w:cs="Arial" w:eastAsia="Arial" w:hAnsi="Arial"/>
          <w:sz w:val="17"/>
          <w:szCs w:val="17"/>
          <w:color w:val="auto"/>
        </w:rPr>
        <w:t>On November 11, 2019 and December 16, 2019, the Company issued 5% coupon convertible notes of US$ 20,000 (the "November 2019 Notes") and US$10,000 (the "December 2019 Notes") (collectively, the "2019 Notes"), respectively, at par. The November 2019 Notes and the December 2019 Notes mature on November 11, 2022 and December 16, 2022, respectively.</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options are embedded to the 2019 Notes:</w:t>
      </w:r>
    </w:p>
    <w:p>
      <w:pPr>
        <w:spacing w:after="0" w:line="143" w:lineRule="exact"/>
        <w:rPr>
          <w:sz w:val="20"/>
          <w:szCs w:val="20"/>
          <w:color w:val="auto"/>
        </w:rPr>
      </w:pPr>
    </w:p>
    <w:p>
      <w:pPr>
        <w:ind w:left="1620" w:hanging="783"/>
        <w:spacing w:after="0"/>
        <w:tabs>
          <w:tab w:leader="none" w:pos="16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Buyer call conversion option</w:t>
      </w:r>
    </w:p>
    <w:p>
      <w:pPr>
        <w:spacing w:after="0" w:line="143" w:lineRule="exact"/>
        <w:rPr>
          <w:sz w:val="20"/>
          <w:szCs w:val="20"/>
          <w:color w:val="auto"/>
        </w:rPr>
      </w:pPr>
    </w:p>
    <w:p>
      <w:pPr>
        <w:jc w:val="both"/>
        <w:ind w:left="1660"/>
        <w:spacing w:after="0" w:line="215" w:lineRule="auto"/>
        <w:rPr>
          <w:sz w:val="20"/>
          <w:szCs w:val="20"/>
          <w:color w:val="auto"/>
        </w:rPr>
      </w:pPr>
      <w:r>
        <w:rPr>
          <w:rFonts w:ascii="Arial" w:cs="Arial" w:eastAsia="Arial" w:hAnsi="Arial"/>
          <w:sz w:val="17"/>
          <w:szCs w:val="17"/>
          <w:color w:val="auto"/>
        </w:rPr>
        <w:t>Holders of the 2019 Notes have an option to convert the 2019 Notes at any time on or after November 11, 2020 (for the November 2019 Notes) or December 16, 2020 (for the December 2019 Notes) up to the close of business of the respective maturity date (the “Buyer Call Conversion Options”). The 2019 Notes can be converted into the Company’s ADSs at an conversion price of the lower of (i) the VWAP of the ADSs over the 14 trading day period preceding the conversion date ("14-Day VWAP") plus a 10% premium, or (ii) a fixed price of US$4.3, which is subject to adjustment if the Company’s adjusted EBITDA for the year ending December 31, 2020 is less than US$10,000 (the “Conversion Price”). Notwithstanding the foregoing, in no event will the Conversion Price be less than US$3.2. The Company will not issue any fractional ADSs upon conversion and will instead pay cash in lieu of any fractional ADSs deliverable upon conversion.</w:t>
      </w:r>
    </w:p>
    <w:p>
      <w:pPr>
        <w:spacing w:after="0" w:line="134" w:lineRule="exact"/>
        <w:rPr>
          <w:sz w:val="20"/>
          <w:szCs w:val="20"/>
          <w:color w:val="auto"/>
        </w:rPr>
      </w:pPr>
    </w:p>
    <w:p>
      <w:pPr>
        <w:ind w:left="1680" w:hanging="843"/>
        <w:spacing w:after="0"/>
        <w:tabs>
          <w:tab w:leader="none" w:pos="16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Seller call conversion option</w:t>
      </w:r>
    </w:p>
    <w:p>
      <w:pPr>
        <w:spacing w:after="0" w:line="142" w:lineRule="exact"/>
        <w:rPr>
          <w:rFonts w:ascii="Arial" w:cs="Arial" w:eastAsia="Arial" w:hAnsi="Arial"/>
          <w:sz w:val="17"/>
          <w:szCs w:val="17"/>
          <w:color w:val="auto"/>
        </w:rPr>
      </w:pPr>
    </w:p>
    <w:p>
      <w:pPr>
        <w:jc w:val="both"/>
        <w:ind w:left="1660"/>
        <w:spacing w:after="0" w:line="223" w:lineRule="auto"/>
        <w:rPr>
          <w:rFonts w:ascii="Arial" w:cs="Arial" w:eastAsia="Arial" w:hAnsi="Arial"/>
          <w:sz w:val="17"/>
          <w:szCs w:val="17"/>
          <w:color w:val="auto"/>
        </w:rPr>
      </w:pPr>
      <w:r>
        <w:rPr>
          <w:rFonts w:ascii="Arial" w:cs="Arial" w:eastAsia="Arial" w:hAnsi="Arial"/>
          <w:sz w:val="17"/>
          <w:szCs w:val="17"/>
          <w:color w:val="auto"/>
        </w:rPr>
        <w:t>If the 14-Day VWAP is US$5.00 or higher at any time on or after November 11, 2020 (for the November 2019 Notes) or December 16, 2020 (for the December 2019 Notes) up to the close of business on the fifth business day immediately preceding the respective maturity dates, the Company may require the holders of 2019 Notes to convert the entire outstanding principal amount (the “Seller Call Conversion Option”) at the Conversion Price.</w:t>
      </w:r>
    </w:p>
    <w:p>
      <w:pPr>
        <w:spacing w:after="0" w:line="119" w:lineRule="exact"/>
        <w:rPr>
          <w:rFonts w:ascii="Arial" w:cs="Arial" w:eastAsia="Arial" w:hAnsi="Arial"/>
          <w:sz w:val="17"/>
          <w:szCs w:val="17"/>
          <w:color w:val="auto"/>
        </w:rPr>
      </w:pPr>
    </w:p>
    <w:p>
      <w:pPr>
        <w:ind w:left="1720" w:hanging="883"/>
        <w:spacing w:after="0"/>
        <w:tabs>
          <w:tab w:leader="none" w:pos="17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Seller call redemption option</w:t>
      </w:r>
    </w:p>
    <w:p>
      <w:pPr>
        <w:spacing w:after="0" w:line="143" w:lineRule="exact"/>
        <w:rPr>
          <w:sz w:val="20"/>
          <w:szCs w:val="20"/>
          <w:color w:val="auto"/>
        </w:rPr>
      </w:pPr>
    </w:p>
    <w:p>
      <w:pPr>
        <w:ind w:left="1660"/>
        <w:spacing w:after="0" w:line="268" w:lineRule="auto"/>
        <w:rPr>
          <w:sz w:val="20"/>
          <w:szCs w:val="20"/>
          <w:color w:val="auto"/>
        </w:rPr>
      </w:pPr>
      <w:r>
        <w:rPr>
          <w:rFonts w:ascii="Arial" w:cs="Arial" w:eastAsia="Arial" w:hAnsi="Arial"/>
          <w:sz w:val="16"/>
          <w:szCs w:val="16"/>
          <w:color w:val="auto"/>
        </w:rPr>
        <w:t>At any time on or after the respective issue date up to the close of business on the 60th day immediately preceding the maturity date, the Company may at its option redeem all or a portion of the outstanding principal amount (“Seller Call Redemption Option”).</w:t>
      </w:r>
    </w:p>
    <w:p>
      <w:pPr>
        <w:spacing w:after="0" w:line="96" w:lineRule="exact"/>
        <w:rPr>
          <w:sz w:val="20"/>
          <w:szCs w:val="20"/>
          <w:color w:val="auto"/>
        </w:rPr>
      </w:pPr>
    </w:p>
    <w:p>
      <w:pPr>
        <w:ind w:left="1720" w:hanging="883"/>
        <w:spacing w:after="0"/>
        <w:tabs>
          <w:tab w:leader="none" w:pos="17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Seller put redemption option</w:t>
      </w:r>
    </w:p>
    <w:p>
      <w:pPr>
        <w:spacing w:after="0" w:line="143" w:lineRule="exact"/>
        <w:rPr>
          <w:sz w:val="20"/>
          <w:szCs w:val="20"/>
          <w:color w:val="auto"/>
        </w:rPr>
      </w:pPr>
    </w:p>
    <w:p>
      <w:pPr>
        <w:jc w:val="both"/>
        <w:ind w:left="1660"/>
        <w:spacing w:after="0" w:line="223" w:lineRule="auto"/>
        <w:rPr>
          <w:sz w:val="20"/>
          <w:szCs w:val="20"/>
          <w:color w:val="auto"/>
        </w:rPr>
      </w:pPr>
      <w:r>
        <w:rPr>
          <w:rFonts w:ascii="Arial" w:cs="Arial" w:eastAsia="Arial" w:hAnsi="Arial"/>
          <w:sz w:val="17"/>
          <w:szCs w:val="17"/>
          <w:color w:val="auto"/>
        </w:rPr>
        <w:t>The holders of the 2019 Notes have an option to require the Company to redeem all of the outstanding principal amount of the 2019 Notes for cash at a price equal to 100% of the outstanding principal amount plus accrued and unpaid interest to the repurchase date in case of the occurrence of any of the relevant events as defined in the agreements of the 2019 Notes prior to the respective maturity dates (the “Seller Put Redemption Options”).</w:t>
      </w:r>
    </w:p>
    <w:p>
      <w:pPr>
        <w:spacing w:after="0" w:line="119" w:lineRule="exact"/>
        <w:rPr>
          <w:sz w:val="20"/>
          <w:szCs w:val="20"/>
          <w:color w:val="auto"/>
        </w:rPr>
      </w:pPr>
    </w:p>
    <w:p>
      <w:pPr>
        <w:jc w:val="both"/>
        <w:ind w:left="840"/>
        <w:spacing w:after="0" w:line="239" w:lineRule="auto"/>
        <w:rPr>
          <w:sz w:val="20"/>
          <w:szCs w:val="20"/>
          <w:color w:val="auto"/>
        </w:rPr>
      </w:pPr>
      <w:r>
        <w:rPr>
          <w:rFonts w:ascii="Arial" w:cs="Arial" w:eastAsia="Arial" w:hAnsi="Arial"/>
          <w:sz w:val="17"/>
          <w:szCs w:val="17"/>
          <w:color w:val="auto"/>
        </w:rPr>
        <w:t>The Company concluded that the features of the Seller Call Redemption Option and Seller Put Redemption Option being considered clearly and closely related to its debt host do not need to be considered as embedded derivatives to be bifurcated.</w:t>
      </w:r>
    </w:p>
    <w:p>
      <w:pPr>
        <w:spacing w:after="0" w:line="118" w:lineRule="exact"/>
        <w:rPr>
          <w:sz w:val="20"/>
          <w:szCs w:val="20"/>
          <w:color w:val="auto"/>
        </w:rPr>
      </w:pPr>
    </w:p>
    <w:p>
      <w:pPr>
        <w:jc w:val="both"/>
        <w:ind w:left="840"/>
        <w:spacing w:after="0" w:line="227" w:lineRule="auto"/>
        <w:rPr>
          <w:sz w:val="20"/>
          <w:szCs w:val="20"/>
          <w:color w:val="auto"/>
        </w:rPr>
      </w:pPr>
      <w:r>
        <w:rPr>
          <w:rFonts w:ascii="Arial" w:cs="Arial" w:eastAsia="Arial" w:hAnsi="Arial"/>
          <w:sz w:val="17"/>
          <w:szCs w:val="17"/>
          <w:color w:val="auto"/>
        </w:rPr>
        <w:t>The 2019 Notes, Buyer Call Conversion Option and Seller Call Conversion Option are all financial liabilities and the Company has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132" w:lineRule="exact"/>
        <w:rPr>
          <w:sz w:val="20"/>
          <w:szCs w:val="20"/>
          <w:color w:val="auto"/>
        </w:rPr>
      </w:pPr>
    </w:p>
    <w:p>
      <w:pPr>
        <w:jc w:val="both"/>
        <w:ind w:left="840"/>
        <w:spacing w:after="0" w:line="254" w:lineRule="auto"/>
        <w:rPr>
          <w:sz w:val="20"/>
          <w:szCs w:val="20"/>
          <w:color w:val="auto"/>
        </w:rPr>
      </w:pPr>
      <w:r>
        <w:rPr>
          <w:rFonts w:ascii="Arial" w:cs="Arial" w:eastAsia="Arial" w:hAnsi="Arial"/>
          <w:sz w:val="17"/>
          <w:szCs w:val="17"/>
          <w:color w:val="auto"/>
        </w:rPr>
        <w:t>Issuance costs related to the 2019 Notes for which the fair value option is elected amounting to US$4,556 in aggregate have been recognized in earnings as incurred and not deferred in accordance with ASC 825-10-25-3.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7"/>
          <w:szCs w:val="17"/>
          <w:b w:val="1"/>
          <w:bCs w:val="1"/>
          <w:color w:val="auto"/>
        </w:rPr>
        <w:t>Convertible notes at fair value (Continued)</w:t>
      </w:r>
    </w:p>
    <w:p>
      <w:pPr>
        <w:spacing w:after="0" w:line="195" w:lineRule="exact"/>
        <w:rPr>
          <w:sz w:val="20"/>
          <w:szCs w:val="20"/>
          <w:color w:val="auto"/>
        </w:rPr>
      </w:pPr>
    </w:p>
    <w:p>
      <w:pPr>
        <w:ind w:left="840" w:hanging="836"/>
        <w:spacing w:after="0"/>
        <w:tabs>
          <w:tab w:leader="none" w:pos="840"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notes issued in 2019 (Continued)</w:t>
      </w:r>
    </w:p>
    <w:p>
      <w:pPr>
        <w:spacing w:after="0" w:line="187" w:lineRule="exact"/>
        <w:rPr>
          <w:rFonts w:ascii="Arial" w:cs="Arial" w:eastAsia="Arial" w:hAnsi="Arial"/>
          <w:sz w:val="17"/>
          <w:szCs w:val="17"/>
          <w:b w:val="1"/>
          <w:bCs w:val="1"/>
          <w:color w:val="auto"/>
        </w:rPr>
      </w:pPr>
    </w:p>
    <w:p>
      <w:pPr>
        <w:jc w:val="both"/>
        <w:ind w:left="840"/>
        <w:spacing w:after="0" w:line="253" w:lineRule="auto"/>
        <w:rPr>
          <w:rFonts w:ascii="Arial" w:cs="Arial" w:eastAsia="Arial" w:hAnsi="Arial"/>
          <w:sz w:val="17"/>
          <w:szCs w:val="17"/>
          <w:b w:val="1"/>
          <w:bCs w:val="1"/>
          <w:color w:val="auto"/>
        </w:rPr>
      </w:pPr>
      <w:r>
        <w:rPr>
          <w:rFonts w:ascii="Arial" w:cs="Arial" w:eastAsia="Arial" w:hAnsi="Arial"/>
          <w:sz w:val="16"/>
          <w:szCs w:val="16"/>
          <w:color w:val="auto"/>
        </w:rPr>
        <w:t>The fair values of the 2019 Notes as of December 31, 2019 were determined using a binomial model with the key assumptions summarized in the below table. The volatility was based on the implied historical volatility of certain comparable companies. The risk-free interest rate is equal to the yield, as of the respective measurement dates, of a 5% coupon U.S. Treasury bill that is commensurate with the remaining period until the maturity of the 2019 Notes. The bond yield was based on the yield of corporate bonds with comparable ratings.</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4020" w:type="dxa"/>
            <w:vAlign w:val="bottom"/>
          </w:tcPr>
          <w:p>
            <w:pPr>
              <w:spacing w:after="0"/>
              <w:rPr>
                <w:sz w:val="14"/>
                <w:szCs w:val="14"/>
                <w:color w:val="auto"/>
              </w:rPr>
            </w:pPr>
          </w:p>
        </w:tc>
        <w:tc>
          <w:tcPr>
            <w:tcW w:w="3540" w:type="dxa"/>
            <w:vAlign w:val="bottom"/>
          </w:tcPr>
          <w:p>
            <w:pPr>
              <w:jc w:val="right"/>
              <w:ind w:right="458"/>
              <w:spacing w:after="0"/>
              <w:rPr>
                <w:sz w:val="20"/>
                <w:szCs w:val="20"/>
                <w:color w:val="auto"/>
              </w:rPr>
            </w:pPr>
            <w:r>
              <w:rPr>
                <w:rFonts w:ascii="Arial" w:cs="Arial" w:eastAsia="Arial" w:hAnsi="Arial"/>
                <w:sz w:val="14"/>
                <w:szCs w:val="14"/>
                <w:b w:val="1"/>
                <w:bCs w:val="1"/>
                <w:color w:val="auto"/>
              </w:rPr>
              <w:t>Volatility</w:t>
            </w:r>
          </w:p>
        </w:tc>
        <w:tc>
          <w:tcPr>
            <w:tcW w:w="1480" w:type="dxa"/>
            <w:vAlign w:val="bottom"/>
          </w:tcPr>
          <w:p>
            <w:pPr>
              <w:jc w:val="right"/>
              <w:ind w:right="378"/>
              <w:spacing w:after="0"/>
              <w:rPr>
                <w:sz w:val="20"/>
                <w:szCs w:val="20"/>
                <w:color w:val="auto"/>
              </w:rPr>
            </w:pPr>
            <w:r>
              <w:rPr>
                <w:rFonts w:ascii="Arial" w:cs="Arial" w:eastAsia="Arial" w:hAnsi="Arial"/>
                <w:sz w:val="14"/>
                <w:szCs w:val="14"/>
                <w:b w:val="1"/>
                <w:bCs w:val="1"/>
                <w:color w:val="auto"/>
              </w:rPr>
              <w:t>Risk-free rate</w:t>
            </w:r>
          </w:p>
        </w:tc>
        <w:tc>
          <w:tcPr>
            <w:tcW w:w="1280" w:type="dxa"/>
            <w:vAlign w:val="bottom"/>
          </w:tcPr>
          <w:p>
            <w:pPr>
              <w:jc w:val="right"/>
              <w:ind w:right="298"/>
              <w:spacing w:after="0"/>
              <w:rPr>
                <w:sz w:val="20"/>
                <w:szCs w:val="20"/>
                <w:color w:val="auto"/>
              </w:rPr>
            </w:pPr>
            <w:r>
              <w:rPr>
                <w:rFonts w:ascii="Arial" w:cs="Arial" w:eastAsia="Arial" w:hAnsi="Arial"/>
                <w:sz w:val="14"/>
                <w:szCs w:val="14"/>
                <w:b w:val="1"/>
                <w:bCs w:val="1"/>
                <w:color w:val="auto"/>
              </w:rPr>
              <w:t>Bond yield</w:t>
            </w:r>
          </w:p>
        </w:tc>
      </w:tr>
      <w:tr>
        <w:trPr>
          <w:trHeight w:val="221"/>
        </w:trPr>
        <w:tc>
          <w:tcPr>
            <w:tcW w:w="4020" w:type="dxa"/>
            <w:vAlign w:val="bottom"/>
            <w:shd w:val="clear" w:color="auto" w:fill="CFF0FC"/>
          </w:tcPr>
          <w:p>
            <w:pPr>
              <w:spacing w:after="0"/>
              <w:rPr>
                <w:sz w:val="19"/>
                <w:szCs w:val="19"/>
                <w:color w:val="auto"/>
              </w:rPr>
            </w:pPr>
          </w:p>
        </w:tc>
        <w:tc>
          <w:tcPr>
            <w:tcW w:w="3540" w:type="dxa"/>
            <w:vAlign w:val="bottom"/>
            <w:shd w:val="clear" w:color="auto" w:fill="CFF0FC"/>
          </w:tcPr>
          <w:p>
            <w:pPr>
              <w:jc w:val="right"/>
              <w:ind w:right="138"/>
              <w:spacing w:after="0"/>
              <w:rPr>
                <w:sz w:val="20"/>
                <w:szCs w:val="20"/>
                <w:color w:val="auto"/>
              </w:rPr>
            </w:pPr>
            <w:r>
              <w:rPr>
                <w:rFonts w:ascii="Arial" w:cs="Arial" w:eastAsia="Arial" w:hAnsi="Arial"/>
                <w:sz w:val="17"/>
                <w:szCs w:val="17"/>
                <w:color w:val="auto"/>
              </w:rPr>
              <w:t>%</w:t>
            </w:r>
          </w:p>
        </w:tc>
        <w:tc>
          <w:tcPr>
            <w:tcW w:w="1480" w:type="dxa"/>
            <w:vAlign w:val="bottom"/>
            <w:shd w:val="clear" w:color="auto" w:fill="CFF0FC"/>
          </w:tcPr>
          <w:p>
            <w:pPr>
              <w:jc w:val="right"/>
              <w:ind w:right="178"/>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w:t>
            </w:r>
          </w:p>
        </w:tc>
      </w:tr>
      <w:tr>
        <w:trPr>
          <w:trHeight w:val="221"/>
        </w:trPr>
        <w:tc>
          <w:tcPr>
            <w:tcW w:w="4020" w:type="dxa"/>
            <w:vAlign w:val="bottom"/>
          </w:tcPr>
          <w:p>
            <w:pPr>
              <w:spacing w:after="0"/>
              <w:rPr>
                <w:sz w:val="20"/>
                <w:szCs w:val="20"/>
                <w:color w:val="auto"/>
              </w:rPr>
            </w:pPr>
            <w:r>
              <w:rPr>
                <w:rFonts w:ascii="Arial" w:cs="Arial" w:eastAsia="Arial" w:hAnsi="Arial"/>
                <w:sz w:val="17"/>
                <w:szCs w:val="17"/>
                <w:color w:val="auto"/>
              </w:rPr>
              <w:t>November 2019 Notes</w:t>
            </w:r>
          </w:p>
        </w:tc>
        <w:tc>
          <w:tcPr>
            <w:tcW w:w="3540" w:type="dxa"/>
            <w:vAlign w:val="bottom"/>
          </w:tcPr>
          <w:p>
            <w:pPr>
              <w:jc w:val="right"/>
              <w:ind w:right="138"/>
              <w:spacing w:after="0"/>
              <w:rPr>
                <w:sz w:val="20"/>
                <w:szCs w:val="20"/>
                <w:color w:val="auto"/>
              </w:rPr>
            </w:pPr>
            <w:r>
              <w:rPr>
                <w:rFonts w:ascii="Arial" w:cs="Arial" w:eastAsia="Arial" w:hAnsi="Arial"/>
                <w:sz w:val="17"/>
                <w:szCs w:val="17"/>
                <w:color w:val="auto"/>
              </w:rPr>
              <w:t>42.53</w:t>
            </w:r>
          </w:p>
        </w:tc>
        <w:tc>
          <w:tcPr>
            <w:tcW w:w="1480" w:type="dxa"/>
            <w:vAlign w:val="bottom"/>
          </w:tcPr>
          <w:p>
            <w:pPr>
              <w:jc w:val="right"/>
              <w:ind w:right="178"/>
              <w:spacing w:after="0"/>
              <w:rPr>
                <w:sz w:val="20"/>
                <w:szCs w:val="20"/>
                <w:color w:val="auto"/>
              </w:rPr>
            </w:pPr>
            <w:r>
              <w:rPr>
                <w:rFonts w:ascii="Arial" w:cs="Arial" w:eastAsia="Arial" w:hAnsi="Arial"/>
                <w:sz w:val="17"/>
                <w:szCs w:val="17"/>
                <w:color w:val="auto"/>
              </w:rPr>
              <w:t>1.61</w:t>
            </w: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10.09</w:t>
            </w:r>
          </w:p>
        </w:tc>
      </w:tr>
      <w:tr>
        <w:trPr>
          <w:trHeight w:val="221"/>
        </w:trPr>
        <w:tc>
          <w:tcPr>
            <w:tcW w:w="4020" w:type="dxa"/>
            <w:vAlign w:val="bottom"/>
            <w:shd w:val="clear" w:color="auto" w:fill="CFF0FC"/>
          </w:tcPr>
          <w:p>
            <w:pPr>
              <w:spacing w:after="0"/>
              <w:rPr>
                <w:sz w:val="20"/>
                <w:szCs w:val="20"/>
                <w:color w:val="auto"/>
              </w:rPr>
            </w:pPr>
            <w:r>
              <w:rPr>
                <w:rFonts w:ascii="Arial" w:cs="Arial" w:eastAsia="Arial" w:hAnsi="Arial"/>
                <w:sz w:val="17"/>
                <w:szCs w:val="17"/>
                <w:color w:val="auto"/>
              </w:rPr>
              <w:t>December 2019 Notes</w:t>
            </w:r>
          </w:p>
        </w:tc>
        <w:tc>
          <w:tcPr>
            <w:tcW w:w="3540" w:type="dxa"/>
            <w:vAlign w:val="bottom"/>
            <w:shd w:val="clear" w:color="auto" w:fill="CFF0FC"/>
          </w:tcPr>
          <w:p>
            <w:pPr>
              <w:jc w:val="right"/>
              <w:ind w:right="138"/>
              <w:spacing w:after="0"/>
              <w:rPr>
                <w:sz w:val="20"/>
                <w:szCs w:val="20"/>
                <w:color w:val="auto"/>
              </w:rPr>
            </w:pPr>
            <w:r>
              <w:rPr>
                <w:rFonts w:ascii="Arial" w:cs="Arial" w:eastAsia="Arial" w:hAnsi="Arial"/>
                <w:sz w:val="17"/>
                <w:szCs w:val="17"/>
                <w:color w:val="auto"/>
              </w:rPr>
              <w:t>42.63</w:t>
            </w:r>
          </w:p>
        </w:tc>
        <w:tc>
          <w:tcPr>
            <w:tcW w:w="1480" w:type="dxa"/>
            <w:vAlign w:val="bottom"/>
            <w:shd w:val="clear" w:color="auto" w:fill="CFF0FC"/>
          </w:tcPr>
          <w:p>
            <w:pPr>
              <w:jc w:val="right"/>
              <w:ind w:right="178"/>
              <w:spacing w:after="0"/>
              <w:rPr>
                <w:sz w:val="20"/>
                <w:szCs w:val="20"/>
                <w:color w:val="auto"/>
              </w:rPr>
            </w:pPr>
            <w:r>
              <w:rPr>
                <w:rFonts w:ascii="Arial" w:cs="Arial" w:eastAsia="Arial" w:hAnsi="Arial"/>
                <w:sz w:val="17"/>
                <w:szCs w:val="17"/>
                <w:color w:val="auto"/>
              </w:rPr>
              <w:t>1.61</w:t>
            </w:r>
          </w:p>
        </w:tc>
        <w:tc>
          <w:tcPr>
            <w:tcW w:w="128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10.09</w:t>
            </w:r>
          </w:p>
        </w:tc>
      </w:tr>
    </w:tbl>
    <w:p>
      <w:pPr>
        <w:spacing w:after="0" w:line="183" w:lineRule="exact"/>
        <w:rPr>
          <w:sz w:val="20"/>
          <w:szCs w:val="20"/>
          <w:color w:val="auto"/>
        </w:rPr>
      </w:pPr>
    </w:p>
    <w:p>
      <w:pPr>
        <w:jc w:val="both"/>
        <w:ind w:left="840"/>
        <w:spacing w:after="0" w:line="244" w:lineRule="auto"/>
        <w:rPr>
          <w:sz w:val="20"/>
          <w:szCs w:val="20"/>
          <w:color w:val="auto"/>
        </w:rPr>
      </w:pPr>
      <w:r>
        <w:rPr>
          <w:rFonts w:ascii="Arial" w:cs="Arial" w:eastAsia="Arial" w:hAnsi="Arial"/>
          <w:sz w:val="16"/>
          <w:szCs w:val="16"/>
          <w:color w:val="auto"/>
        </w:rPr>
        <w:t>Subsequent to December 31, 2019, the holders of both the November 2019 Notes and December 2019 Notes have elected to convert the entire outstanding principal amount of the 2019 Notes into Class A ordinary shares, par value US$0.001 per share, of the Company at a price of US$7.8 per share, which is at an approximately 7% premium to the 14-day VWAP of the Company’s ADSs as of February 14, 2020.</w:t>
      </w:r>
    </w:p>
    <w:p>
      <w:pPr>
        <w:spacing w:after="0" w:line="369" w:lineRule="exact"/>
        <w:rPr>
          <w:sz w:val="20"/>
          <w:szCs w:val="20"/>
          <w:color w:val="auto"/>
        </w:rPr>
      </w:pPr>
    </w:p>
    <w:p>
      <w:pPr>
        <w:ind w:left="840" w:right="7360" w:hanging="836"/>
        <w:spacing w:after="0" w:line="474" w:lineRule="auto"/>
        <w:tabs>
          <w:tab w:leader="none" w:pos="84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Redeemable convertible preferred shares </w:t>
      </w:r>
      <w:r>
        <w:rPr>
          <w:rFonts w:ascii="Arial" w:cs="Arial" w:eastAsia="Arial" w:hAnsi="Arial"/>
          <w:sz w:val="17"/>
          <w:szCs w:val="17"/>
          <w:i w:val="1"/>
          <w:iCs w:val="1"/>
          <w:color w:val="auto"/>
        </w:rPr>
        <w:t>Series A preferred shares</w:t>
      </w:r>
    </w:p>
    <w:p>
      <w:pPr>
        <w:spacing w:after="0" w:line="1" w:lineRule="exact"/>
        <w:rPr>
          <w:rFonts w:ascii="Arial" w:cs="Arial" w:eastAsia="Arial" w:hAnsi="Arial"/>
          <w:sz w:val="17"/>
          <w:szCs w:val="17"/>
          <w:b w:val="1"/>
          <w:bCs w:val="1"/>
          <w:color w:val="auto"/>
        </w:rPr>
      </w:pPr>
    </w:p>
    <w:p>
      <w:pPr>
        <w:jc w:val="both"/>
        <w:ind w:left="840"/>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129" w:lineRule="exact"/>
        <w:rPr>
          <w:rFonts w:ascii="Arial" w:cs="Arial" w:eastAsia="Arial" w:hAnsi="Arial"/>
          <w:sz w:val="17"/>
          <w:szCs w:val="17"/>
          <w:b w:val="1"/>
          <w:bCs w:val="1"/>
          <w:color w:val="auto"/>
        </w:rPr>
      </w:pPr>
    </w:p>
    <w:p>
      <w:pPr>
        <w:ind w:left="840" w:right="700"/>
        <w:spacing w:after="0" w:line="471" w:lineRule="auto"/>
        <w:rPr>
          <w:rFonts w:ascii="Arial" w:cs="Arial" w:eastAsia="Arial" w:hAnsi="Arial"/>
          <w:sz w:val="17"/>
          <w:szCs w:val="17"/>
          <w:b w:val="1"/>
          <w:bCs w:val="1"/>
          <w:color w:val="auto"/>
        </w:rPr>
      </w:pPr>
      <w:r>
        <w:rPr>
          <w:rFonts w:ascii="Arial" w:cs="Arial" w:eastAsia="Arial" w:hAnsi="Arial"/>
          <w:sz w:val="17"/>
          <w:szCs w:val="17"/>
          <w:color w:val="auto"/>
        </w:rPr>
        <w:t xml:space="preserve">In December 2017, Series A preferred shares had been automatically converted into 2,476,190 Class A ordinary shares after closing of IPO. </w:t>
      </w:r>
      <w:r>
        <w:rPr>
          <w:rFonts w:ascii="Arial" w:cs="Arial" w:eastAsia="Arial" w:hAnsi="Arial"/>
          <w:sz w:val="17"/>
          <w:szCs w:val="17"/>
          <w:i w:val="1"/>
          <w:iCs w:val="1"/>
          <w:color w:val="auto"/>
        </w:rPr>
        <w:t>Series B preferred shares</w:t>
      </w:r>
    </w:p>
    <w:p>
      <w:pPr>
        <w:jc w:val="both"/>
        <w:ind w:left="840"/>
        <w:spacing w:after="0" w:line="311" w:lineRule="auto"/>
        <w:rPr>
          <w:rFonts w:ascii="Arial" w:cs="Arial" w:eastAsia="Arial" w:hAnsi="Arial"/>
          <w:sz w:val="17"/>
          <w:szCs w:val="17"/>
          <w:b w:val="1"/>
          <w:bCs w:val="1"/>
          <w:color w:val="auto"/>
        </w:rPr>
      </w:pPr>
      <w:r>
        <w:rPr>
          <w:rFonts w:ascii="Arial" w:cs="Arial" w:eastAsia="Arial" w:hAnsi="Arial"/>
          <w:sz w:val="15"/>
          <w:szCs w:val="15"/>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146" w:lineRule="exact"/>
        <w:rPr>
          <w:rFonts w:ascii="Arial" w:cs="Arial" w:eastAsia="Arial" w:hAnsi="Arial"/>
          <w:sz w:val="17"/>
          <w:szCs w:val="17"/>
          <w:b w:val="1"/>
          <w:bCs w:val="1"/>
          <w:color w:val="auto"/>
        </w:rPr>
      </w:pPr>
    </w:p>
    <w:p>
      <w:pPr>
        <w:ind w:left="5540" w:hanging="104"/>
        <w:spacing w:after="0"/>
        <w:tabs>
          <w:tab w:leader="none" w:pos="554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right="6420" w:hanging="836"/>
        <w:spacing w:after="0" w:line="474" w:lineRule="auto"/>
        <w:tabs>
          <w:tab w:leader="none" w:pos="836"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Redeemable convertible preferred shares (Continued) </w:t>
      </w:r>
      <w:r>
        <w:rPr>
          <w:rFonts w:ascii="Arial" w:cs="Arial" w:eastAsia="Arial" w:hAnsi="Arial"/>
          <w:sz w:val="17"/>
          <w:szCs w:val="17"/>
          <w:i w:val="1"/>
          <w:iCs w:val="1"/>
          <w:color w:val="auto"/>
        </w:rPr>
        <w:t>Series B preferred shares (Continued)</w:t>
      </w:r>
    </w:p>
    <w:p>
      <w:pPr>
        <w:spacing w:after="0" w:line="1"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133"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6"/>
          <w:szCs w:val="16"/>
          <w:color w:val="auto"/>
        </w:rPr>
        <w:t>On September 24, 2015, the Company repurchased from Investor B-1 723,808 Series B-1 preferred shares at a consideration of US$11,581.</w:t>
      </w:r>
    </w:p>
    <w:p>
      <w:pPr>
        <w:spacing w:after="0" w:line="219" w:lineRule="exact"/>
        <w:rPr>
          <w:rFonts w:ascii="Arial" w:cs="Arial" w:eastAsia="Arial" w:hAnsi="Arial"/>
          <w:sz w:val="17"/>
          <w:szCs w:val="17"/>
          <w:b w:val="1"/>
          <w:bCs w:val="1"/>
          <w:color w:val="auto"/>
        </w:rPr>
      </w:pPr>
    </w:p>
    <w:p>
      <w:pPr>
        <w:jc w:val="both"/>
        <w:ind w:left="836"/>
        <w:spacing w:after="0" w:line="234" w:lineRule="auto"/>
        <w:rPr>
          <w:rFonts w:ascii="Arial" w:cs="Arial" w:eastAsia="Arial" w:hAnsi="Arial"/>
          <w:sz w:val="17"/>
          <w:szCs w:val="17"/>
          <w:b w:val="1"/>
          <w:bCs w:val="1"/>
          <w:color w:val="auto"/>
        </w:rPr>
      </w:pPr>
      <w:r>
        <w:rPr>
          <w:rFonts w:ascii="Arial" w:cs="Arial" w:eastAsia="Arial" w:hAnsi="Arial"/>
          <w:sz w:val="16"/>
          <w:szCs w:val="16"/>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117" w:lineRule="exact"/>
        <w:rPr>
          <w:rFonts w:ascii="Arial" w:cs="Arial" w:eastAsia="Arial" w:hAnsi="Arial"/>
          <w:sz w:val="17"/>
          <w:szCs w:val="17"/>
          <w:b w:val="1"/>
          <w:bCs w:val="1"/>
          <w:color w:val="auto"/>
        </w:rPr>
      </w:pPr>
    </w:p>
    <w:p>
      <w:pPr>
        <w:ind w:left="836" w:right="700"/>
        <w:spacing w:after="0" w:line="423" w:lineRule="auto"/>
        <w:rPr>
          <w:rFonts w:ascii="Arial" w:cs="Arial" w:eastAsia="Arial" w:hAnsi="Arial"/>
          <w:sz w:val="17"/>
          <w:szCs w:val="17"/>
          <w:b w:val="1"/>
          <w:bCs w:val="1"/>
          <w:color w:val="auto"/>
        </w:rPr>
      </w:pPr>
      <w:r>
        <w:rPr>
          <w:rFonts w:ascii="Arial" w:cs="Arial" w:eastAsia="Arial" w:hAnsi="Arial"/>
          <w:sz w:val="17"/>
          <w:szCs w:val="17"/>
          <w:color w:val="auto"/>
        </w:rPr>
        <w:t xml:space="preserve">In December 2017, Series B preferred shares had been automatically converted into 1,889,249 Class A ordinary shares after closing of IPO. </w:t>
      </w:r>
      <w:r>
        <w:rPr>
          <w:rFonts w:ascii="Arial" w:cs="Arial" w:eastAsia="Arial" w:hAnsi="Arial"/>
          <w:sz w:val="17"/>
          <w:szCs w:val="17"/>
          <w:i w:val="1"/>
          <w:iCs w:val="1"/>
          <w:color w:val="auto"/>
        </w:rPr>
        <w:t>Series C preferred shares</w:t>
      </w:r>
    </w:p>
    <w:p>
      <w:pPr>
        <w:jc w:val="both"/>
        <w:ind w:left="836"/>
        <w:spacing w:after="0" w:line="228" w:lineRule="auto"/>
        <w:rPr>
          <w:rFonts w:ascii="Arial" w:cs="Arial" w:eastAsia="Arial" w:hAnsi="Arial"/>
          <w:sz w:val="17"/>
          <w:szCs w:val="17"/>
          <w:b w:val="1"/>
          <w:bCs w:val="1"/>
          <w:color w:val="auto"/>
        </w:rPr>
      </w:pPr>
      <w:r>
        <w:rPr>
          <w:rFonts w:ascii="Arial" w:cs="Arial" w:eastAsia="Arial" w:hAnsi="Arial"/>
          <w:sz w:val="17"/>
          <w:szCs w:val="17"/>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119" w:lineRule="exact"/>
        <w:rPr>
          <w:rFonts w:ascii="Arial" w:cs="Arial" w:eastAsia="Arial" w:hAnsi="Arial"/>
          <w:sz w:val="17"/>
          <w:szCs w:val="17"/>
          <w:b w:val="1"/>
          <w:bCs w:val="1"/>
          <w:color w:val="auto"/>
        </w:rPr>
      </w:pPr>
    </w:p>
    <w:p>
      <w:pPr>
        <w:ind w:left="836" w:right="700"/>
        <w:spacing w:after="0" w:line="423" w:lineRule="auto"/>
        <w:rPr>
          <w:rFonts w:ascii="Arial" w:cs="Arial" w:eastAsia="Arial" w:hAnsi="Arial"/>
          <w:sz w:val="17"/>
          <w:szCs w:val="17"/>
          <w:b w:val="1"/>
          <w:bCs w:val="1"/>
          <w:color w:val="auto"/>
        </w:rPr>
      </w:pPr>
      <w:r>
        <w:rPr>
          <w:rFonts w:ascii="Arial" w:cs="Arial" w:eastAsia="Arial" w:hAnsi="Arial"/>
          <w:sz w:val="17"/>
          <w:szCs w:val="17"/>
          <w:color w:val="auto"/>
        </w:rPr>
        <w:t xml:space="preserve">In December 2017, Series C preferred shares had been automatically converted into 1,599,186 Class A ordinary shares after closing of IPO. </w:t>
      </w:r>
      <w:r>
        <w:rPr>
          <w:rFonts w:ascii="Arial" w:cs="Arial" w:eastAsia="Arial" w:hAnsi="Arial"/>
          <w:sz w:val="17"/>
          <w:szCs w:val="17"/>
          <w:i w:val="1"/>
          <w:iCs w:val="1"/>
          <w:color w:val="auto"/>
        </w:rPr>
        <w:t>Series D preferred shares</w:t>
      </w:r>
    </w:p>
    <w:p>
      <w:pPr>
        <w:jc w:val="both"/>
        <w:ind w:left="836"/>
        <w:spacing w:after="0" w:line="228" w:lineRule="auto"/>
        <w:rPr>
          <w:rFonts w:ascii="Arial" w:cs="Arial" w:eastAsia="Arial" w:hAnsi="Arial"/>
          <w:sz w:val="17"/>
          <w:szCs w:val="17"/>
          <w:b w:val="1"/>
          <w:bCs w:val="1"/>
          <w:color w:val="auto"/>
        </w:rPr>
      </w:pPr>
      <w:r>
        <w:rPr>
          <w:rFonts w:ascii="Arial" w:cs="Arial" w:eastAsia="Arial" w:hAnsi="Arial"/>
          <w:sz w:val="17"/>
          <w:szCs w:val="17"/>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119" w:lineRule="exact"/>
        <w:rPr>
          <w:rFonts w:ascii="Arial" w:cs="Arial" w:eastAsia="Arial" w:hAnsi="Arial"/>
          <w:sz w:val="17"/>
          <w:szCs w:val="17"/>
          <w:b w:val="1"/>
          <w:bCs w:val="1"/>
          <w:color w:val="auto"/>
        </w:rPr>
      </w:pPr>
    </w:p>
    <w:p>
      <w:pPr>
        <w:jc w:val="both"/>
        <w:ind w:left="836"/>
        <w:spacing w:after="0" w:line="223" w:lineRule="auto"/>
        <w:rPr>
          <w:rFonts w:ascii="Arial" w:cs="Arial" w:eastAsia="Arial" w:hAnsi="Arial"/>
          <w:sz w:val="17"/>
          <w:szCs w:val="17"/>
          <w:b w:val="1"/>
          <w:bCs w:val="1"/>
          <w:color w:val="auto"/>
        </w:rPr>
      </w:pPr>
      <w:r>
        <w:rPr>
          <w:rFonts w:ascii="Arial" w:cs="Arial" w:eastAsia="Arial" w:hAnsi="Arial"/>
          <w:sz w:val="17"/>
          <w:szCs w:val="17"/>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2018 is less than US$85,000. Considering the gross billing of the Group as defined in the Series D Agreement for the year ended December 31, 2018 was more than US$85,000, no additional Series D preferred shares were issued.</w:t>
      </w:r>
    </w:p>
    <w:p>
      <w:pPr>
        <w:spacing w:after="0" w:line="132" w:lineRule="exact"/>
        <w:rPr>
          <w:rFonts w:ascii="Arial" w:cs="Arial" w:eastAsia="Arial" w:hAnsi="Arial"/>
          <w:sz w:val="17"/>
          <w:szCs w:val="17"/>
          <w:b w:val="1"/>
          <w:bCs w:val="1"/>
          <w:color w:val="auto"/>
        </w:rPr>
      </w:pPr>
    </w:p>
    <w:p>
      <w:pPr>
        <w:ind w:left="836" w:right="700"/>
        <w:spacing w:after="0" w:line="415" w:lineRule="auto"/>
        <w:rPr>
          <w:rFonts w:ascii="Arial" w:cs="Arial" w:eastAsia="Arial" w:hAnsi="Arial"/>
          <w:sz w:val="17"/>
          <w:szCs w:val="17"/>
          <w:b w:val="1"/>
          <w:bCs w:val="1"/>
          <w:color w:val="auto"/>
        </w:rPr>
      </w:pPr>
      <w:r>
        <w:rPr>
          <w:rFonts w:ascii="Arial" w:cs="Arial" w:eastAsia="Arial" w:hAnsi="Arial"/>
          <w:sz w:val="17"/>
          <w:szCs w:val="17"/>
          <w:color w:val="auto"/>
        </w:rPr>
        <w:t xml:space="preserve">In December 2017, Series D preferred shares had been automatically converted into 2,493,018 Class A ordinary shares after closing of IPO. </w:t>
      </w:r>
      <w:r>
        <w:rPr>
          <w:rFonts w:ascii="Arial" w:cs="Arial" w:eastAsia="Arial" w:hAnsi="Arial"/>
          <w:sz w:val="17"/>
          <w:szCs w:val="17"/>
          <w:i w:val="1"/>
          <w:iCs w:val="1"/>
          <w:color w:val="auto"/>
        </w:rPr>
        <w:t>Series E preferred shares</w:t>
      </w:r>
    </w:p>
    <w:p>
      <w:pPr>
        <w:jc w:val="both"/>
        <w:ind w:left="836"/>
        <w:spacing w:after="0" w:line="228" w:lineRule="auto"/>
        <w:rPr>
          <w:rFonts w:ascii="Arial" w:cs="Arial" w:eastAsia="Arial" w:hAnsi="Arial"/>
          <w:sz w:val="17"/>
          <w:szCs w:val="17"/>
          <w:b w:val="1"/>
          <w:bCs w:val="1"/>
          <w:color w:val="auto"/>
        </w:rPr>
      </w:pPr>
      <w:r>
        <w:rPr>
          <w:rFonts w:ascii="Arial" w:cs="Arial" w:eastAsia="Arial" w:hAnsi="Arial"/>
          <w:sz w:val="17"/>
          <w:szCs w:val="17"/>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45"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6"/>
          <w:szCs w:val="16"/>
          <w:color w:val="auto"/>
        </w:rPr>
        <w:t>In December 2017, Series E preferred shares had been automatically converted into 1,068,114 Class A ordinary shares after closing of IPO.</w:t>
      </w:r>
    </w:p>
    <w:p>
      <w:pPr>
        <w:spacing w:after="0" w:line="200" w:lineRule="exact"/>
        <w:rPr>
          <w:rFonts w:ascii="Arial" w:cs="Arial" w:eastAsia="Arial" w:hAnsi="Arial"/>
          <w:sz w:val="17"/>
          <w:szCs w:val="17"/>
          <w:b w:val="1"/>
          <w:bCs w:val="1"/>
          <w:color w:val="auto"/>
        </w:rPr>
      </w:pPr>
    </w:p>
    <w:p>
      <w:pPr>
        <w:spacing w:after="0" w:line="240" w:lineRule="exact"/>
        <w:rPr>
          <w:rFonts w:ascii="Arial" w:cs="Arial" w:eastAsia="Arial" w:hAnsi="Arial"/>
          <w:sz w:val="17"/>
          <w:szCs w:val="17"/>
          <w:b w:val="1"/>
          <w:bCs w:val="1"/>
          <w:color w:val="auto"/>
        </w:rPr>
      </w:pPr>
    </w:p>
    <w:p>
      <w:pPr>
        <w:ind w:left="5536" w:hanging="104"/>
        <w:spacing w:after="0"/>
        <w:tabs>
          <w:tab w:leader="none" w:pos="5536" w:val="left"/>
        </w:tabs>
        <w:numPr>
          <w:ilvl w:val="1"/>
          <w:numId w:val="213"/>
        </w:numPr>
        <w:rPr>
          <w:rFonts w:ascii="Arial" w:cs="Arial" w:eastAsia="Arial" w:hAnsi="Arial"/>
          <w:sz w:val="17"/>
          <w:szCs w:val="17"/>
          <w:color w:val="auto"/>
        </w:rPr>
      </w:pPr>
      <w:r>
        <w:rPr>
          <w:rFonts w:ascii="Arial" w:cs="Arial" w:eastAsia="Arial" w:hAnsi="Arial"/>
          <w:sz w:val="17"/>
          <w:szCs w:val="17"/>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94" w:name="page195"/>
    <w:bookmarkEnd w:id="194"/>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right="6420" w:hanging="836"/>
        <w:spacing w:after="0" w:line="514" w:lineRule="auto"/>
        <w:tabs>
          <w:tab w:leader="none" w:pos="840"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Redeemable convertible preferred shares (Continued) </w:t>
      </w:r>
      <w:r>
        <w:rPr>
          <w:rFonts w:ascii="Arial" w:cs="Arial" w:eastAsia="Arial" w:hAnsi="Arial"/>
          <w:sz w:val="17"/>
          <w:szCs w:val="17"/>
          <w:i w:val="1"/>
          <w:iCs w:val="1"/>
          <w:color w:val="auto"/>
        </w:rPr>
        <w:t>Series E preferred shares (Continued)</w:t>
      </w:r>
    </w:p>
    <w:p>
      <w:pPr>
        <w:spacing w:after="0" w:line="1" w:lineRule="exact"/>
        <w:rPr>
          <w:rFonts w:ascii="Arial" w:cs="Arial" w:eastAsia="Arial" w:hAnsi="Arial"/>
          <w:sz w:val="17"/>
          <w:szCs w:val="17"/>
          <w:b w:val="1"/>
          <w:bCs w:val="1"/>
          <w:color w:val="auto"/>
        </w:rPr>
      </w:pPr>
    </w:p>
    <w:p>
      <w:pPr>
        <w:ind w:left="840" w:right="5060"/>
        <w:spacing w:after="0" w:line="471" w:lineRule="auto"/>
        <w:rPr>
          <w:rFonts w:ascii="Arial" w:cs="Arial" w:eastAsia="Arial" w:hAnsi="Arial"/>
          <w:sz w:val="17"/>
          <w:szCs w:val="17"/>
          <w:b w:val="1"/>
          <w:bCs w:val="1"/>
          <w:color w:val="auto"/>
        </w:rPr>
      </w:pPr>
      <w:r>
        <w:rPr>
          <w:rFonts w:ascii="Arial" w:cs="Arial" w:eastAsia="Arial" w:hAnsi="Arial"/>
          <w:sz w:val="17"/>
          <w:szCs w:val="17"/>
          <w:color w:val="auto"/>
        </w:rPr>
        <w:t xml:space="preserve">The key terms of the Series A, B, C, D and E preferred shares are as follows: </w:t>
      </w:r>
      <w:r>
        <w:rPr>
          <w:rFonts w:ascii="Arial" w:cs="Arial" w:eastAsia="Arial" w:hAnsi="Arial"/>
          <w:sz w:val="17"/>
          <w:szCs w:val="17"/>
          <w:i w:val="1"/>
          <w:iCs w:val="1"/>
          <w:color w:val="auto"/>
        </w:rPr>
        <w:t>Dividend rights</w:t>
      </w:r>
    </w:p>
    <w:p>
      <w:pPr>
        <w:ind w:left="8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Subject to the approval and declaration by the Board of Directors, the holders of the preferred shares are entitled to receive dividends in the following order:</w:t>
      </w:r>
    </w:p>
    <w:p>
      <w:pPr>
        <w:spacing w:after="0" w:line="119" w:lineRule="exact"/>
        <w:rPr>
          <w:rFonts w:ascii="Arial" w:cs="Arial" w:eastAsia="Arial" w:hAnsi="Arial"/>
          <w:sz w:val="17"/>
          <w:szCs w:val="17"/>
          <w:b w:val="1"/>
          <w:bCs w:val="1"/>
          <w:color w:val="auto"/>
        </w:rPr>
      </w:pPr>
    </w:p>
    <w:p>
      <w:pPr>
        <w:jc w:val="both"/>
        <w:ind w:left="1660" w:hanging="823"/>
        <w:spacing w:after="0" w:line="270" w:lineRule="auto"/>
        <w:tabs>
          <w:tab w:leader="none" w:pos="166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133" w:lineRule="exact"/>
        <w:rPr>
          <w:rFonts w:ascii="Arial" w:cs="Arial" w:eastAsia="Arial" w:hAnsi="Arial"/>
          <w:sz w:val="17"/>
          <w:szCs w:val="17"/>
          <w:color w:val="auto"/>
        </w:rPr>
      </w:pPr>
    </w:p>
    <w:p>
      <w:pPr>
        <w:ind w:left="1660" w:hanging="823"/>
        <w:spacing w:after="0" w:line="356" w:lineRule="auto"/>
        <w:tabs>
          <w:tab w:leader="none" w:pos="166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73" w:lineRule="exact"/>
        <w:rPr>
          <w:rFonts w:ascii="Arial" w:cs="Arial" w:eastAsia="Arial" w:hAnsi="Arial"/>
          <w:sz w:val="15"/>
          <w:szCs w:val="15"/>
          <w:color w:val="auto"/>
        </w:rPr>
      </w:pPr>
    </w:p>
    <w:p>
      <w:pPr>
        <w:ind w:left="1660" w:hanging="823"/>
        <w:spacing w:after="0" w:line="319" w:lineRule="auto"/>
        <w:tabs>
          <w:tab w:leader="none" w:pos="166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96" w:lineRule="exact"/>
        <w:rPr>
          <w:rFonts w:ascii="Arial" w:cs="Arial" w:eastAsia="Arial" w:hAnsi="Arial"/>
          <w:sz w:val="16"/>
          <w:szCs w:val="16"/>
          <w:color w:val="auto"/>
        </w:rPr>
      </w:pPr>
    </w:p>
    <w:p>
      <w:pPr>
        <w:ind w:left="1660" w:hanging="823"/>
        <w:spacing w:after="0" w:line="286" w:lineRule="auto"/>
        <w:tabs>
          <w:tab w:leader="none" w:pos="166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119" w:lineRule="exact"/>
        <w:rPr>
          <w:rFonts w:ascii="Arial" w:cs="Arial" w:eastAsia="Arial" w:hAnsi="Arial"/>
          <w:sz w:val="17"/>
          <w:szCs w:val="17"/>
          <w:color w:val="auto"/>
        </w:rPr>
      </w:pPr>
    </w:p>
    <w:p>
      <w:pPr>
        <w:ind w:left="1660" w:hanging="823"/>
        <w:spacing w:after="0" w:line="286" w:lineRule="auto"/>
        <w:tabs>
          <w:tab w:leader="none" w:pos="166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any remaining dividends shall be distributed on a pro rata basis to holders of all the preferred shares and ordinary shares on a fully diluted and as-if converted basis.</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7"/>
          <w:szCs w:val="17"/>
          <w:i w:val="1"/>
          <w:iCs w:val="1"/>
          <w:color w:val="auto"/>
        </w:rPr>
        <w:t>Voting rights</w:t>
      </w:r>
    </w:p>
    <w:p>
      <w:pPr>
        <w:spacing w:after="0" w:line="182"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The holders of the Series A, B, C, D and E preferred shares shall be entitled to such number of votes equal to the whole number of ordinary shares into which such Series A, B, C, D and E preferred shares are convertible.</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7"/>
          <w:szCs w:val="17"/>
          <w:i w:val="1"/>
          <w:iCs w:val="1"/>
          <w:color w:val="auto"/>
        </w:rPr>
        <w:t>Liquidation preference</w:t>
      </w:r>
    </w:p>
    <w:p>
      <w:pPr>
        <w:spacing w:after="0" w:line="182" w:lineRule="exact"/>
        <w:rPr>
          <w:sz w:val="20"/>
          <w:szCs w:val="20"/>
          <w:color w:val="auto"/>
        </w:rPr>
      </w:pPr>
    </w:p>
    <w:p>
      <w:pPr>
        <w:jc w:val="both"/>
        <w:ind w:left="840"/>
        <w:spacing w:after="0" w:line="281"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right="6420" w:hanging="836"/>
        <w:spacing w:after="0" w:line="474" w:lineRule="auto"/>
        <w:tabs>
          <w:tab w:leader="none" w:pos="836"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Redeemable convertible preferred shares (Continued) </w:t>
      </w:r>
      <w:r>
        <w:rPr>
          <w:rFonts w:ascii="Arial" w:cs="Arial" w:eastAsia="Arial" w:hAnsi="Arial"/>
          <w:sz w:val="17"/>
          <w:szCs w:val="17"/>
          <w:i w:val="1"/>
          <w:iCs w:val="1"/>
          <w:color w:val="auto"/>
        </w:rPr>
        <w:t>Liquidation preference (Continued)</w:t>
      </w:r>
    </w:p>
    <w:p>
      <w:pPr>
        <w:spacing w:after="0" w:line="1" w:lineRule="exact"/>
        <w:rPr>
          <w:rFonts w:ascii="Arial" w:cs="Arial" w:eastAsia="Arial" w:hAnsi="Arial"/>
          <w:sz w:val="17"/>
          <w:szCs w:val="17"/>
          <w:b w:val="1"/>
          <w:bCs w:val="1"/>
          <w:color w:val="auto"/>
        </w:rPr>
      </w:pPr>
    </w:p>
    <w:p>
      <w:pPr>
        <w:jc w:val="both"/>
        <w:ind w:left="836"/>
        <w:spacing w:after="0" w:line="260" w:lineRule="auto"/>
        <w:rPr>
          <w:rFonts w:ascii="Arial" w:cs="Arial" w:eastAsia="Arial" w:hAnsi="Arial"/>
          <w:sz w:val="17"/>
          <w:szCs w:val="17"/>
          <w:b w:val="1"/>
          <w:bCs w:val="1"/>
          <w:color w:val="auto"/>
        </w:rPr>
      </w:pPr>
      <w:r>
        <w:rPr>
          <w:rFonts w:ascii="Arial" w:cs="Arial" w:eastAsia="Arial" w:hAnsi="Arial"/>
          <w:sz w:val="17"/>
          <w:szCs w:val="17"/>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143" w:lineRule="exact"/>
        <w:rPr>
          <w:rFonts w:ascii="Arial" w:cs="Arial" w:eastAsia="Arial" w:hAnsi="Arial"/>
          <w:sz w:val="17"/>
          <w:szCs w:val="17"/>
          <w:b w:val="1"/>
          <w:bCs w:val="1"/>
          <w:color w:val="auto"/>
        </w:rPr>
      </w:pPr>
    </w:p>
    <w:p>
      <w:pPr>
        <w:jc w:val="both"/>
        <w:ind w:left="836"/>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142"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146"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Conversion rights</w:t>
      </w:r>
    </w:p>
    <w:p>
      <w:pPr>
        <w:spacing w:after="0" w:line="181" w:lineRule="exact"/>
        <w:rPr>
          <w:rFonts w:ascii="Arial" w:cs="Arial" w:eastAsia="Arial" w:hAnsi="Arial"/>
          <w:sz w:val="17"/>
          <w:szCs w:val="17"/>
          <w:b w:val="1"/>
          <w:bCs w:val="1"/>
          <w:color w:val="auto"/>
        </w:rPr>
      </w:pPr>
    </w:p>
    <w:p>
      <w:pPr>
        <w:jc w:val="both"/>
        <w:ind w:left="836"/>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125"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146"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Company has determined that there was no BCF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81" w:lineRule="exact"/>
        <w:rPr>
          <w:rFonts w:ascii="Arial" w:cs="Arial" w:eastAsia="Arial" w:hAnsi="Arial"/>
          <w:sz w:val="17"/>
          <w:szCs w:val="17"/>
          <w:b w:val="1"/>
          <w:bCs w:val="1"/>
          <w:color w:val="auto"/>
        </w:rPr>
      </w:pPr>
    </w:p>
    <w:p>
      <w:pPr>
        <w:ind w:left="5536" w:hanging="104"/>
        <w:spacing w:after="0"/>
        <w:tabs>
          <w:tab w:leader="none" w:pos="5536" w:val="left"/>
        </w:tabs>
        <w:numPr>
          <w:ilvl w:val="1"/>
          <w:numId w:val="215"/>
        </w:numPr>
        <w:rPr>
          <w:rFonts w:ascii="Arial" w:cs="Arial" w:eastAsia="Arial" w:hAnsi="Arial"/>
          <w:sz w:val="17"/>
          <w:szCs w:val="17"/>
          <w:color w:val="auto"/>
        </w:rPr>
      </w:pPr>
      <w:r>
        <w:rPr>
          <w:rFonts w:ascii="Arial" w:cs="Arial" w:eastAsia="Arial" w:hAnsi="Arial"/>
          <w:sz w:val="17"/>
          <w:szCs w:val="17"/>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96" w:name="page197"/>
    <w:bookmarkEnd w:id="196"/>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0" w:lineRule="exact"/>
        <w:rPr>
          <w:sz w:val="20"/>
          <w:szCs w:val="20"/>
          <w:color w:val="auto"/>
        </w:rPr>
      </w:pPr>
    </w:p>
    <w:p>
      <w:pPr>
        <w:spacing w:after="0" w:line="211" w:lineRule="exact"/>
        <w:rPr>
          <w:sz w:val="20"/>
          <w:szCs w:val="20"/>
          <w:color w:val="auto"/>
        </w:rPr>
      </w:pPr>
    </w:p>
    <w:p>
      <w:pPr>
        <w:ind w:left="836" w:right="6420" w:hanging="836"/>
        <w:spacing w:after="0" w:line="474" w:lineRule="auto"/>
        <w:tabs>
          <w:tab w:leader="none" w:pos="836"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Redeemable convertible preferred shares (Continued) </w:t>
      </w:r>
      <w:r>
        <w:rPr>
          <w:rFonts w:ascii="Arial" w:cs="Arial" w:eastAsia="Arial" w:hAnsi="Arial"/>
          <w:sz w:val="17"/>
          <w:szCs w:val="17"/>
          <w:i w:val="1"/>
          <w:iCs w:val="1"/>
          <w:color w:val="auto"/>
        </w:rPr>
        <w:t>Anti-dilution provision</w:t>
      </w:r>
    </w:p>
    <w:p>
      <w:pPr>
        <w:spacing w:after="0" w:line="1"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33" w:lineRule="exact"/>
        <w:rPr>
          <w:rFonts w:ascii="Arial" w:cs="Arial" w:eastAsia="Arial" w:hAnsi="Arial"/>
          <w:sz w:val="17"/>
          <w:szCs w:val="17"/>
          <w:b w:val="1"/>
          <w:bCs w:val="1"/>
          <w:color w:val="auto"/>
        </w:rPr>
      </w:pPr>
    </w:p>
    <w:p>
      <w:pPr>
        <w:jc w:val="both"/>
        <w:ind w:left="836"/>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BCF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129"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146"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Redemption right</w:t>
      </w:r>
    </w:p>
    <w:p>
      <w:pPr>
        <w:spacing w:after="0" w:line="181" w:lineRule="exact"/>
        <w:rPr>
          <w:rFonts w:ascii="Arial" w:cs="Arial" w:eastAsia="Arial" w:hAnsi="Arial"/>
          <w:sz w:val="17"/>
          <w:szCs w:val="17"/>
          <w:b w:val="1"/>
          <w:bCs w:val="1"/>
          <w:color w:val="auto"/>
        </w:rPr>
      </w:pPr>
    </w:p>
    <w:p>
      <w:pPr>
        <w:ind w:left="836"/>
        <w:spacing w:after="0" w:line="356" w:lineRule="auto"/>
        <w:rPr>
          <w:rFonts w:ascii="Arial" w:cs="Arial" w:eastAsia="Arial" w:hAnsi="Arial"/>
          <w:sz w:val="17"/>
          <w:szCs w:val="17"/>
          <w:b w:val="1"/>
          <w:bCs w:val="1"/>
          <w:color w:val="auto"/>
        </w:rPr>
      </w:pPr>
      <w:r>
        <w:rPr>
          <w:rFonts w:ascii="Arial" w:cs="Arial" w:eastAsia="Arial" w:hAnsi="Arial"/>
          <w:sz w:val="15"/>
          <w:szCs w:val="15"/>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72" w:lineRule="exact"/>
        <w:rPr>
          <w:rFonts w:ascii="Arial" w:cs="Arial" w:eastAsia="Arial" w:hAnsi="Arial"/>
          <w:sz w:val="17"/>
          <w:szCs w:val="17"/>
          <w:b w:val="1"/>
          <w:bCs w:val="1"/>
          <w:color w:val="auto"/>
        </w:rPr>
      </w:pPr>
    </w:p>
    <w:p>
      <w:pPr>
        <w:jc w:val="both"/>
        <w:ind w:left="836"/>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The holders of Series C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134" w:lineRule="exact"/>
        <w:rPr>
          <w:rFonts w:ascii="Arial" w:cs="Arial" w:eastAsia="Arial" w:hAnsi="Arial"/>
          <w:sz w:val="17"/>
          <w:szCs w:val="17"/>
          <w:b w:val="1"/>
          <w:bCs w:val="1"/>
          <w:color w:val="auto"/>
        </w:rPr>
      </w:pPr>
    </w:p>
    <w:p>
      <w:pPr>
        <w:jc w:val="both"/>
        <w:ind w:left="836"/>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holders of Series D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D preferred shares; (ii) the occurrence of any liquidating transaction as defined in the subscription agreements; (iii)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386" w:lineRule="exact"/>
        <w:rPr>
          <w:rFonts w:ascii="Arial" w:cs="Arial" w:eastAsia="Arial" w:hAnsi="Arial"/>
          <w:sz w:val="17"/>
          <w:szCs w:val="17"/>
          <w:b w:val="1"/>
          <w:bCs w:val="1"/>
          <w:color w:val="auto"/>
        </w:rPr>
      </w:pPr>
    </w:p>
    <w:p>
      <w:pPr>
        <w:ind w:left="5536" w:hanging="104"/>
        <w:spacing w:after="0"/>
        <w:tabs>
          <w:tab w:leader="none" w:pos="5536" w:val="left"/>
        </w:tabs>
        <w:numPr>
          <w:ilvl w:val="1"/>
          <w:numId w:val="216"/>
        </w:numPr>
        <w:rPr>
          <w:rFonts w:ascii="Arial" w:cs="Arial" w:eastAsia="Arial" w:hAnsi="Arial"/>
          <w:sz w:val="17"/>
          <w:szCs w:val="17"/>
          <w:color w:val="auto"/>
        </w:rPr>
      </w:pPr>
      <w:r>
        <w:rPr>
          <w:rFonts w:ascii="Arial" w:cs="Arial" w:eastAsia="Arial" w:hAnsi="Arial"/>
          <w:sz w:val="17"/>
          <w:szCs w:val="17"/>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97" w:name="page198"/>
    <w:bookmarkEnd w:id="197"/>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right="6420" w:hanging="836"/>
        <w:spacing w:after="0" w:line="490" w:lineRule="auto"/>
        <w:tabs>
          <w:tab w:leader="none" w:pos="84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Redeemable convertible preferred shares (Continued) </w:t>
      </w:r>
      <w:r>
        <w:rPr>
          <w:rFonts w:ascii="Arial" w:cs="Arial" w:eastAsia="Arial" w:hAnsi="Arial"/>
          <w:sz w:val="17"/>
          <w:szCs w:val="17"/>
          <w:i w:val="1"/>
          <w:iCs w:val="1"/>
          <w:color w:val="auto"/>
        </w:rPr>
        <w:t>Redemption right (Continued)</w:t>
      </w:r>
    </w:p>
    <w:p>
      <w:pPr>
        <w:spacing w:after="0" w:line="1"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6"/>
          <w:szCs w:val="16"/>
          <w:color w:val="auto"/>
        </w:rPr>
        <w:t>The holders of Series E preferred shares can redeem the preferred shares at any time after the earlier of: (i) the occurrence of any liquidating</w:t>
      </w:r>
    </w:p>
    <w:p>
      <w:pPr>
        <w:spacing w:after="0" w:line="36" w:lineRule="exact"/>
        <w:rPr>
          <w:rFonts w:ascii="Arial" w:cs="Arial" w:eastAsia="Arial" w:hAnsi="Arial"/>
          <w:sz w:val="17"/>
          <w:szCs w:val="17"/>
          <w:b w:val="1"/>
          <w:bCs w:val="1"/>
          <w:color w:val="auto"/>
        </w:rPr>
      </w:pPr>
    </w:p>
    <w:p>
      <w:pPr>
        <w:jc w:val="both"/>
        <w:ind w:left="840"/>
        <w:spacing w:after="0" w:line="289" w:lineRule="auto"/>
        <w:rPr>
          <w:rFonts w:ascii="Arial" w:cs="Arial" w:eastAsia="Arial" w:hAnsi="Arial"/>
          <w:sz w:val="17"/>
          <w:szCs w:val="17"/>
          <w:b w:val="1"/>
          <w:bCs w:val="1"/>
          <w:color w:val="auto"/>
        </w:rPr>
      </w:pPr>
      <w:r>
        <w:rPr>
          <w:rFonts w:ascii="Arial" w:cs="Arial" w:eastAsia="Arial" w:hAnsi="Arial"/>
          <w:sz w:val="15"/>
          <w:szCs w:val="15"/>
          <w:color w:val="auto"/>
        </w:rPr>
        <w:t>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2018 being no less than US$200,000; and (2) the audited consolidated revenues from the principal business (excluding any non-operating and non-recurring revenue) of the Group as of and for the twelve months ending on December 31, 2019 being no less than US$300,000;</w:t>
      </w:r>
    </w:p>
    <w:p>
      <w:pPr>
        <w:spacing w:after="0" w:line="1" w:lineRule="exact"/>
        <w:rPr>
          <w:rFonts w:ascii="Arial" w:cs="Arial" w:eastAsia="Arial" w:hAnsi="Arial"/>
          <w:sz w:val="17"/>
          <w:szCs w:val="17"/>
          <w:b w:val="1"/>
          <w:bCs w:val="1"/>
          <w:color w:val="auto"/>
        </w:rPr>
      </w:pPr>
    </w:p>
    <w:p>
      <w:pPr>
        <w:jc w:val="both"/>
        <w:ind w:left="840" w:hanging="3"/>
        <w:spacing w:after="0" w:line="257" w:lineRule="auto"/>
        <w:tabs>
          <w:tab w:leader="none" w:pos="1156"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159" w:lineRule="exact"/>
        <w:rPr>
          <w:sz w:val="20"/>
          <w:szCs w:val="20"/>
          <w:color w:val="auto"/>
        </w:rPr>
      </w:pPr>
    </w:p>
    <w:p>
      <w:pPr>
        <w:jc w:val="both"/>
        <w:ind w:left="840"/>
        <w:spacing w:after="0" w:line="275" w:lineRule="auto"/>
        <w:rPr>
          <w:sz w:val="20"/>
          <w:szCs w:val="20"/>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134" w:lineRule="exact"/>
        <w:rPr>
          <w:sz w:val="20"/>
          <w:szCs w:val="20"/>
          <w:color w:val="auto"/>
        </w:rPr>
      </w:pPr>
    </w:p>
    <w:p>
      <w:pPr>
        <w:jc w:val="both"/>
        <w:ind w:left="840"/>
        <w:spacing w:after="0" w:line="279" w:lineRule="auto"/>
        <w:rPr>
          <w:sz w:val="20"/>
          <w:szCs w:val="20"/>
          <w:color w:val="auto"/>
        </w:rPr>
      </w:pPr>
      <w:r>
        <w:rPr>
          <w:rFonts w:ascii="Arial" w:cs="Arial" w:eastAsia="Arial" w:hAnsi="Arial"/>
          <w:sz w:val="16"/>
          <w:szCs w:val="16"/>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right="6420" w:hanging="836"/>
        <w:spacing w:after="0" w:line="442" w:lineRule="auto"/>
        <w:tabs>
          <w:tab w:leader="none" w:pos="836"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Redeemable convertible preferred shares (Continued) </w:t>
      </w:r>
      <w:r>
        <w:rPr>
          <w:rFonts w:ascii="Arial" w:cs="Arial" w:eastAsia="Arial" w:hAnsi="Arial"/>
          <w:sz w:val="17"/>
          <w:szCs w:val="17"/>
          <w:i w:val="1"/>
          <w:iCs w:val="1"/>
          <w:color w:val="auto"/>
        </w:rPr>
        <w:t>Redemption right (Continued)</w:t>
      </w:r>
    </w:p>
    <w:p>
      <w:pPr>
        <w:spacing w:after="0" w:line="1" w:lineRule="exact"/>
        <w:rPr>
          <w:rFonts w:ascii="Arial" w:cs="Arial" w:eastAsia="Arial" w:hAnsi="Arial"/>
          <w:sz w:val="17"/>
          <w:szCs w:val="17"/>
          <w:b w:val="1"/>
          <w:bCs w:val="1"/>
          <w:color w:val="auto"/>
        </w:rPr>
      </w:pPr>
    </w:p>
    <w:p>
      <w:pPr>
        <w:jc w:val="both"/>
        <w:ind w:left="836"/>
        <w:spacing w:after="0" w:line="233" w:lineRule="auto"/>
        <w:rPr>
          <w:rFonts w:ascii="Arial" w:cs="Arial" w:eastAsia="Arial" w:hAnsi="Arial"/>
          <w:sz w:val="17"/>
          <w:szCs w:val="17"/>
          <w:b w:val="1"/>
          <w:bCs w:val="1"/>
          <w:color w:val="auto"/>
        </w:rPr>
      </w:pPr>
      <w:r>
        <w:rPr>
          <w:rFonts w:ascii="Arial" w:cs="Arial" w:eastAsia="Arial" w:hAnsi="Arial"/>
          <w:sz w:val="17"/>
          <w:szCs w:val="17"/>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BCF for the Series A, A-1, B, B-1, C, D and E preferred shares.</w:t>
      </w:r>
    </w:p>
    <w:p>
      <w:pPr>
        <w:spacing w:after="0" w:line="143" w:lineRule="exact"/>
        <w:rPr>
          <w:rFonts w:ascii="Arial" w:cs="Arial" w:eastAsia="Arial" w:hAnsi="Arial"/>
          <w:sz w:val="17"/>
          <w:szCs w:val="17"/>
          <w:b w:val="1"/>
          <w:bCs w:val="1"/>
          <w:color w:val="auto"/>
        </w:rPr>
      </w:pPr>
    </w:p>
    <w:p>
      <w:pPr>
        <w:jc w:val="both"/>
        <w:ind w:left="836"/>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132" w:lineRule="exact"/>
        <w:rPr>
          <w:rFonts w:ascii="Arial" w:cs="Arial" w:eastAsia="Arial" w:hAnsi="Arial"/>
          <w:sz w:val="17"/>
          <w:szCs w:val="17"/>
          <w:b w:val="1"/>
          <w:bCs w:val="1"/>
          <w:color w:val="auto"/>
        </w:rPr>
      </w:pPr>
    </w:p>
    <w:p>
      <w:pPr>
        <w:jc w:val="both"/>
        <w:ind w:left="836"/>
        <w:spacing w:after="0" w:line="233" w:lineRule="auto"/>
        <w:rPr>
          <w:rFonts w:ascii="Arial" w:cs="Arial" w:eastAsia="Arial" w:hAnsi="Arial"/>
          <w:sz w:val="17"/>
          <w:szCs w:val="17"/>
          <w:b w:val="1"/>
          <w:bCs w:val="1"/>
          <w:color w:val="auto"/>
        </w:rPr>
      </w:pPr>
      <w:r>
        <w:rPr>
          <w:rFonts w:ascii="Arial" w:cs="Arial" w:eastAsia="Arial" w:hAnsi="Arial"/>
          <w:sz w:val="17"/>
          <w:szCs w:val="17"/>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130" w:lineRule="exact"/>
        <w:rPr>
          <w:rFonts w:ascii="Arial" w:cs="Arial" w:eastAsia="Arial" w:hAnsi="Arial"/>
          <w:sz w:val="17"/>
          <w:szCs w:val="17"/>
          <w:b w:val="1"/>
          <w:bCs w:val="1"/>
          <w:color w:val="auto"/>
        </w:rPr>
      </w:pPr>
    </w:p>
    <w:p>
      <w:pPr>
        <w:jc w:val="both"/>
        <w:ind w:left="836"/>
        <w:spacing w:after="0" w:line="233" w:lineRule="auto"/>
        <w:rPr>
          <w:rFonts w:ascii="Arial" w:cs="Arial" w:eastAsia="Arial" w:hAnsi="Arial"/>
          <w:sz w:val="17"/>
          <w:szCs w:val="17"/>
          <w:b w:val="1"/>
          <w:bCs w:val="1"/>
          <w:color w:val="auto"/>
        </w:rPr>
      </w:pPr>
      <w:r>
        <w:rPr>
          <w:rFonts w:ascii="Arial" w:cs="Arial" w:eastAsia="Arial" w:hAnsi="Arial"/>
          <w:sz w:val="17"/>
          <w:szCs w:val="17"/>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143" w:lineRule="exact"/>
        <w:rPr>
          <w:rFonts w:ascii="Arial" w:cs="Arial" w:eastAsia="Arial" w:hAnsi="Arial"/>
          <w:sz w:val="17"/>
          <w:szCs w:val="17"/>
          <w:b w:val="1"/>
          <w:bCs w:val="1"/>
          <w:color w:val="auto"/>
        </w:rPr>
      </w:pPr>
    </w:p>
    <w:p>
      <w:pPr>
        <w:jc w:val="both"/>
        <w:ind w:left="836"/>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In December 2017, preferred shares had been automatically converted into Class A ordinary shares after the closing of IPO. Accretion to convertible redeemable preferred shares redemption value of US$3,650 and fair value losses on derivative liabilities of US$10,190 were recorded in the year ended December 31, 2017.</w:t>
      </w:r>
    </w:p>
    <w:p>
      <w:pPr>
        <w:spacing w:after="0" w:line="177" w:lineRule="exact"/>
        <w:rPr>
          <w:rFonts w:ascii="Arial" w:cs="Arial" w:eastAsia="Arial" w:hAnsi="Arial"/>
          <w:sz w:val="17"/>
          <w:szCs w:val="17"/>
          <w:b w:val="1"/>
          <w:bCs w:val="1"/>
          <w:color w:val="auto"/>
        </w:rPr>
      </w:pPr>
    </w:p>
    <w:p>
      <w:pPr>
        <w:ind w:left="836" w:hanging="836"/>
        <w:spacing w:after="0"/>
        <w:tabs>
          <w:tab w:leader="none" w:pos="836"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Redeemable ordinary shares</w:t>
      </w:r>
    </w:p>
    <w:p>
      <w:pPr>
        <w:spacing w:after="0" w:line="200"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33" w:lineRule="exact"/>
        <w:rPr>
          <w:rFonts w:ascii="Arial" w:cs="Arial" w:eastAsia="Arial" w:hAnsi="Arial"/>
          <w:sz w:val="17"/>
          <w:szCs w:val="17"/>
          <w:b w:val="1"/>
          <w:bCs w:val="1"/>
          <w:color w:val="auto"/>
        </w:rPr>
      </w:pPr>
    </w:p>
    <w:p>
      <w:pPr>
        <w:jc w:val="both"/>
        <w:ind w:left="836"/>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Investor D shall have an option to require the Company to repurchase all of the ordinary shares if a qualified IPO is not consummated by the 2nd anniversary of the closing of sale and purchase of the Series D preferred shares. The redemption price shall equal to the issue price, plus accrued interest at a non-compound interest rate of 12% per annum. In December 2016, the redeemable date of the ordinary shares was further changed to December 28, 2017 upon the completion of Series E Agreement. The change in value of such modification was insignificant.</w:t>
      </w:r>
    </w:p>
    <w:p>
      <w:pPr>
        <w:spacing w:after="0" w:line="121"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As these ordinary shares are contingently redeemable, they are classified as mezzanine equity. The Company recognizes the accretion charge using the effective interest method.</w:t>
      </w:r>
    </w:p>
    <w:p>
      <w:pPr>
        <w:spacing w:after="0" w:line="132"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In December 2017, redeemable ordinary shares had been automatically converted into 742,320 Class A ordinary shares after the closing of IPO. Accretion to redeemable ordinary shares redemption value of US$3,650 was recorded in the year ended December 31, 2017.</w:t>
      </w:r>
    </w:p>
    <w:p>
      <w:pPr>
        <w:spacing w:after="0" w:line="158" w:lineRule="exact"/>
        <w:rPr>
          <w:rFonts w:ascii="Arial" w:cs="Arial" w:eastAsia="Arial" w:hAnsi="Arial"/>
          <w:sz w:val="17"/>
          <w:szCs w:val="17"/>
          <w:b w:val="1"/>
          <w:bCs w:val="1"/>
          <w:color w:val="auto"/>
        </w:rPr>
      </w:pPr>
    </w:p>
    <w:p>
      <w:pPr>
        <w:ind w:left="5536" w:hanging="104"/>
        <w:spacing w:after="0"/>
        <w:tabs>
          <w:tab w:leader="none" w:pos="5536" w:val="left"/>
        </w:tabs>
        <w:numPr>
          <w:ilvl w:val="1"/>
          <w:numId w:val="218"/>
        </w:numPr>
        <w:rPr>
          <w:rFonts w:ascii="Arial" w:cs="Arial" w:eastAsia="Arial" w:hAnsi="Arial"/>
          <w:sz w:val="17"/>
          <w:szCs w:val="17"/>
          <w:color w:val="auto"/>
        </w:rPr>
      </w:pPr>
      <w:r>
        <w:rPr>
          <w:rFonts w:ascii="Arial" w:cs="Arial" w:eastAsia="Arial" w:hAnsi="Arial"/>
          <w:sz w:val="17"/>
          <w:szCs w:val="17"/>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199" w:name="page200"/>
    <w:bookmarkEnd w:id="199"/>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372" w:lineRule="exact"/>
        <w:rPr>
          <w:sz w:val="20"/>
          <w:szCs w:val="20"/>
          <w:color w:val="auto"/>
        </w:rPr>
      </w:pPr>
    </w:p>
    <w:p>
      <w:pPr>
        <w:ind w:left="836" w:hanging="836"/>
        <w:spacing w:after="0"/>
        <w:tabs>
          <w:tab w:leader="none" w:pos="836"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Ordinary shares</w:t>
      </w:r>
    </w:p>
    <w:p>
      <w:pPr>
        <w:spacing w:after="0" w:line="187" w:lineRule="exact"/>
        <w:rPr>
          <w:rFonts w:ascii="Arial" w:cs="Arial" w:eastAsia="Arial" w:hAnsi="Arial"/>
          <w:sz w:val="17"/>
          <w:szCs w:val="17"/>
          <w:b w:val="1"/>
          <w:bCs w:val="1"/>
          <w:color w:val="auto"/>
        </w:rPr>
      </w:pPr>
    </w:p>
    <w:p>
      <w:pPr>
        <w:jc w:val="both"/>
        <w:ind w:left="836"/>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Company’s Memorandum and Articles of Association authorizes the Company to issue 100,000,000 shares of US$0.001 par value per ordinary share as of December 31, 2018 and 2019,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2018 and 2019, there were 27,986,700 and 28,690,635 ordinary shares outstanding, respectively.</w:t>
      </w:r>
    </w:p>
    <w:p>
      <w:pPr>
        <w:spacing w:after="0" w:line="155" w:lineRule="exact"/>
        <w:rPr>
          <w:rFonts w:ascii="Arial" w:cs="Arial" w:eastAsia="Arial" w:hAnsi="Arial"/>
          <w:sz w:val="17"/>
          <w:szCs w:val="17"/>
          <w:b w:val="1"/>
          <w:bCs w:val="1"/>
          <w:color w:val="auto"/>
        </w:rPr>
      </w:pPr>
    </w:p>
    <w:p>
      <w:pPr>
        <w:jc w:val="both"/>
        <w:ind w:left="836"/>
        <w:spacing w:after="0" w:line="275" w:lineRule="auto"/>
        <w:rPr>
          <w:rFonts w:ascii="Arial" w:cs="Arial" w:eastAsia="Arial" w:hAnsi="Arial"/>
          <w:sz w:val="17"/>
          <w:szCs w:val="17"/>
          <w:b w:val="1"/>
          <w:bCs w:val="1"/>
          <w:color w:val="auto"/>
        </w:rPr>
      </w:pPr>
      <w:r>
        <w:rPr>
          <w:rFonts w:ascii="Arial" w:cs="Arial" w:eastAsia="Arial" w:hAnsi="Arial"/>
          <w:sz w:val="16"/>
          <w:szCs w:val="16"/>
          <w:color w:val="auto"/>
        </w:rPr>
        <w:t>At the time the Company adopted the 2010 Employee Share Option Plan (the “2010 Share Option Plan”) and 2018 Post IPO Share Incentive Plan, the Company, together with the then shareholders, also decided to allot ordinary shares with par value of US$0.001 to Arda Holdings Limited (“Arda”), a British Virgin Islands company owned by the Group’s chairman at no consideration. Arda will only hold these ordinary shares on trust for the benefit of the employees who are under the 2010 Share Option Plan and 2018 Post IPO Share Incentive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No additional shares have been allotted during the years ended December 31, 2017, 2018 and 2019 to Arda. Arda does not hold any other assets or liabilities as of December 31, 2018 and 2019, nor earn any income nor incur any expenses for the years ended December 31, 2017, 2018 and 2019.</w:t>
      </w:r>
    </w:p>
    <w:p>
      <w:pPr>
        <w:spacing w:after="0" w:line="134"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In December 2017, the Company completed its initial public offering in which the Company newly issued 2,156,250 Class A ordinary shares and all of the Company’s Series A, Series B, Series C, Series D, Series E preferred shares and redeemable ordinary shares were automatically converted into 10,268,077 Class A ordinary shares.</w:t>
      </w:r>
    </w:p>
    <w:p>
      <w:pPr>
        <w:spacing w:after="0" w:line="146" w:lineRule="exact"/>
        <w:rPr>
          <w:rFonts w:ascii="Arial" w:cs="Arial" w:eastAsia="Arial" w:hAnsi="Arial"/>
          <w:sz w:val="17"/>
          <w:szCs w:val="17"/>
          <w:b w:val="1"/>
          <w:bCs w:val="1"/>
          <w:color w:val="auto"/>
        </w:rPr>
      </w:pPr>
    </w:p>
    <w:p>
      <w:pPr>
        <w:jc w:val="both"/>
        <w:ind w:left="836"/>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Immediately prior to the completion of IPO in December 2017, the Company redesignated 2,500,580 Class A ordinary shares held by Wing Hong Sammy Hsieh and 2,320,028 Class A ordinary shares held by Jian Tang into Class B ordinary shares on a one-for-one basis. The holders of Class A ordinary shares shall have one vote in respect of each Class A ordinary share held, the holders of Class B ordinary shares shall have twenty votes in respect of each Class B ordinary share held.</w:t>
      </w:r>
    </w:p>
    <w:p>
      <w:pPr>
        <w:spacing w:after="0" w:line="138"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As of December 31, 2018 and 2019, the Company is authorized to issue 100,000,000 shares of US$0.001 par value per ordinary share, out of which 80,000,000 shares are Class A ordinary shares and 20,000,000 shares are Class B ordinary shares.</w:t>
      </w:r>
    </w:p>
    <w:p>
      <w:pPr>
        <w:spacing w:after="0" w:line="158" w:lineRule="exact"/>
        <w:rPr>
          <w:rFonts w:ascii="Arial" w:cs="Arial" w:eastAsia="Arial" w:hAnsi="Arial"/>
          <w:sz w:val="17"/>
          <w:szCs w:val="17"/>
          <w:b w:val="1"/>
          <w:bCs w:val="1"/>
          <w:color w:val="auto"/>
        </w:rPr>
      </w:pPr>
    </w:p>
    <w:p>
      <w:pPr>
        <w:ind w:left="5536" w:hanging="104"/>
        <w:spacing w:after="0"/>
        <w:tabs>
          <w:tab w:leader="none" w:pos="5536" w:val="left"/>
        </w:tabs>
        <w:numPr>
          <w:ilvl w:val="1"/>
          <w:numId w:val="219"/>
        </w:numPr>
        <w:rPr>
          <w:rFonts w:ascii="Arial" w:cs="Arial" w:eastAsia="Arial" w:hAnsi="Arial"/>
          <w:sz w:val="17"/>
          <w:szCs w:val="17"/>
          <w:color w:val="auto"/>
        </w:rPr>
      </w:pPr>
      <w:r>
        <w:rPr>
          <w:rFonts w:ascii="Arial" w:cs="Arial" w:eastAsia="Arial" w:hAnsi="Arial"/>
          <w:sz w:val="17"/>
          <w:szCs w:val="17"/>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200" w:name="page201"/>
    <w:bookmarkEnd w:id="200"/>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372" w:lineRule="exact"/>
        <w:rPr>
          <w:sz w:val="20"/>
          <w:szCs w:val="20"/>
          <w:color w:val="auto"/>
        </w:rPr>
      </w:pPr>
    </w:p>
    <w:p>
      <w:pPr>
        <w:ind w:left="840" w:hanging="836"/>
        <w:spacing w:after="0"/>
        <w:tabs>
          <w:tab w:leader="none" w:pos="840"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Repurchase of shares</w:t>
      </w:r>
    </w:p>
    <w:p>
      <w:pPr>
        <w:spacing w:after="0" w:line="187" w:lineRule="exact"/>
        <w:rPr>
          <w:rFonts w:ascii="Arial" w:cs="Arial" w:eastAsia="Arial" w:hAnsi="Arial"/>
          <w:sz w:val="17"/>
          <w:szCs w:val="17"/>
          <w:b w:val="1"/>
          <w:bCs w:val="1"/>
          <w:color w:val="auto"/>
        </w:rPr>
      </w:pPr>
    </w:p>
    <w:p>
      <w:pPr>
        <w:jc w:val="both"/>
        <w:ind w:left="84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In November 2018, the board of directors of the Company authorized a share repurchase program (the “2018 Share Repurchase Program”) whereby the Company may repurchase up to US$10,000 of the common shares or ADSs of the Company from November 28, 2018 to November 27, 2019. The share repurchases may be made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 The Company has publicly announced the 2018 Share Repurchase Program on November 28, 2018.</w:t>
      </w:r>
    </w:p>
    <w:p>
      <w:pPr>
        <w:spacing w:after="0" w:line="138" w:lineRule="exact"/>
        <w:rPr>
          <w:rFonts w:ascii="Arial" w:cs="Arial" w:eastAsia="Arial" w:hAnsi="Arial"/>
          <w:sz w:val="17"/>
          <w:szCs w:val="17"/>
          <w:b w:val="1"/>
          <w:bCs w:val="1"/>
          <w:color w:val="auto"/>
        </w:rPr>
      </w:pPr>
    </w:p>
    <w:p>
      <w:pPr>
        <w:ind w:left="840"/>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The following table is a summary of the shares repurchased by the Company during 2018 and 2019 under the 2018 Share Repurchase Program. All shares were purchased through publicly purchasing from the open market pursuant to the 2018 Share Repurchase Program.</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6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Total number of</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ADSs purchased</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as part of the</w:t>
            </w:r>
          </w:p>
        </w:tc>
        <w:tc>
          <w:tcPr>
            <w:tcW w:w="2160" w:type="dxa"/>
            <w:vAlign w:val="bottom"/>
          </w:tcPr>
          <w:p>
            <w:pPr>
              <w:jc w:val="right"/>
              <w:ind w:right="33"/>
              <w:spacing w:after="0"/>
              <w:rPr>
                <w:sz w:val="20"/>
                <w:szCs w:val="20"/>
                <w:color w:val="auto"/>
              </w:rPr>
            </w:pPr>
            <w:r>
              <w:rPr>
                <w:rFonts w:ascii="Arial" w:cs="Arial" w:eastAsia="Arial" w:hAnsi="Arial"/>
                <w:sz w:val="17"/>
                <w:szCs w:val="17"/>
                <w:color w:val="auto"/>
              </w:rPr>
              <w:t>Average</w:t>
            </w:r>
          </w:p>
        </w:tc>
        <w:tc>
          <w:tcPr>
            <w:tcW w:w="0" w:type="dxa"/>
            <w:vAlign w:val="bottom"/>
          </w:tcPr>
          <w:p>
            <w:pPr>
              <w:spacing w:after="0"/>
              <w:rPr>
                <w:sz w:val="1"/>
                <w:szCs w:val="1"/>
                <w:color w:val="auto"/>
              </w:rPr>
            </w:pPr>
          </w:p>
        </w:tc>
      </w:tr>
      <w:tr>
        <w:trPr>
          <w:trHeight w:val="208"/>
        </w:trPr>
        <w:tc>
          <w:tcPr>
            <w:tcW w:w="6360" w:type="dxa"/>
            <w:vAlign w:val="bottom"/>
            <w:vMerge w:val="restart"/>
          </w:tcPr>
          <w:p>
            <w:pPr>
              <w:spacing w:after="0"/>
              <w:rPr>
                <w:sz w:val="20"/>
                <w:szCs w:val="20"/>
                <w:color w:val="auto"/>
              </w:rPr>
            </w:pPr>
            <w:r>
              <w:rPr>
                <w:rFonts w:ascii="Arial" w:cs="Arial" w:eastAsia="Arial" w:hAnsi="Arial"/>
                <w:sz w:val="17"/>
                <w:szCs w:val="17"/>
                <w:b w:val="1"/>
                <w:bCs w:val="1"/>
                <w:color w:val="auto"/>
              </w:rPr>
              <w:t>Period</w:t>
            </w:r>
          </w:p>
        </w:tc>
        <w:tc>
          <w:tcPr>
            <w:tcW w:w="1800" w:type="dxa"/>
            <w:vAlign w:val="bottom"/>
          </w:tcPr>
          <w:p>
            <w:pPr>
              <w:jc w:val="right"/>
              <w:spacing w:after="0"/>
              <w:rPr>
                <w:sz w:val="20"/>
                <w:szCs w:val="20"/>
                <w:color w:val="auto"/>
              </w:rPr>
            </w:pPr>
            <w:r>
              <w:rPr>
                <w:rFonts w:ascii="Arial" w:cs="Arial" w:eastAsia="Arial" w:hAnsi="Arial"/>
                <w:sz w:val="17"/>
                <w:szCs w:val="17"/>
                <w:color w:val="auto"/>
              </w:rPr>
              <w:t>publicly</w:t>
            </w:r>
          </w:p>
        </w:tc>
        <w:tc>
          <w:tcPr>
            <w:tcW w:w="2160" w:type="dxa"/>
            <w:vAlign w:val="bottom"/>
          </w:tcPr>
          <w:p>
            <w:pPr>
              <w:jc w:val="right"/>
              <w:ind w:right="33"/>
              <w:spacing w:after="0"/>
              <w:rPr>
                <w:sz w:val="20"/>
                <w:szCs w:val="20"/>
                <w:color w:val="auto"/>
              </w:rPr>
            </w:pPr>
            <w:r>
              <w:rPr>
                <w:rFonts w:ascii="Arial" w:cs="Arial" w:eastAsia="Arial" w:hAnsi="Arial"/>
                <w:sz w:val="17"/>
                <w:szCs w:val="17"/>
                <w:color w:val="auto"/>
              </w:rPr>
              <w:t>price paid</w:t>
            </w:r>
          </w:p>
        </w:tc>
        <w:tc>
          <w:tcPr>
            <w:tcW w:w="0" w:type="dxa"/>
            <w:vAlign w:val="bottom"/>
          </w:tcPr>
          <w:p>
            <w:pPr>
              <w:spacing w:after="0"/>
              <w:rPr>
                <w:sz w:val="1"/>
                <w:szCs w:val="1"/>
                <w:color w:val="auto"/>
              </w:rPr>
            </w:pPr>
          </w:p>
        </w:tc>
      </w:tr>
      <w:tr>
        <w:trPr>
          <w:trHeight w:val="221"/>
        </w:trPr>
        <w:tc>
          <w:tcPr>
            <w:tcW w:w="6360" w:type="dxa"/>
            <w:vAlign w:val="bottom"/>
            <w:vMerge w:val="continue"/>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announced plan</w:t>
            </w:r>
          </w:p>
        </w:tc>
        <w:tc>
          <w:tcPr>
            <w:tcW w:w="2160" w:type="dxa"/>
            <w:vAlign w:val="bottom"/>
          </w:tcPr>
          <w:p>
            <w:pPr>
              <w:jc w:val="right"/>
              <w:ind w:right="33"/>
              <w:spacing w:after="0"/>
              <w:rPr>
                <w:sz w:val="20"/>
                <w:szCs w:val="20"/>
                <w:color w:val="auto"/>
              </w:rPr>
            </w:pPr>
            <w:r>
              <w:rPr>
                <w:rFonts w:ascii="Arial" w:cs="Arial" w:eastAsia="Arial" w:hAnsi="Arial"/>
                <w:sz w:val="17"/>
                <w:szCs w:val="17"/>
                <w:color w:val="auto"/>
              </w:rPr>
              <w:t>per ADS</w:t>
            </w:r>
          </w:p>
        </w:tc>
        <w:tc>
          <w:tcPr>
            <w:tcW w:w="0" w:type="dxa"/>
            <w:vAlign w:val="bottom"/>
          </w:tcPr>
          <w:p>
            <w:pPr>
              <w:spacing w:after="0"/>
              <w:rPr>
                <w:sz w:val="1"/>
                <w:szCs w:val="1"/>
                <w:color w:val="auto"/>
              </w:rPr>
            </w:pPr>
          </w:p>
        </w:tc>
      </w:tr>
      <w:tr>
        <w:trPr>
          <w:trHeight w:val="221"/>
        </w:trPr>
        <w:tc>
          <w:tcPr>
            <w:tcW w:w="6360" w:type="dxa"/>
            <w:vAlign w:val="bottom"/>
            <w:shd w:val="clear" w:color="auto" w:fill="CFF0FC"/>
          </w:tcPr>
          <w:p>
            <w:pPr>
              <w:spacing w:after="0"/>
              <w:rPr>
                <w:sz w:val="20"/>
                <w:szCs w:val="20"/>
                <w:color w:val="auto"/>
              </w:rPr>
            </w:pPr>
            <w:r>
              <w:rPr>
                <w:rFonts w:ascii="Arial" w:cs="Arial" w:eastAsia="Arial" w:hAnsi="Arial"/>
                <w:sz w:val="17"/>
                <w:szCs w:val="17"/>
                <w:color w:val="auto"/>
              </w:rPr>
              <w:t>December 2018</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10,000</w:t>
            </w:r>
          </w:p>
        </w:tc>
        <w:tc>
          <w:tcPr>
            <w:tcW w:w="21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3.7175</w:t>
            </w:r>
          </w:p>
        </w:tc>
        <w:tc>
          <w:tcPr>
            <w:tcW w:w="0" w:type="dxa"/>
            <w:vAlign w:val="bottom"/>
          </w:tcPr>
          <w:p>
            <w:pPr>
              <w:spacing w:after="0"/>
              <w:rPr>
                <w:sz w:val="1"/>
                <w:szCs w:val="1"/>
                <w:color w:val="auto"/>
              </w:rPr>
            </w:pPr>
          </w:p>
        </w:tc>
      </w:tr>
      <w:tr>
        <w:trPr>
          <w:trHeight w:val="254"/>
        </w:trPr>
        <w:tc>
          <w:tcPr>
            <w:tcW w:w="63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For the year ended December 31, 2018</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w:t>
            </w:r>
          </w:p>
        </w:tc>
        <w:tc>
          <w:tcPr>
            <w:tcW w:w="21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360" w:type="dxa"/>
            <w:vAlign w:val="bottom"/>
            <w:shd w:val="clear" w:color="auto" w:fill="CFF0FC"/>
          </w:tcPr>
          <w:p>
            <w:pPr>
              <w:spacing w:after="0"/>
              <w:rPr>
                <w:sz w:val="20"/>
                <w:szCs w:val="20"/>
                <w:color w:val="auto"/>
              </w:rPr>
            </w:pPr>
            <w:r>
              <w:rPr>
                <w:rFonts w:ascii="Arial" w:cs="Arial" w:eastAsia="Arial" w:hAnsi="Arial"/>
                <w:sz w:val="17"/>
                <w:szCs w:val="17"/>
                <w:color w:val="auto"/>
              </w:rPr>
              <w:t>March 2019</w:t>
            </w:r>
          </w:p>
        </w:tc>
        <w:tc>
          <w:tcPr>
            <w:tcW w:w="1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13,240</w:t>
            </w:r>
          </w:p>
        </w:tc>
        <w:tc>
          <w:tcPr>
            <w:tcW w:w="21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3.721</w:t>
            </w: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Arial" w:cs="Arial" w:eastAsia="Arial" w:hAnsi="Arial"/>
                <w:sz w:val="17"/>
                <w:szCs w:val="17"/>
                <w:color w:val="auto"/>
              </w:rPr>
              <w:t>May 2019</w:t>
            </w:r>
          </w:p>
        </w:tc>
        <w:tc>
          <w:tcPr>
            <w:tcW w:w="1800" w:type="dxa"/>
            <w:vAlign w:val="bottom"/>
          </w:tcPr>
          <w:p>
            <w:pPr>
              <w:jc w:val="right"/>
              <w:spacing w:after="0"/>
              <w:rPr>
                <w:sz w:val="20"/>
                <w:szCs w:val="20"/>
                <w:color w:val="auto"/>
              </w:rPr>
            </w:pPr>
            <w:r>
              <w:rPr>
                <w:rFonts w:ascii="Arial" w:cs="Arial" w:eastAsia="Arial" w:hAnsi="Arial"/>
                <w:sz w:val="17"/>
                <w:szCs w:val="17"/>
                <w:color w:val="auto"/>
              </w:rPr>
              <w:t>5,300</w:t>
            </w:r>
          </w:p>
        </w:tc>
        <w:tc>
          <w:tcPr>
            <w:tcW w:w="2160" w:type="dxa"/>
            <w:vAlign w:val="bottom"/>
          </w:tcPr>
          <w:p>
            <w:pPr>
              <w:jc w:val="right"/>
              <w:ind w:right="33"/>
              <w:spacing w:after="0"/>
              <w:rPr>
                <w:sz w:val="20"/>
                <w:szCs w:val="20"/>
                <w:color w:val="auto"/>
              </w:rPr>
            </w:pPr>
            <w:r>
              <w:rPr>
                <w:rFonts w:ascii="Arial" w:cs="Arial" w:eastAsia="Arial" w:hAnsi="Arial"/>
                <w:sz w:val="17"/>
                <w:szCs w:val="17"/>
                <w:color w:val="auto"/>
              </w:rPr>
              <w:t>3.844</w:t>
            </w:r>
          </w:p>
        </w:tc>
        <w:tc>
          <w:tcPr>
            <w:tcW w:w="0" w:type="dxa"/>
            <w:vAlign w:val="bottom"/>
          </w:tcPr>
          <w:p>
            <w:pPr>
              <w:spacing w:after="0"/>
              <w:rPr>
                <w:sz w:val="1"/>
                <w:szCs w:val="1"/>
                <w:color w:val="auto"/>
              </w:rPr>
            </w:pPr>
          </w:p>
        </w:tc>
      </w:tr>
      <w:tr>
        <w:trPr>
          <w:trHeight w:val="221"/>
        </w:trPr>
        <w:tc>
          <w:tcPr>
            <w:tcW w:w="6360" w:type="dxa"/>
            <w:vAlign w:val="bottom"/>
            <w:shd w:val="clear" w:color="auto" w:fill="CFF0FC"/>
          </w:tcPr>
          <w:p>
            <w:pPr>
              <w:spacing w:after="0"/>
              <w:rPr>
                <w:sz w:val="20"/>
                <w:szCs w:val="20"/>
                <w:color w:val="auto"/>
              </w:rPr>
            </w:pPr>
            <w:r>
              <w:rPr>
                <w:rFonts w:ascii="Arial" w:cs="Arial" w:eastAsia="Arial" w:hAnsi="Arial"/>
                <w:sz w:val="17"/>
                <w:szCs w:val="17"/>
                <w:color w:val="auto"/>
              </w:rPr>
              <w:t>June 2019</w:t>
            </w:r>
          </w:p>
        </w:tc>
        <w:tc>
          <w:tcPr>
            <w:tcW w:w="1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9,471</w:t>
            </w:r>
          </w:p>
        </w:tc>
        <w:tc>
          <w:tcPr>
            <w:tcW w:w="21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3.818</w:t>
            </w: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Arial" w:cs="Arial" w:eastAsia="Arial" w:hAnsi="Arial"/>
                <w:sz w:val="17"/>
                <w:szCs w:val="17"/>
                <w:color w:val="auto"/>
              </w:rPr>
              <w:t>July 2019</w:t>
            </w:r>
          </w:p>
        </w:tc>
        <w:tc>
          <w:tcPr>
            <w:tcW w:w="1800" w:type="dxa"/>
            <w:vAlign w:val="bottom"/>
          </w:tcPr>
          <w:p>
            <w:pPr>
              <w:jc w:val="right"/>
              <w:spacing w:after="0"/>
              <w:rPr>
                <w:sz w:val="20"/>
                <w:szCs w:val="20"/>
                <w:color w:val="auto"/>
              </w:rPr>
            </w:pPr>
            <w:r>
              <w:rPr>
                <w:rFonts w:ascii="Arial" w:cs="Arial" w:eastAsia="Arial" w:hAnsi="Arial"/>
                <w:sz w:val="17"/>
                <w:szCs w:val="17"/>
                <w:color w:val="auto"/>
              </w:rPr>
              <w:t>356,882</w:t>
            </w:r>
          </w:p>
        </w:tc>
        <w:tc>
          <w:tcPr>
            <w:tcW w:w="2160" w:type="dxa"/>
            <w:vAlign w:val="bottom"/>
          </w:tcPr>
          <w:p>
            <w:pPr>
              <w:jc w:val="right"/>
              <w:ind w:right="33"/>
              <w:spacing w:after="0"/>
              <w:rPr>
                <w:sz w:val="20"/>
                <w:szCs w:val="20"/>
                <w:color w:val="auto"/>
              </w:rPr>
            </w:pPr>
            <w:r>
              <w:rPr>
                <w:rFonts w:ascii="Arial" w:cs="Arial" w:eastAsia="Arial" w:hAnsi="Arial"/>
                <w:sz w:val="17"/>
                <w:szCs w:val="17"/>
                <w:color w:val="auto"/>
              </w:rPr>
              <w:t>3.809</w:t>
            </w:r>
          </w:p>
        </w:tc>
        <w:tc>
          <w:tcPr>
            <w:tcW w:w="0" w:type="dxa"/>
            <w:vAlign w:val="bottom"/>
          </w:tcPr>
          <w:p>
            <w:pPr>
              <w:spacing w:after="0"/>
              <w:rPr>
                <w:sz w:val="1"/>
                <w:szCs w:val="1"/>
                <w:color w:val="auto"/>
              </w:rPr>
            </w:pPr>
          </w:p>
        </w:tc>
      </w:tr>
      <w:tr>
        <w:trPr>
          <w:trHeight w:val="221"/>
        </w:trPr>
        <w:tc>
          <w:tcPr>
            <w:tcW w:w="6360" w:type="dxa"/>
            <w:vAlign w:val="bottom"/>
            <w:shd w:val="clear" w:color="auto" w:fill="CFF0FC"/>
          </w:tcPr>
          <w:p>
            <w:pPr>
              <w:spacing w:after="0"/>
              <w:rPr>
                <w:sz w:val="20"/>
                <w:szCs w:val="20"/>
                <w:color w:val="auto"/>
              </w:rPr>
            </w:pPr>
            <w:r>
              <w:rPr>
                <w:rFonts w:ascii="Arial" w:cs="Arial" w:eastAsia="Arial" w:hAnsi="Arial"/>
                <w:sz w:val="17"/>
                <w:szCs w:val="17"/>
                <w:color w:val="auto"/>
              </w:rPr>
              <w:t>August 2019</w:t>
            </w:r>
          </w:p>
        </w:tc>
        <w:tc>
          <w:tcPr>
            <w:tcW w:w="1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273,099</w:t>
            </w:r>
          </w:p>
        </w:tc>
        <w:tc>
          <w:tcPr>
            <w:tcW w:w="21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3.354</w:t>
            </w:r>
          </w:p>
        </w:tc>
        <w:tc>
          <w:tcPr>
            <w:tcW w:w="0" w:type="dxa"/>
            <w:vAlign w:val="bottom"/>
          </w:tcPr>
          <w:p>
            <w:pPr>
              <w:spacing w:after="0"/>
              <w:rPr>
                <w:sz w:val="1"/>
                <w:szCs w:val="1"/>
                <w:color w:val="auto"/>
              </w:rPr>
            </w:pPr>
          </w:p>
        </w:tc>
      </w:tr>
      <w:tr>
        <w:trPr>
          <w:trHeight w:val="221"/>
        </w:trPr>
        <w:tc>
          <w:tcPr>
            <w:tcW w:w="6360" w:type="dxa"/>
            <w:vAlign w:val="bottom"/>
          </w:tcPr>
          <w:p>
            <w:pPr>
              <w:spacing w:after="0"/>
              <w:rPr>
                <w:sz w:val="20"/>
                <w:szCs w:val="20"/>
                <w:color w:val="auto"/>
              </w:rPr>
            </w:pPr>
            <w:r>
              <w:rPr>
                <w:rFonts w:ascii="Arial" w:cs="Arial" w:eastAsia="Arial" w:hAnsi="Arial"/>
                <w:sz w:val="17"/>
                <w:szCs w:val="17"/>
                <w:color w:val="auto"/>
              </w:rPr>
              <w:t>September 2019</w:t>
            </w:r>
          </w:p>
        </w:tc>
        <w:tc>
          <w:tcPr>
            <w:tcW w:w="1800" w:type="dxa"/>
            <w:vAlign w:val="bottom"/>
          </w:tcPr>
          <w:p>
            <w:pPr>
              <w:jc w:val="right"/>
              <w:spacing w:after="0"/>
              <w:rPr>
                <w:sz w:val="20"/>
                <w:szCs w:val="20"/>
                <w:color w:val="auto"/>
              </w:rPr>
            </w:pPr>
            <w:r>
              <w:rPr>
                <w:rFonts w:ascii="Arial" w:cs="Arial" w:eastAsia="Arial" w:hAnsi="Arial"/>
                <w:sz w:val="17"/>
                <w:szCs w:val="17"/>
                <w:color w:val="auto"/>
              </w:rPr>
              <w:t>66,018</w:t>
            </w:r>
          </w:p>
        </w:tc>
        <w:tc>
          <w:tcPr>
            <w:tcW w:w="2160" w:type="dxa"/>
            <w:vAlign w:val="bottom"/>
          </w:tcPr>
          <w:p>
            <w:pPr>
              <w:jc w:val="right"/>
              <w:ind w:right="33"/>
              <w:spacing w:after="0"/>
              <w:rPr>
                <w:sz w:val="20"/>
                <w:szCs w:val="20"/>
                <w:color w:val="auto"/>
              </w:rPr>
            </w:pPr>
            <w:r>
              <w:rPr>
                <w:rFonts w:ascii="Arial" w:cs="Arial" w:eastAsia="Arial" w:hAnsi="Arial"/>
                <w:sz w:val="17"/>
                <w:szCs w:val="17"/>
                <w:color w:val="auto"/>
              </w:rPr>
              <w:t>3.028</w:t>
            </w:r>
          </w:p>
        </w:tc>
        <w:tc>
          <w:tcPr>
            <w:tcW w:w="0" w:type="dxa"/>
            <w:vAlign w:val="bottom"/>
          </w:tcPr>
          <w:p>
            <w:pPr>
              <w:spacing w:after="0"/>
              <w:rPr>
                <w:sz w:val="1"/>
                <w:szCs w:val="1"/>
                <w:color w:val="auto"/>
              </w:rPr>
            </w:pPr>
          </w:p>
        </w:tc>
      </w:tr>
      <w:tr>
        <w:trPr>
          <w:trHeight w:val="221"/>
        </w:trPr>
        <w:tc>
          <w:tcPr>
            <w:tcW w:w="6360" w:type="dxa"/>
            <w:vAlign w:val="bottom"/>
            <w:shd w:val="clear" w:color="auto" w:fill="CFF0FC"/>
          </w:tcPr>
          <w:p>
            <w:pPr>
              <w:spacing w:after="0"/>
              <w:rPr>
                <w:sz w:val="20"/>
                <w:szCs w:val="20"/>
                <w:color w:val="auto"/>
              </w:rPr>
            </w:pPr>
            <w:r>
              <w:rPr>
                <w:rFonts w:ascii="Arial" w:cs="Arial" w:eastAsia="Arial" w:hAnsi="Arial"/>
                <w:sz w:val="17"/>
                <w:szCs w:val="17"/>
                <w:color w:val="auto"/>
              </w:rPr>
              <w:t>October 2019</w:t>
            </w:r>
          </w:p>
        </w:tc>
        <w:tc>
          <w:tcPr>
            <w:tcW w:w="1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244,376</w:t>
            </w:r>
          </w:p>
        </w:tc>
        <w:tc>
          <w:tcPr>
            <w:tcW w:w="21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3.067</w:t>
            </w:r>
          </w:p>
        </w:tc>
        <w:tc>
          <w:tcPr>
            <w:tcW w:w="0" w:type="dxa"/>
            <w:vAlign w:val="bottom"/>
          </w:tcPr>
          <w:p>
            <w:pPr>
              <w:spacing w:after="0"/>
              <w:rPr>
                <w:sz w:val="1"/>
                <w:szCs w:val="1"/>
                <w:color w:val="auto"/>
              </w:rPr>
            </w:pPr>
          </w:p>
        </w:tc>
      </w:tr>
      <w:tr>
        <w:trPr>
          <w:trHeight w:val="221"/>
        </w:trPr>
        <w:tc>
          <w:tcPr>
            <w:tcW w:w="63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November 2019</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333,526</w:t>
            </w:r>
          </w:p>
        </w:tc>
        <w:tc>
          <w:tcPr>
            <w:tcW w:w="2160" w:type="dxa"/>
            <w:vAlign w:val="bottom"/>
            <w:tcBorders>
              <w:bottom w:val="single" w:sz="8" w:color="CFF0FC"/>
            </w:tcBorders>
          </w:tcPr>
          <w:p>
            <w:pPr>
              <w:jc w:val="right"/>
              <w:ind w:right="33"/>
              <w:spacing w:after="0"/>
              <w:rPr>
                <w:sz w:val="20"/>
                <w:szCs w:val="20"/>
                <w:color w:val="auto"/>
              </w:rPr>
            </w:pPr>
            <w:r>
              <w:rPr>
                <w:rFonts w:ascii="Arial" w:cs="Arial" w:eastAsia="Arial" w:hAnsi="Arial"/>
                <w:sz w:val="17"/>
                <w:szCs w:val="17"/>
                <w:color w:val="auto"/>
              </w:rPr>
              <w:t>3.230</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For the year ended December 31, 2019</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1,301,912</w:t>
            </w:r>
          </w:p>
        </w:tc>
        <w:tc>
          <w:tcPr>
            <w:tcW w:w="2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During the years ended December 31, 2017, 2018 and 2019, nil, 10,000 and 1,301,912 ADSs were repurchased at an aggregate consideration of US$nil, US$37 and US$4,414 under the Repurchase Program. The remaining unused amount of US$5,549 was no longer be available for repurchase after November 27,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37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7"/>
          <w:szCs w:val="17"/>
          <w:b w:val="1"/>
          <w:bCs w:val="1"/>
          <w:color w:val="auto"/>
        </w:rPr>
        <w:t>Share-based compensation</w:t>
      </w:r>
    </w:p>
    <w:p>
      <w:pPr>
        <w:spacing w:after="0" w:line="188" w:lineRule="exact"/>
        <w:rPr>
          <w:sz w:val="20"/>
          <w:szCs w:val="20"/>
          <w:color w:val="auto"/>
        </w:rPr>
      </w:pPr>
    </w:p>
    <w:p>
      <w:pPr>
        <w:ind w:left="840" w:hanging="836"/>
        <w:spacing w:after="0"/>
        <w:tabs>
          <w:tab w:leader="none" w:pos="8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Share option plan</w:t>
      </w:r>
    </w:p>
    <w:p>
      <w:pPr>
        <w:spacing w:after="0" w:line="181" w:lineRule="exact"/>
        <w:rPr>
          <w:rFonts w:ascii="Arial" w:cs="Arial" w:eastAsia="Arial" w:hAnsi="Arial"/>
          <w:sz w:val="17"/>
          <w:szCs w:val="17"/>
          <w:color w:val="auto"/>
        </w:rPr>
      </w:pPr>
    </w:p>
    <w:p>
      <w:pPr>
        <w:jc w:val="both"/>
        <w:ind w:left="840"/>
        <w:spacing w:after="0" w:line="270" w:lineRule="auto"/>
        <w:rPr>
          <w:rFonts w:ascii="Arial" w:cs="Arial" w:eastAsia="Arial" w:hAnsi="Arial"/>
          <w:sz w:val="17"/>
          <w:szCs w:val="17"/>
          <w:color w:val="auto"/>
        </w:rPr>
      </w:pPr>
      <w:r>
        <w:rPr>
          <w:rFonts w:ascii="Arial" w:cs="Arial" w:eastAsia="Arial" w:hAnsi="Arial"/>
          <w:sz w:val="17"/>
          <w:szCs w:val="17"/>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46" w:lineRule="exact"/>
        <w:rPr>
          <w:rFonts w:ascii="Arial" w:cs="Arial" w:eastAsia="Arial" w:hAnsi="Arial"/>
          <w:sz w:val="17"/>
          <w:szCs w:val="17"/>
          <w:color w:val="auto"/>
        </w:rPr>
      </w:pPr>
    </w:p>
    <w:p>
      <w:pPr>
        <w:jc w:val="both"/>
        <w:ind w:left="840"/>
        <w:spacing w:after="0" w:line="265" w:lineRule="auto"/>
        <w:rPr>
          <w:rFonts w:ascii="Arial" w:cs="Arial" w:eastAsia="Arial" w:hAnsi="Arial"/>
          <w:sz w:val="17"/>
          <w:szCs w:val="17"/>
          <w:color w:val="auto"/>
        </w:rPr>
      </w:pPr>
      <w:r>
        <w:rPr>
          <w:rFonts w:ascii="Arial" w:cs="Arial" w:eastAsia="Arial" w:hAnsi="Arial"/>
          <w:sz w:val="17"/>
          <w:szCs w:val="17"/>
          <w:color w:val="auto"/>
        </w:rPr>
        <w:t>During the year ended December 31, 2017, the Company granted share options to non-employees, employees, officers and directors of the Group. These options were granted with exercise prices denominated in the US$, which is the functional currency of the Company. There were no share options granted during the years ended December 31, 2018 and 2019. The table below sets forth information regarding share options granted during the year ended December 31, 2017:</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3220" w:type="dxa"/>
            <w:vAlign w:val="bottom"/>
          </w:tcPr>
          <w:p>
            <w:pPr>
              <w:spacing w:after="0"/>
              <w:rPr>
                <w:sz w:val="18"/>
                <w:szCs w:val="18"/>
                <w:color w:val="auto"/>
              </w:rPr>
            </w:pPr>
          </w:p>
        </w:tc>
        <w:tc>
          <w:tcPr>
            <w:tcW w:w="2620" w:type="dxa"/>
            <w:vAlign w:val="bottom"/>
          </w:tcPr>
          <w:p>
            <w:pPr>
              <w:jc w:val="right"/>
              <w:ind w:right="273"/>
              <w:spacing w:after="0"/>
              <w:rPr>
                <w:sz w:val="20"/>
                <w:szCs w:val="20"/>
                <w:color w:val="auto"/>
              </w:rPr>
            </w:pPr>
            <w:r>
              <w:rPr>
                <w:rFonts w:ascii="Arial" w:cs="Arial" w:eastAsia="Arial" w:hAnsi="Arial"/>
                <w:sz w:val="17"/>
                <w:szCs w:val="17"/>
                <w:color w:val="auto"/>
              </w:rPr>
              <w:t>Number of</w:t>
            </w: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tcPr>
          <w:p>
            <w:pPr>
              <w:jc w:val="right"/>
              <w:ind w:right="13"/>
              <w:spacing w:after="0"/>
              <w:rPr>
                <w:sz w:val="20"/>
                <w:szCs w:val="20"/>
                <w:color w:val="auto"/>
              </w:rPr>
            </w:pPr>
            <w:r>
              <w:rPr>
                <w:rFonts w:ascii="Arial" w:cs="Arial" w:eastAsia="Arial" w:hAnsi="Arial"/>
                <w:sz w:val="17"/>
                <w:szCs w:val="17"/>
                <w:color w:val="auto"/>
              </w:rPr>
              <w:t>Exercise price</w:t>
            </w:r>
          </w:p>
        </w:tc>
      </w:tr>
      <w:tr>
        <w:trPr>
          <w:trHeight w:val="208"/>
        </w:trPr>
        <w:tc>
          <w:tcPr>
            <w:tcW w:w="3220" w:type="dxa"/>
            <w:vAlign w:val="bottom"/>
          </w:tcPr>
          <w:p>
            <w:pPr>
              <w:spacing w:after="0"/>
              <w:rPr>
                <w:sz w:val="18"/>
                <w:szCs w:val="18"/>
                <w:color w:val="auto"/>
              </w:rPr>
            </w:pPr>
          </w:p>
        </w:tc>
        <w:tc>
          <w:tcPr>
            <w:tcW w:w="2620" w:type="dxa"/>
            <w:vAlign w:val="bottom"/>
          </w:tcPr>
          <w:p>
            <w:pPr>
              <w:jc w:val="right"/>
              <w:ind w:right="273"/>
              <w:spacing w:after="0"/>
              <w:rPr>
                <w:sz w:val="20"/>
                <w:szCs w:val="20"/>
                <w:color w:val="auto"/>
              </w:rPr>
            </w:pPr>
            <w:r>
              <w:rPr>
                <w:rFonts w:ascii="Arial" w:cs="Arial" w:eastAsia="Arial" w:hAnsi="Arial"/>
                <w:sz w:val="17"/>
                <w:szCs w:val="17"/>
                <w:color w:val="auto"/>
              </w:rPr>
              <w:t>share</w:t>
            </w:r>
          </w:p>
        </w:tc>
        <w:tc>
          <w:tcPr>
            <w:tcW w:w="1540" w:type="dxa"/>
            <w:vAlign w:val="bottom"/>
          </w:tcPr>
          <w:p>
            <w:pPr>
              <w:spacing w:after="0"/>
              <w:rPr>
                <w:sz w:val="18"/>
                <w:szCs w:val="18"/>
                <w:color w:val="auto"/>
              </w:rPr>
            </w:pPr>
          </w:p>
        </w:tc>
        <w:tc>
          <w:tcPr>
            <w:tcW w:w="1560" w:type="dxa"/>
            <w:vAlign w:val="bottom"/>
          </w:tcPr>
          <w:p>
            <w:pPr>
              <w:jc w:val="right"/>
              <w:ind w:right="213"/>
              <w:spacing w:after="0"/>
              <w:rPr>
                <w:sz w:val="20"/>
                <w:szCs w:val="20"/>
                <w:color w:val="auto"/>
              </w:rPr>
            </w:pPr>
            <w:r>
              <w:rPr>
                <w:rFonts w:ascii="Arial" w:cs="Arial" w:eastAsia="Arial" w:hAnsi="Arial"/>
                <w:sz w:val="17"/>
                <w:szCs w:val="17"/>
                <w:color w:val="auto"/>
              </w:rPr>
              <w:t>Vesting</w:t>
            </w:r>
          </w:p>
        </w:tc>
        <w:tc>
          <w:tcPr>
            <w:tcW w:w="1380" w:type="dxa"/>
            <w:vAlign w:val="bottom"/>
          </w:tcPr>
          <w:p>
            <w:pPr>
              <w:jc w:val="right"/>
              <w:ind w:right="13"/>
              <w:spacing w:after="0"/>
              <w:rPr>
                <w:sz w:val="20"/>
                <w:szCs w:val="20"/>
                <w:color w:val="auto"/>
              </w:rPr>
            </w:pPr>
            <w:r>
              <w:rPr>
                <w:rFonts w:ascii="Arial" w:cs="Arial" w:eastAsia="Arial" w:hAnsi="Arial"/>
                <w:sz w:val="17"/>
                <w:szCs w:val="17"/>
                <w:color w:val="auto"/>
              </w:rPr>
              <w:t>at grant date</w:t>
            </w:r>
          </w:p>
        </w:tc>
      </w:tr>
      <w:tr>
        <w:trPr>
          <w:trHeight w:val="221"/>
        </w:trPr>
        <w:tc>
          <w:tcPr>
            <w:tcW w:w="3220" w:type="dxa"/>
            <w:vAlign w:val="bottom"/>
          </w:tcPr>
          <w:p>
            <w:pPr>
              <w:spacing w:after="0"/>
              <w:rPr>
                <w:sz w:val="20"/>
                <w:szCs w:val="20"/>
                <w:color w:val="auto"/>
              </w:rPr>
            </w:pPr>
            <w:r>
              <w:rPr>
                <w:rFonts w:ascii="Arial" w:cs="Arial" w:eastAsia="Arial" w:hAnsi="Arial"/>
                <w:sz w:val="17"/>
                <w:szCs w:val="17"/>
                <w:color w:val="auto"/>
              </w:rPr>
              <w:t>Grant Date</w:t>
            </w:r>
          </w:p>
        </w:tc>
        <w:tc>
          <w:tcPr>
            <w:tcW w:w="2620" w:type="dxa"/>
            <w:vAlign w:val="bottom"/>
          </w:tcPr>
          <w:p>
            <w:pPr>
              <w:jc w:val="right"/>
              <w:ind w:right="273"/>
              <w:spacing w:after="0"/>
              <w:rPr>
                <w:sz w:val="20"/>
                <w:szCs w:val="20"/>
                <w:color w:val="auto"/>
              </w:rPr>
            </w:pPr>
            <w:r>
              <w:rPr>
                <w:rFonts w:ascii="Arial" w:cs="Arial" w:eastAsia="Arial" w:hAnsi="Arial"/>
                <w:sz w:val="17"/>
                <w:szCs w:val="17"/>
                <w:color w:val="auto"/>
              </w:rPr>
              <w:t>options</w:t>
            </w:r>
          </w:p>
        </w:tc>
        <w:tc>
          <w:tcPr>
            <w:tcW w:w="1540" w:type="dxa"/>
            <w:vAlign w:val="bottom"/>
          </w:tcPr>
          <w:p>
            <w:pPr>
              <w:jc w:val="right"/>
              <w:ind w:right="253"/>
              <w:spacing w:after="0"/>
              <w:rPr>
                <w:sz w:val="20"/>
                <w:szCs w:val="20"/>
                <w:color w:val="auto"/>
              </w:rPr>
            </w:pPr>
            <w:r>
              <w:rPr>
                <w:rFonts w:ascii="Arial" w:cs="Arial" w:eastAsia="Arial" w:hAnsi="Arial"/>
                <w:sz w:val="17"/>
                <w:szCs w:val="17"/>
                <w:color w:val="auto"/>
              </w:rPr>
              <w:t>Term (year)</w:t>
            </w:r>
          </w:p>
        </w:tc>
        <w:tc>
          <w:tcPr>
            <w:tcW w:w="1560" w:type="dxa"/>
            <w:vAlign w:val="bottom"/>
          </w:tcPr>
          <w:p>
            <w:pPr>
              <w:jc w:val="right"/>
              <w:ind w:right="213"/>
              <w:spacing w:after="0"/>
              <w:rPr>
                <w:sz w:val="20"/>
                <w:szCs w:val="20"/>
                <w:color w:val="auto"/>
              </w:rPr>
            </w:pPr>
            <w:r>
              <w:rPr>
                <w:rFonts w:ascii="Arial" w:cs="Arial" w:eastAsia="Arial" w:hAnsi="Arial"/>
                <w:sz w:val="17"/>
                <w:szCs w:val="17"/>
                <w:color w:val="auto"/>
              </w:rPr>
              <w:t>period (year)</w:t>
            </w:r>
          </w:p>
        </w:tc>
        <w:tc>
          <w:tcPr>
            <w:tcW w:w="1380" w:type="dxa"/>
            <w:vAlign w:val="bottom"/>
          </w:tcPr>
          <w:p>
            <w:pPr>
              <w:jc w:val="right"/>
              <w:ind w:right="13"/>
              <w:spacing w:after="0"/>
              <w:rPr>
                <w:sz w:val="20"/>
                <w:szCs w:val="20"/>
                <w:color w:val="auto"/>
              </w:rPr>
            </w:pPr>
            <w:r>
              <w:rPr>
                <w:rFonts w:ascii="Arial" w:cs="Arial" w:eastAsia="Arial" w:hAnsi="Arial"/>
                <w:sz w:val="17"/>
                <w:szCs w:val="17"/>
                <w:color w:val="auto"/>
              </w:rPr>
              <w:t>(US$)</w:t>
            </w:r>
          </w:p>
        </w:tc>
      </w:tr>
      <w:tr>
        <w:trPr>
          <w:trHeight w:val="52"/>
        </w:trPr>
        <w:tc>
          <w:tcPr>
            <w:tcW w:w="32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21"/>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January 1, 2017</w:t>
            </w:r>
          </w:p>
        </w:tc>
        <w:tc>
          <w:tcPr>
            <w:tcW w:w="2620" w:type="dxa"/>
            <w:vAlign w:val="bottom"/>
            <w:shd w:val="clear" w:color="auto" w:fill="CFF0FC"/>
          </w:tcPr>
          <w:p>
            <w:pPr>
              <w:jc w:val="right"/>
              <w:ind w:right="273"/>
              <w:spacing w:after="0"/>
              <w:rPr>
                <w:sz w:val="20"/>
                <w:szCs w:val="20"/>
                <w:color w:val="auto"/>
              </w:rPr>
            </w:pPr>
            <w:r>
              <w:rPr>
                <w:rFonts w:ascii="Arial" w:cs="Arial" w:eastAsia="Arial" w:hAnsi="Arial"/>
                <w:sz w:val="17"/>
                <w:szCs w:val="17"/>
                <w:color w:val="auto"/>
              </w:rPr>
              <w:t>4,400</w:t>
            </w:r>
          </w:p>
        </w:tc>
        <w:tc>
          <w:tcPr>
            <w:tcW w:w="15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10.01</w:t>
            </w:r>
          </w:p>
        </w:tc>
        <w:tc>
          <w:tcPr>
            <w:tcW w:w="1560" w:type="dxa"/>
            <w:vAlign w:val="bottom"/>
            <w:shd w:val="clear" w:color="auto" w:fill="CFF0FC"/>
          </w:tcPr>
          <w:p>
            <w:pPr>
              <w:jc w:val="right"/>
              <w:ind w:right="213"/>
              <w:spacing w:after="0"/>
              <w:rPr>
                <w:sz w:val="20"/>
                <w:szCs w:val="20"/>
                <w:color w:val="auto"/>
              </w:rPr>
            </w:pPr>
            <w:r>
              <w:rPr>
                <w:rFonts w:ascii="Arial" w:cs="Arial" w:eastAsia="Arial" w:hAnsi="Arial"/>
                <w:sz w:val="17"/>
                <w:szCs w:val="17"/>
                <w:color w:val="auto"/>
              </w:rPr>
              <w:t>4.00</w:t>
            </w: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20.0000</w:t>
            </w:r>
          </w:p>
        </w:tc>
      </w:tr>
      <w:tr>
        <w:trPr>
          <w:trHeight w:val="221"/>
        </w:trPr>
        <w:tc>
          <w:tcPr>
            <w:tcW w:w="3220" w:type="dxa"/>
            <w:vAlign w:val="bottom"/>
          </w:tcPr>
          <w:p>
            <w:pPr>
              <w:spacing w:after="0"/>
              <w:rPr>
                <w:sz w:val="20"/>
                <w:szCs w:val="20"/>
                <w:color w:val="auto"/>
              </w:rPr>
            </w:pPr>
            <w:r>
              <w:rPr>
                <w:rFonts w:ascii="Arial" w:cs="Arial" w:eastAsia="Arial" w:hAnsi="Arial"/>
                <w:sz w:val="17"/>
                <w:szCs w:val="17"/>
                <w:color w:val="auto"/>
              </w:rPr>
              <w:t>January 1, 2017 (Note ii)</w:t>
            </w:r>
          </w:p>
        </w:tc>
        <w:tc>
          <w:tcPr>
            <w:tcW w:w="2620" w:type="dxa"/>
            <w:vAlign w:val="bottom"/>
          </w:tcPr>
          <w:p>
            <w:pPr>
              <w:jc w:val="right"/>
              <w:ind w:right="273"/>
              <w:spacing w:after="0"/>
              <w:rPr>
                <w:sz w:val="20"/>
                <w:szCs w:val="20"/>
                <w:color w:val="auto"/>
              </w:rPr>
            </w:pPr>
            <w:r>
              <w:rPr>
                <w:rFonts w:ascii="Arial" w:cs="Arial" w:eastAsia="Arial" w:hAnsi="Arial"/>
                <w:sz w:val="17"/>
                <w:szCs w:val="17"/>
                <w:color w:val="auto"/>
              </w:rPr>
              <w:t>180,000</w:t>
            </w:r>
          </w:p>
        </w:tc>
        <w:tc>
          <w:tcPr>
            <w:tcW w:w="1540" w:type="dxa"/>
            <w:vAlign w:val="bottom"/>
          </w:tcPr>
          <w:p>
            <w:pPr>
              <w:jc w:val="right"/>
              <w:ind w:right="253"/>
              <w:spacing w:after="0"/>
              <w:rPr>
                <w:sz w:val="20"/>
                <w:szCs w:val="20"/>
                <w:color w:val="auto"/>
              </w:rPr>
            </w:pPr>
            <w:r>
              <w:rPr>
                <w:rFonts w:ascii="Arial" w:cs="Arial" w:eastAsia="Arial" w:hAnsi="Arial"/>
                <w:sz w:val="17"/>
                <w:szCs w:val="17"/>
                <w:color w:val="auto"/>
              </w:rPr>
              <w:t>10.01</w:t>
            </w:r>
          </w:p>
        </w:tc>
        <w:tc>
          <w:tcPr>
            <w:tcW w:w="1560" w:type="dxa"/>
            <w:vAlign w:val="bottom"/>
          </w:tcPr>
          <w:p>
            <w:pPr>
              <w:jc w:val="right"/>
              <w:ind w:right="213"/>
              <w:spacing w:after="0"/>
              <w:rPr>
                <w:sz w:val="20"/>
                <w:szCs w:val="20"/>
                <w:color w:val="auto"/>
              </w:rPr>
            </w:pPr>
            <w:r>
              <w:rPr>
                <w:rFonts w:ascii="Arial" w:cs="Arial" w:eastAsia="Arial" w:hAnsi="Arial"/>
                <w:sz w:val="17"/>
                <w:szCs w:val="17"/>
                <w:color w:val="auto"/>
              </w:rPr>
              <w:t>1.67</w:t>
            </w:r>
          </w:p>
        </w:tc>
        <w:tc>
          <w:tcPr>
            <w:tcW w:w="1380" w:type="dxa"/>
            <w:vAlign w:val="bottom"/>
          </w:tcPr>
          <w:p>
            <w:pPr>
              <w:jc w:val="right"/>
              <w:ind w:right="13"/>
              <w:spacing w:after="0"/>
              <w:rPr>
                <w:sz w:val="20"/>
                <w:szCs w:val="20"/>
                <w:color w:val="auto"/>
              </w:rPr>
            </w:pPr>
            <w:r>
              <w:rPr>
                <w:rFonts w:ascii="Arial" w:cs="Arial" w:eastAsia="Arial" w:hAnsi="Arial"/>
                <w:sz w:val="17"/>
                <w:szCs w:val="17"/>
                <w:color w:val="auto"/>
              </w:rPr>
              <w:t>0.0010</w:t>
            </w:r>
          </w:p>
        </w:tc>
      </w:tr>
      <w:tr>
        <w:trPr>
          <w:trHeight w:val="221"/>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January 1, 2017</w:t>
            </w:r>
          </w:p>
        </w:tc>
        <w:tc>
          <w:tcPr>
            <w:tcW w:w="2620" w:type="dxa"/>
            <w:vAlign w:val="bottom"/>
            <w:shd w:val="clear" w:color="auto" w:fill="CFF0FC"/>
          </w:tcPr>
          <w:p>
            <w:pPr>
              <w:jc w:val="right"/>
              <w:ind w:right="273"/>
              <w:spacing w:after="0"/>
              <w:rPr>
                <w:sz w:val="20"/>
                <w:szCs w:val="20"/>
                <w:color w:val="auto"/>
              </w:rPr>
            </w:pPr>
            <w:r>
              <w:rPr>
                <w:rFonts w:ascii="Arial" w:cs="Arial" w:eastAsia="Arial" w:hAnsi="Arial"/>
                <w:sz w:val="17"/>
                <w:szCs w:val="17"/>
                <w:color w:val="auto"/>
              </w:rPr>
              <w:t>100,800</w:t>
            </w:r>
          </w:p>
        </w:tc>
        <w:tc>
          <w:tcPr>
            <w:tcW w:w="15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10.01</w:t>
            </w:r>
          </w:p>
        </w:tc>
        <w:tc>
          <w:tcPr>
            <w:tcW w:w="1560" w:type="dxa"/>
            <w:vAlign w:val="bottom"/>
            <w:shd w:val="clear" w:color="auto" w:fill="CFF0FC"/>
          </w:tcPr>
          <w:p>
            <w:pPr>
              <w:jc w:val="right"/>
              <w:ind w:right="213"/>
              <w:spacing w:after="0"/>
              <w:rPr>
                <w:sz w:val="20"/>
                <w:szCs w:val="20"/>
                <w:color w:val="auto"/>
              </w:rPr>
            </w:pPr>
            <w:r>
              <w:rPr>
                <w:rFonts w:ascii="Arial" w:cs="Arial" w:eastAsia="Arial" w:hAnsi="Arial"/>
                <w:sz w:val="17"/>
                <w:szCs w:val="17"/>
                <w:color w:val="auto"/>
              </w:rPr>
              <w:t>4.00</w:t>
            </w: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8.1290</w:t>
            </w:r>
          </w:p>
        </w:tc>
      </w:tr>
      <w:tr>
        <w:trPr>
          <w:trHeight w:val="221"/>
        </w:trPr>
        <w:tc>
          <w:tcPr>
            <w:tcW w:w="3220" w:type="dxa"/>
            <w:vAlign w:val="bottom"/>
          </w:tcPr>
          <w:p>
            <w:pPr>
              <w:spacing w:after="0"/>
              <w:rPr>
                <w:sz w:val="20"/>
                <w:szCs w:val="20"/>
                <w:color w:val="auto"/>
              </w:rPr>
            </w:pPr>
            <w:r>
              <w:rPr>
                <w:rFonts w:ascii="Arial" w:cs="Arial" w:eastAsia="Arial" w:hAnsi="Arial"/>
                <w:sz w:val="17"/>
                <w:szCs w:val="17"/>
                <w:color w:val="auto"/>
              </w:rPr>
              <w:t>April 1, 2017</w:t>
            </w:r>
          </w:p>
        </w:tc>
        <w:tc>
          <w:tcPr>
            <w:tcW w:w="2620" w:type="dxa"/>
            <w:vAlign w:val="bottom"/>
          </w:tcPr>
          <w:p>
            <w:pPr>
              <w:jc w:val="right"/>
              <w:ind w:right="273"/>
              <w:spacing w:after="0"/>
              <w:rPr>
                <w:sz w:val="20"/>
                <w:szCs w:val="20"/>
                <w:color w:val="auto"/>
              </w:rPr>
            </w:pPr>
            <w:r>
              <w:rPr>
                <w:rFonts w:ascii="Arial" w:cs="Arial" w:eastAsia="Arial" w:hAnsi="Arial"/>
                <w:sz w:val="17"/>
                <w:szCs w:val="17"/>
                <w:color w:val="auto"/>
              </w:rPr>
              <w:t>5,000</w:t>
            </w:r>
          </w:p>
        </w:tc>
        <w:tc>
          <w:tcPr>
            <w:tcW w:w="1540" w:type="dxa"/>
            <w:vAlign w:val="bottom"/>
          </w:tcPr>
          <w:p>
            <w:pPr>
              <w:jc w:val="right"/>
              <w:ind w:right="253"/>
              <w:spacing w:after="0"/>
              <w:rPr>
                <w:sz w:val="20"/>
                <w:szCs w:val="20"/>
                <w:color w:val="auto"/>
              </w:rPr>
            </w:pPr>
            <w:r>
              <w:rPr>
                <w:rFonts w:ascii="Arial" w:cs="Arial" w:eastAsia="Arial" w:hAnsi="Arial"/>
                <w:sz w:val="17"/>
                <w:szCs w:val="17"/>
                <w:color w:val="auto"/>
              </w:rPr>
              <w:t>10.01</w:t>
            </w:r>
          </w:p>
        </w:tc>
        <w:tc>
          <w:tcPr>
            <w:tcW w:w="1560" w:type="dxa"/>
            <w:vAlign w:val="bottom"/>
          </w:tcPr>
          <w:p>
            <w:pPr>
              <w:jc w:val="right"/>
              <w:ind w:right="213"/>
              <w:spacing w:after="0"/>
              <w:rPr>
                <w:sz w:val="20"/>
                <w:szCs w:val="20"/>
                <w:color w:val="auto"/>
              </w:rPr>
            </w:pPr>
            <w:r>
              <w:rPr>
                <w:rFonts w:ascii="Arial" w:cs="Arial" w:eastAsia="Arial" w:hAnsi="Arial"/>
                <w:sz w:val="17"/>
                <w:szCs w:val="17"/>
                <w:color w:val="auto"/>
              </w:rPr>
              <w:t>4.00</w:t>
            </w:r>
          </w:p>
        </w:tc>
        <w:tc>
          <w:tcPr>
            <w:tcW w:w="1380" w:type="dxa"/>
            <w:vAlign w:val="bottom"/>
          </w:tcPr>
          <w:p>
            <w:pPr>
              <w:jc w:val="right"/>
              <w:ind w:right="13"/>
              <w:spacing w:after="0"/>
              <w:rPr>
                <w:sz w:val="20"/>
                <w:szCs w:val="20"/>
                <w:color w:val="auto"/>
              </w:rPr>
            </w:pPr>
            <w:r>
              <w:rPr>
                <w:rFonts w:ascii="Arial" w:cs="Arial" w:eastAsia="Arial" w:hAnsi="Arial"/>
                <w:sz w:val="17"/>
                <w:szCs w:val="17"/>
                <w:color w:val="auto"/>
              </w:rPr>
              <w:t>12.0000</w:t>
            </w:r>
          </w:p>
        </w:tc>
      </w:tr>
      <w:tr>
        <w:trPr>
          <w:trHeight w:val="221"/>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July 1, 2017</w:t>
            </w:r>
          </w:p>
        </w:tc>
        <w:tc>
          <w:tcPr>
            <w:tcW w:w="2620" w:type="dxa"/>
            <w:vAlign w:val="bottom"/>
            <w:shd w:val="clear" w:color="auto" w:fill="CFF0FC"/>
          </w:tcPr>
          <w:p>
            <w:pPr>
              <w:jc w:val="right"/>
              <w:ind w:right="273"/>
              <w:spacing w:after="0"/>
              <w:rPr>
                <w:sz w:val="20"/>
                <w:szCs w:val="20"/>
                <w:color w:val="auto"/>
              </w:rPr>
            </w:pPr>
            <w:r>
              <w:rPr>
                <w:rFonts w:ascii="Arial" w:cs="Arial" w:eastAsia="Arial" w:hAnsi="Arial"/>
                <w:sz w:val="17"/>
                <w:szCs w:val="17"/>
                <w:color w:val="auto"/>
              </w:rPr>
              <w:t>12,000</w:t>
            </w:r>
          </w:p>
        </w:tc>
        <w:tc>
          <w:tcPr>
            <w:tcW w:w="15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8.51</w:t>
            </w:r>
          </w:p>
        </w:tc>
        <w:tc>
          <w:tcPr>
            <w:tcW w:w="1560" w:type="dxa"/>
            <w:vAlign w:val="bottom"/>
            <w:shd w:val="clear" w:color="auto" w:fill="CFF0FC"/>
          </w:tcPr>
          <w:p>
            <w:pPr>
              <w:jc w:val="right"/>
              <w:ind w:right="213"/>
              <w:spacing w:after="0"/>
              <w:rPr>
                <w:sz w:val="20"/>
                <w:szCs w:val="20"/>
                <w:color w:val="auto"/>
              </w:rPr>
            </w:pPr>
            <w:r>
              <w:rPr>
                <w:rFonts w:ascii="Arial" w:cs="Arial" w:eastAsia="Arial" w:hAnsi="Arial"/>
                <w:sz w:val="17"/>
                <w:szCs w:val="17"/>
                <w:color w:val="auto"/>
              </w:rPr>
              <w:t>2.50</w:t>
            </w:r>
          </w:p>
        </w:tc>
        <w:tc>
          <w:tcPr>
            <w:tcW w:w="13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8.1290</w:t>
            </w:r>
          </w:p>
        </w:tc>
      </w:tr>
    </w:tbl>
    <w:p>
      <w:pPr>
        <w:spacing w:after="0" w:line="196" w:lineRule="exact"/>
        <w:rPr>
          <w:sz w:val="20"/>
          <w:szCs w:val="20"/>
          <w:color w:val="auto"/>
        </w:rPr>
      </w:pPr>
    </w:p>
    <w:p>
      <w:pPr>
        <w:jc w:val="both"/>
        <w:ind w:left="1660" w:hanging="823"/>
        <w:spacing w:after="0" w:line="270" w:lineRule="auto"/>
        <w:tabs>
          <w:tab w:leader="none" w:pos="16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Company modified certain terms of the options in 2017 previously granted on February 1, 2015, which these modifications were related to either the vesting period or the exercise price. The incremental costs resulting from such modifications were assessed to be insignificant.</w:t>
      </w:r>
    </w:p>
    <w:p>
      <w:pPr>
        <w:spacing w:after="0" w:line="133" w:lineRule="exact"/>
        <w:rPr>
          <w:rFonts w:ascii="Arial" w:cs="Arial" w:eastAsia="Arial" w:hAnsi="Arial"/>
          <w:sz w:val="17"/>
          <w:szCs w:val="17"/>
          <w:color w:val="auto"/>
        </w:rPr>
      </w:pPr>
    </w:p>
    <w:p>
      <w:pPr>
        <w:jc w:val="both"/>
        <w:ind w:left="1660" w:hanging="823"/>
        <w:spacing w:after="0" w:line="295" w:lineRule="auto"/>
        <w:tabs>
          <w:tab w:leader="none" w:pos="16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Company modified certain terms of the options in 2018 previously granted on January 1, 2015 and January 1, 2017, respectively, which these modifications were related to the vesting period and the exercise price. The incremental costs recognized as share-based compensation expense during the year ended December 31, 2018 resulting from such modifications were US$1,495.</w:t>
      </w:r>
    </w:p>
    <w:p>
      <w:pPr>
        <w:spacing w:after="0" w:line="154" w:lineRule="exact"/>
        <w:rPr>
          <w:rFonts w:ascii="Arial" w:cs="Arial" w:eastAsia="Arial" w:hAnsi="Arial"/>
          <w:sz w:val="16"/>
          <w:szCs w:val="16"/>
          <w:color w:val="auto"/>
        </w:rPr>
      </w:pPr>
    </w:p>
    <w:p>
      <w:pPr>
        <w:ind w:left="5540" w:hanging="104"/>
        <w:spacing w:after="0"/>
        <w:tabs>
          <w:tab w:leader="none" w:pos="554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7"/>
          <w:szCs w:val="17"/>
          <w:b w:val="1"/>
          <w:bCs w:val="1"/>
          <w:color w:val="auto"/>
        </w:rPr>
        <w:t>Share-based compensation (Continued)</w:t>
      </w:r>
    </w:p>
    <w:p>
      <w:pPr>
        <w:spacing w:after="0" w:line="188" w:lineRule="exact"/>
        <w:rPr>
          <w:sz w:val="20"/>
          <w:szCs w:val="20"/>
          <w:color w:val="auto"/>
        </w:rPr>
      </w:pPr>
    </w:p>
    <w:p>
      <w:pPr>
        <w:ind w:left="840" w:hanging="836"/>
        <w:spacing w:after="0"/>
        <w:tabs>
          <w:tab w:leader="none" w:pos="8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Share option plan (Continued)</w:t>
      </w:r>
    </w:p>
    <w:p>
      <w:pPr>
        <w:spacing w:after="0" w:line="181"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7"/>
          <w:szCs w:val="17"/>
          <w:color w:val="auto"/>
        </w:rPr>
        <w:t>The following table summarizes the share option activities for the years ended December 31, 2017, 2018 and 2019:</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4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Weighted</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Weighted</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Weighted</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average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Number of</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average</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average</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remaining</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Aggregate</w:t>
            </w:r>
          </w:p>
        </w:tc>
        <w:tc>
          <w:tcPr>
            <w:tcW w:w="0" w:type="dxa"/>
            <w:vAlign w:val="bottom"/>
          </w:tcPr>
          <w:p>
            <w:pPr>
              <w:spacing w:after="0"/>
              <w:rPr>
                <w:sz w:val="1"/>
                <w:szCs w:val="1"/>
                <w:color w:val="auto"/>
              </w:rPr>
            </w:pPr>
          </w:p>
        </w:tc>
      </w:tr>
      <w:tr>
        <w:trPr>
          <w:trHeight w:val="208"/>
        </w:trPr>
        <w:tc>
          <w:tcPr>
            <w:tcW w:w="48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share</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exercise</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grant date</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contractual</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intrinsic</w:t>
            </w:r>
          </w:p>
        </w:tc>
        <w:tc>
          <w:tcPr>
            <w:tcW w:w="0" w:type="dxa"/>
            <w:vAlign w:val="bottom"/>
          </w:tcPr>
          <w:p>
            <w:pPr>
              <w:spacing w:after="0"/>
              <w:rPr>
                <w:sz w:val="1"/>
                <w:szCs w:val="1"/>
                <w:color w:val="auto"/>
              </w:rPr>
            </w:pPr>
          </w:p>
        </w:tc>
      </w:tr>
      <w:tr>
        <w:trPr>
          <w:trHeight w:val="221"/>
        </w:trPr>
        <w:tc>
          <w:tcPr>
            <w:tcW w:w="48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options</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price</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fair value</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life</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value</w:t>
            </w:r>
          </w:p>
        </w:tc>
        <w:tc>
          <w:tcPr>
            <w:tcW w:w="0" w:type="dxa"/>
            <w:vAlign w:val="bottom"/>
          </w:tcPr>
          <w:p>
            <w:pPr>
              <w:spacing w:after="0"/>
              <w:rPr>
                <w:sz w:val="1"/>
                <w:szCs w:val="1"/>
                <w:color w:val="auto"/>
              </w:rPr>
            </w:pPr>
          </w:p>
        </w:tc>
      </w:tr>
      <w:tr>
        <w:trPr>
          <w:trHeight w:val="221"/>
        </w:trPr>
        <w:tc>
          <w:tcPr>
            <w:tcW w:w="4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US$</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US$</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years</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US$’000</w:t>
            </w: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At January 1, 2017</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1,492,185</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5.23</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302,200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11.67</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Exercised</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(25,898)</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Forfeited</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(225,911)</w:t>
            </w:r>
          </w:p>
        </w:tc>
        <w:tc>
          <w:tcPr>
            <w:tcW w:w="940" w:type="dxa"/>
            <w:vAlign w:val="bottom"/>
          </w:tcPr>
          <w:p>
            <w:pPr>
              <w:jc w:val="right"/>
              <w:spacing w:after="0"/>
              <w:rPr>
                <w:sz w:val="20"/>
                <w:szCs w:val="20"/>
                <w:color w:val="auto"/>
              </w:rPr>
            </w:pPr>
            <w:r>
              <w:rPr>
                <w:rFonts w:ascii="Arial" w:cs="Arial" w:eastAsia="Arial" w:hAnsi="Arial"/>
                <w:sz w:val="17"/>
                <w:szCs w:val="17"/>
                <w:color w:val="auto"/>
              </w:rPr>
              <w:t>7.34</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At December 31, 2017</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1,542,576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19,387</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Vested and expected to vest at December 31, 2017</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1,199,712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6.55</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Exercisable to vest at December 31, 2017</w:t>
            </w:r>
          </w:p>
        </w:tc>
        <w:tc>
          <w:tcPr>
            <w:tcW w:w="940" w:type="dxa"/>
            <w:vAlign w:val="bottom"/>
          </w:tcPr>
          <w:p>
            <w:pPr>
              <w:jc w:val="right"/>
              <w:spacing w:after="0"/>
              <w:rPr>
                <w:sz w:val="20"/>
                <w:szCs w:val="20"/>
                <w:color w:val="auto"/>
              </w:rPr>
            </w:pPr>
            <w:r>
              <w:rPr>
                <w:rFonts w:ascii="Arial" w:cs="Arial" w:eastAsia="Arial" w:hAnsi="Arial"/>
                <w:sz w:val="17"/>
                <w:szCs w:val="17"/>
                <w:color w:val="auto"/>
              </w:rPr>
              <w:t>1,118,812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11.35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6.87</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At January 1, 2018</w:t>
            </w:r>
          </w:p>
        </w:tc>
        <w:tc>
          <w:tcPr>
            <w:tcW w:w="940" w:type="dxa"/>
            <w:vAlign w:val="bottom"/>
          </w:tcPr>
          <w:p>
            <w:pPr>
              <w:jc w:val="right"/>
              <w:spacing w:after="0"/>
              <w:rPr>
                <w:sz w:val="20"/>
                <w:szCs w:val="20"/>
                <w:color w:val="auto"/>
              </w:rPr>
            </w:pPr>
            <w:r>
              <w:rPr>
                <w:rFonts w:ascii="Arial" w:cs="Arial" w:eastAsia="Arial" w:hAnsi="Arial"/>
                <w:sz w:val="17"/>
                <w:szCs w:val="17"/>
                <w:color w:val="auto"/>
              </w:rPr>
              <w:t>1,542,576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7.24</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Exercised</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(503,712)</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Forfeited</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(130,455)</w:t>
            </w:r>
          </w:p>
        </w:tc>
        <w:tc>
          <w:tcPr>
            <w:tcW w:w="940" w:type="dxa"/>
            <w:vAlign w:val="bottom"/>
          </w:tcPr>
          <w:p>
            <w:pPr>
              <w:jc w:val="right"/>
              <w:spacing w:after="0"/>
              <w:rPr>
                <w:sz w:val="20"/>
                <w:szCs w:val="20"/>
                <w:color w:val="auto"/>
              </w:rPr>
            </w:pPr>
            <w:r>
              <w:rPr>
                <w:rFonts w:ascii="Arial" w:cs="Arial" w:eastAsia="Arial" w:hAnsi="Arial"/>
                <w:sz w:val="17"/>
                <w:szCs w:val="17"/>
                <w:color w:val="auto"/>
              </w:rPr>
              <w:t>9.19</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At December 31,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908,409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2,724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Vested and expected to vest at</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December 31, 2018</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862,372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5.58</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Exercisable to vest at December 31, 2018</w:t>
            </w:r>
          </w:p>
        </w:tc>
        <w:tc>
          <w:tcPr>
            <w:tcW w:w="940" w:type="dxa"/>
            <w:vAlign w:val="bottom"/>
          </w:tcPr>
          <w:p>
            <w:pPr>
              <w:jc w:val="right"/>
              <w:spacing w:after="0"/>
              <w:rPr>
                <w:sz w:val="20"/>
                <w:szCs w:val="20"/>
                <w:color w:val="auto"/>
              </w:rPr>
            </w:pPr>
            <w:r>
              <w:rPr>
                <w:rFonts w:ascii="Arial" w:cs="Arial" w:eastAsia="Arial" w:hAnsi="Arial"/>
                <w:sz w:val="17"/>
                <w:szCs w:val="17"/>
                <w:color w:val="auto"/>
              </w:rPr>
              <w:t>823,341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12.02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5.88</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At January 1, 2019</w:t>
            </w:r>
          </w:p>
        </w:tc>
        <w:tc>
          <w:tcPr>
            <w:tcW w:w="940" w:type="dxa"/>
            <w:vAlign w:val="bottom"/>
          </w:tcPr>
          <w:p>
            <w:pPr>
              <w:jc w:val="right"/>
              <w:spacing w:after="0"/>
              <w:rPr>
                <w:sz w:val="20"/>
                <w:szCs w:val="20"/>
                <w:color w:val="auto"/>
              </w:rPr>
            </w:pPr>
            <w:r>
              <w:rPr>
                <w:rFonts w:ascii="Arial" w:cs="Arial" w:eastAsia="Arial" w:hAnsi="Arial"/>
                <w:sz w:val="17"/>
                <w:szCs w:val="17"/>
                <w:color w:val="auto"/>
              </w:rPr>
              <w:t>908,409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7.52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6.27</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Exercised</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(135,281)</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Forfeited</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(105,261)</w:t>
            </w:r>
          </w:p>
        </w:tc>
        <w:tc>
          <w:tcPr>
            <w:tcW w:w="940" w:type="dxa"/>
            <w:vAlign w:val="bottom"/>
          </w:tcPr>
          <w:p>
            <w:pPr>
              <w:jc w:val="right"/>
              <w:spacing w:after="0"/>
              <w:rPr>
                <w:sz w:val="20"/>
                <w:szCs w:val="20"/>
                <w:color w:val="auto"/>
              </w:rPr>
            </w:pPr>
            <w:r>
              <w:rPr>
                <w:rFonts w:ascii="Arial" w:cs="Arial" w:eastAsia="Arial" w:hAnsi="Arial"/>
                <w:sz w:val="17"/>
                <w:szCs w:val="17"/>
                <w:color w:val="auto"/>
              </w:rPr>
              <w:t>11.46</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At December 31,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667,867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1,807</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color w:val="auto"/>
              </w:rPr>
              <w:t>Vested and expected to vest at</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120"/>
              <w:spacing w:after="0"/>
              <w:rPr>
                <w:sz w:val="20"/>
                <w:szCs w:val="20"/>
                <w:color w:val="auto"/>
              </w:rPr>
            </w:pPr>
            <w:r>
              <w:rPr>
                <w:rFonts w:ascii="Arial" w:cs="Arial" w:eastAsia="Arial" w:hAnsi="Arial"/>
                <w:sz w:val="17"/>
                <w:szCs w:val="17"/>
                <w:color w:val="auto"/>
              </w:rPr>
              <w:t>December 31, 2019</w:t>
            </w:r>
          </w:p>
        </w:tc>
        <w:tc>
          <w:tcPr>
            <w:tcW w:w="940" w:type="dxa"/>
            <w:vAlign w:val="bottom"/>
          </w:tcPr>
          <w:p>
            <w:pPr>
              <w:jc w:val="right"/>
              <w:spacing w:after="0"/>
              <w:rPr>
                <w:sz w:val="20"/>
                <w:szCs w:val="20"/>
                <w:color w:val="auto"/>
              </w:rPr>
            </w:pPr>
            <w:r>
              <w:rPr>
                <w:rFonts w:ascii="Arial" w:cs="Arial" w:eastAsia="Arial" w:hAnsi="Arial"/>
                <w:sz w:val="17"/>
                <w:szCs w:val="17"/>
                <w:color w:val="auto"/>
              </w:rPr>
              <w:t>660,247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12.08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5.14</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Exercisable to vest at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657,142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5.64</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840"/>
        <w:spacing w:after="0" w:line="295"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11% and 9% for employees and 17% and 58% for senior management in 2018 and 2019, respectively.</w:t>
      </w:r>
    </w:p>
    <w:p>
      <w:pPr>
        <w:spacing w:after="0" w:line="128"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The aggregate intrinsic value in the table above represents the difference between the estimated fair values of the Company’s ordinary shares as of December 31, 2018 and 2019 and the exercise price.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7"/>
          <w:szCs w:val="17"/>
          <w:b w:val="1"/>
          <w:bCs w:val="1"/>
          <w:color w:val="auto"/>
        </w:rPr>
        <w:t>Share-based compensation (Continued)</w:t>
      </w:r>
    </w:p>
    <w:p>
      <w:pPr>
        <w:spacing w:after="0" w:line="214" w:lineRule="exact"/>
        <w:rPr>
          <w:sz w:val="20"/>
          <w:szCs w:val="20"/>
          <w:color w:val="auto"/>
        </w:rPr>
      </w:pPr>
    </w:p>
    <w:p>
      <w:pPr>
        <w:ind w:left="840" w:hanging="836"/>
        <w:spacing w:after="0"/>
        <w:tabs>
          <w:tab w:leader="none" w:pos="8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Share option plan (Continued)</w:t>
      </w:r>
    </w:p>
    <w:p>
      <w:pPr>
        <w:spacing w:after="0" w:line="168" w:lineRule="exact"/>
        <w:rPr>
          <w:rFonts w:ascii="Arial" w:cs="Arial" w:eastAsia="Arial" w:hAnsi="Arial"/>
          <w:sz w:val="17"/>
          <w:szCs w:val="17"/>
          <w:color w:val="auto"/>
        </w:rPr>
      </w:pPr>
    </w:p>
    <w:p>
      <w:pPr>
        <w:jc w:val="both"/>
        <w:ind w:left="840"/>
        <w:spacing w:after="0" w:line="239" w:lineRule="auto"/>
        <w:rPr>
          <w:rFonts w:ascii="Arial" w:cs="Arial" w:eastAsia="Arial" w:hAnsi="Arial"/>
          <w:sz w:val="17"/>
          <w:szCs w:val="17"/>
          <w:color w:val="auto"/>
        </w:rPr>
      </w:pPr>
      <w:r>
        <w:rPr>
          <w:rFonts w:ascii="Arial" w:cs="Arial" w:eastAsia="Arial" w:hAnsi="Arial"/>
          <w:sz w:val="17"/>
          <w:szCs w:val="17"/>
          <w:color w:val="auto"/>
        </w:rPr>
        <w:t>All share-based payments to employees are measured based on their grant-date fair values. Compensation expense is recognized based on the vesting schedule over the requisite service period. Total fair values of options vested and recognized as expenses for the years ended December 31, 2017, 2018 and 2019 were US$3,681, US$5,349 and US$784, respectively.</w:t>
      </w:r>
    </w:p>
    <w:p>
      <w:pPr>
        <w:spacing w:after="0" w:line="131" w:lineRule="exact"/>
        <w:rPr>
          <w:rFonts w:ascii="Arial" w:cs="Arial" w:eastAsia="Arial" w:hAnsi="Arial"/>
          <w:sz w:val="17"/>
          <w:szCs w:val="17"/>
          <w:color w:val="auto"/>
        </w:rPr>
      </w:pPr>
    </w:p>
    <w:p>
      <w:pPr>
        <w:jc w:val="both"/>
        <w:ind w:left="840"/>
        <w:spacing w:after="0" w:line="233" w:lineRule="auto"/>
        <w:rPr>
          <w:rFonts w:ascii="Arial" w:cs="Arial" w:eastAsia="Arial" w:hAnsi="Arial"/>
          <w:sz w:val="17"/>
          <w:szCs w:val="17"/>
          <w:color w:val="auto"/>
        </w:rPr>
      </w:pPr>
      <w:r>
        <w:rPr>
          <w:rFonts w:ascii="Arial" w:cs="Arial" w:eastAsia="Arial" w:hAnsi="Arial"/>
          <w:sz w:val="17"/>
          <w:szCs w:val="17"/>
          <w:color w:val="auto"/>
        </w:rPr>
        <w:t>As of December 31, 2018 and 2019,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None of the options were vested as of December 31, 2018 and 2019.</w:t>
      </w:r>
    </w:p>
    <w:p>
      <w:pPr>
        <w:spacing w:after="0" w:line="143" w:lineRule="exact"/>
        <w:rPr>
          <w:rFonts w:ascii="Arial" w:cs="Arial" w:eastAsia="Arial" w:hAnsi="Arial"/>
          <w:sz w:val="17"/>
          <w:szCs w:val="17"/>
          <w:color w:val="auto"/>
        </w:rPr>
      </w:pPr>
    </w:p>
    <w:p>
      <w:pPr>
        <w:jc w:val="both"/>
        <w:ind w:left="840"/>
        <w:spacing w:after="0" w:line="286" w:lineRule="auto"/>
        <w:rPr>
          <w:rFonts w:ascii="Arial" w:cs="Arial" w:eastAsia="Arial" w:hAnsi="Arial"/>
          <w:sz w:val="17"/>
          <w:szCs w:val="17"/>
          <w:color w:val="auto"/>
        </w:rPr>
      </w:pPr>
      <w:r>
        <w:rPr>
          <w:rFonts w:ascii="Arial" w:cs="Arial" w:eastAsia="Arial" w:hAnsi="Arial"/>
          <w:sz w:val="15"/>
          <w:szCs w:val="15"/>
          <w:color w:val="auto"/>
        </w:rPr>
        <w:t>As of December 31, 2018 and 2019, there were US$921 and US$96 of unrecognized share-based compensation expenses related to share options, which were expected to be recognized over a weighted-average vesting period of 1.14 and 0.86 years, respectively. To the extent the actual forfeiture rate is different from the Company’s estimate, the actual share-based compensation related to these awards may be different from the expectation.</w:t>
      </w:r>
    </w:p>
    <w:p>
      <w:pPr>
        <w:spacing w:after="0" w:line="98" w:lineRule="exact"/>
        <w:rPr>
          <w:rFonts w:ascii="Arial" w:cs="Arial" w:eastAsia="Arial" w:hAnsi="Arial"/>
          <w:sz w:val="17"/>
          <w:szCs w:val="17"/>
          <w:color w:val="auto"/>
        </w:rPr>
      </w:pPr>
    </w:p>
    <w:p>
      <w:pPr>
        <w:jc w:val="both"/>
        <w:ind w:left="840"/>
        <w:spacing w:after="0" w:line="239" w:lineRule="auto"/>
        <w:rPr>
          <w:rFonts w:ascii="Arial" w:cs="Arial" w:eastAsia="Arial" w:hAnsi="Arial"/>
          <w:sz w:val="17"/>
          <w:szCs w:val="17"/>
          <w:color w:val="auto"/>
        </w:rPr>
      </w:pPr>
      <w:r>
        <w:rPr>
          <w:rFonts w:ascii="Arial" w:cs="Arial" w:eastAsia="Arial" w:hAnsi="Arial"/>
          <w:sz w:val="17"/>
          <w:szCs w:val="17"/>
          <w:color w:val="auto"/>
        </w:rPr>
        <w:t>The binomial option pricing model is used to determine the fair value of the share options granted to employees and non-employees. There were no grant or modification of share options during the year ended December 31, 2019. The fair values of share options granted/modified during the years ended December 31, 2017 and 2018 were estimated using the following assumptions: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3820" w:type="dxa"/>
            <w:vAlign w:val="bottom"/>
          </w:tcPr>
          <w:p>
            <w:pPr>
              <w:spacing w:after="0"/>
              <w:rPr>
                <w:sz w:val="18"/>
                <w:szCs w:val="18"/>
                <w:color w:val="auto"/>
              </w:rPr>
            </w:pPr>
          </w:p>
        </w:tc>
        <w:tc>
          <w:tcPr>
            <w:tcW w:w="2840" w:type="dxa"/>
            <w:vAlign w:val="bottom"/>
          </w:tcPr>
          <w:p>
            <w:pPr>
              <w:jc w:val="right"/>
              <w:ind w:right="313"/>
              <w:spacing w:after="0"/>
              <w:rPr>
                <w:sz w:val="20"/>
                <w:szCs w:val="20"/>
                <w:color w:val="auto"/>
              </w:rPr>
            </w:pPr>
            <w:r>
              <w:rPr>
                <w:rFonts w:ascii="Arial" w:cs="Arial" w:eastAsia="Arial" w:hAnsi="Arial"/>
                <w:sz w:val="17"/>
                <w:szCs w:val="17"/>
                <w:color w:val="auto"/>
              </w:rPr>
              <w:t>Risk-free</w:t>
            </w:r>
          </w:p>
        </w:tc>
        <w:tc>
          <w:tcPr>
            <w:tcW w:w="1320" w:type="dxa"/>
            <w:vAlign w:val="bottom"/>
          </w:tcPr>
          <w:p>
            <w:pPr>
              <w:jc w:val="right"/>
              <w:ind w:right="333"/>
              <w:spacing w:after="0"/>
              <w:rPr>
                <w:sz w:val="20"/>
                <w:szCs w:val="20"/>
                <w:color w:val="auto"/>
              </w:rPr>
            </w:pPr>
            <w:r>
              <w:rPr>
                <w:rFonts w:ascii="Arial" w:cs="Arial" w:eastAsia="Arial" w:hAnsi="Arial"/>
                <w:sz w:val="17"/>
                <w:szCs w:val="17"/>
                <w:color w:val="auto"/>
              </w:rPr>
              <w:t>Dividend</w:t>
            </w:r>
          </w:p>
        </w:tc>
        <w:tc>
          <w:tcPr>
            <w:tcW w:w="1200" w:type="dxa"/>
            <w:vAlign w:val="bottom"/>
          </w:tcPr>
          <w:p>
            <w:pPr>
              <w:ind w:left="260"/>
              <w:spacing w:after="0"/>
              <w:rPr>
                <w:sz w:val="20"/>
                <w:szCs w:val="20"/>
                <w:color w:val="auto"/>
              </w:rPr>
            </w:pPr>
            <w:r>
              <w:rPr>
                <w:rFonts w:ascii="Arial" w:cs="Arial" w:eastAsia="Arial" w:hAnsi="Arial"/>
                <w:sz w:val="17"/>
                <w:szCs w:val="17"/>
                <w:color w:val="auto"/>
              </w:rPr>
              <w:t>Volatility</w:t>
            </w:r>
          </w:p>
        </w:tc>
        <w:tc>
          <w:tcPr>
            <w:tcW w:w="1140" w:type="dxa"/>
            <w:vAlign w:val="bottom"/>
          </w:tcPr>
          <w:p>
            <w:pPr>
              <w:jc w:val="right"/>
              <w:spacing w:after="0"/>
              <w:rPr>
                <w:sz w:val="20"/>
                <w:szCs w:val="20"/>
                <w:color w:val="auto"/>
              </w:rPr>
            </w:pPr>
            <w:r>
              <w:rPr>
                <w:rFonts w:ascii="Arial" w:cs="Arial" w:eastAsia="Arial" w:hAnsi="Arial"/>
                <w:sz w:val="17"/>
                <w:szCs w:val="17"/>
                <w:color w:val="auto"/>
              </w:rPr>
              <w:t>Expected term</w:t>
            </w:r>
          </w:p>
        </w:tc>
      </w:tr>
      <w:tr>
        <w:trPr>
          <w:trHeight w:val="208"/>
        </w:trPr>
        <w:tc>
          <w:tcPr>
            <w:tcW w:w="3820" w:type="dxa"/>
            <w:vAlign w:val="bottom"/>
          </w:tcPr>
          <w:p>
            <w:pPr>
              <w:spacing w:after="0"/>
              <w:rPr>
                <w:sz w:val="18"/>
                <w:szCs w:val="18"/>
                <w:color w:val="auto"/>
              </w:rPr>
            </w:pPr>
          </w:p>
        </w:tc>
        <w:tc>
          <w:tcPr>
            <w:tcW w:w="2840" w:type="dxa"/>
            <w:vAlign w:val="bottom"/>
          </w:tcPr>
          <w:p>
            <w:pPr>
              <w:jc w:val="right"/>
              <w:ind w:right="313"/>
              <w:spacing w:after="0"/>
              <w:rPr>
                <w:sz w:val="20"/>
                <w:szCs w:val="20"/>
                <w:color w:val="auto"/>
              </w:rPr>
            </w:pPr>
            <w:r>
              <w:rPr>
                <w:rFonts w:ascii="Arial" w:cs="Arial" w:eastAsia="Arial" w:hAnsi="Arial"/>
                <w:sz w:val="17"/>
                <w:szCs w:val="17"/>
                <w:color w:val="auto"/>
              </w:rPr>
              <w:t>interest rate</w:t>
            </w:r>
          </w:p>
        </w:tc>
        <w:tc>
          <w:tcPr>
            <w:tcW w:w="1320" w:type="dxa"/>
            <w:vAlign w:val="bottom"/>
          </w:tcPr>
          <w:p>
            <w:pPr>
              <w:jc w:val="right"/>
              <w:ind w:right="333"/>
              <w:spacing w:after="0"/>
              <w:rPr>
                <w:sz w:val="20"/>
                <w:szCs w:val="20"/>
                <w:color w:val="auto"/>
              </w:rPr>
            </w:pPr>
            <w:r>
              <w:rPr>
                <w:rFonts w:ascii="Arial" w:cs="Arial" w:eastAsia="Arial" w:hAnsi="Arial"/>
                <w:sz w:val="17"/>
                <w:szCs w:val="17"/>
                <w:color w:val="auto"/>
              </w:rPr>
              <w:t>yield</w:t>
            </w:r>
          </w:p>
        </w:tc>
        <w:tc>
          <w:tcPr>
            <w:tcW w:w="1200" w:type="dxa"/>
            <w:vAlign w:val="bottom"/>
          </w:tcPr>
          <w:p>
            <w:pPr>
              <w:jc w:val="center"/>
              <w:ind w:left="253"/>
              <w:spacing w:after="0"/>
              <w:rPr>
                <w:sz w:val="20"/>
                <w:szCs w:val="20"/>
                <w:color w:val="auto"/>
              </w:rPr>
            </w:pPr>
            <w:r>
              <w:rPr>
                <w:rFonts w:ascii="Arial" w:cs="Arial" w:eastAsia="Arial" w:hAnsi="Arial"/>
                <w:sz w:val="17"/>
                <w:szCs w:val="17"/>
                <w:color w:val="auto"/>
                <w:w w:val="88"/>
              </w:rPr>
              <w:t>rate</w:t>
            </w:r>
          </w:p>
        </w:tc>
        <w:tc>
          <w:tcPr>
            <w:tcW w:w="1140" w:type="dxa"/>
            <w:vAlign w:val="bottom"/>
          </w:tcPr>
          <w:p>
            <w:pPr>
              <w:jc w:val="right"/>
              <w:spacing w:after="0"/>
              <w:rPr>
                <w:sz w:val="20"/>
                <w:szCs w:val="20"/>
                <w:color w:val="auto"/>
              </w:rPr>
            </w:pPr>
            <w:r>
              <w:rPr>
                <w:rFonts w:ascii="Arial" w:cs="Arial" w:eastAsia="Arial" w:hAnsi="Arial"/>
                <w:sz w:val="17"/>
                <w:szCs w:val="17"/>
                <w:color w:val="auto"/>
              </w:rPr>
              <w:t>(in years)</w:t>
            </w:r>
          </w:p>
        </w:tc>
      </w:tr>
      <w:tr>
        <w:trPr>
          <w:trHeight w:val="221"/>
        </w:trPr>
        <w:tc>
          <w:tcPr>
            <w:tcW w:w="3820" w:type="dxa"/>
            <w:vAlign w:val="bottom"/>
          </w:tcPr>
          <w:p>
            <w:pPr>
              <w:spacing w:after="0"/>
              <w:rPr>
                <w:sz w:val="20"/>
                <w:szCs w:val="20"/>
                <w:color w:val="auto"/>
              </w:rPr>
            </w:pPr>
            <w:r>
              <w:rPr>
                <w:rFonts w:ascii="Arial" w:cs="Arial" w:eastAsia="Arial" w:hAnsi="Arial"/>
                <w:sz w:val="17"/>
                <w:szCs w:val="17"/>
                <w:color w:val="auto"/>
              </w:rPr>
              <w:t>Date</w:t>
            </w:r>
          </w:p>
        </w:tc>
        <w:tc>
          <w:tcPr>
            <w:tcW w:w="2840" w:type="dxa"/>
            <w:vAlign w:val="bottom"/>
          </w:tcPr>
          <w:p>
            <w:pPr>
              <w:jc w:val="right"/>
              <w:ind w:right="313"/>
              <w:spacing w:after="0"/>
              <w:rPr>
                <w:sz w:val="20"/>
                <w:szCs w:val="20"/>
                <w:color w:val="auto"/>
              </w:rPr>
            </w:pPr>
            <w:r>
              <w:rPr>
                <w:rFonts w:ascii="Arial" w:cs="Arial" w:eastAsia="Arial" w:hAnsi="Arial"/>
                <w:sz w:val="17"/>
                <w:szCs w:val="17"/>
                <w:color w:val="auto"/>
              </w:rPr>
              <w:t>(Note i)</w:t>
            </w:r>
          </w:p>
        </w:tc>
        <w:tc>
          <w:tcPr>
            <w:tcW w:w="1320" w:type="dxa"/>
            <w:vAlign w:val="bottom"/>
          </w:tcPr>
          <w:p>
            <w:pPr>
              <w:jc w:val="right"/>
              <w:ind w:right="333"/>
              <w:spacing w:after="0"/>
              <w:rPr>
                <w:sz w:val="20"/>
                <w:szCs w:val="20"/>
                <w:color w:val="auto"/>
              </w:rPr>
            </w:pPr>
            <w:r>
              <w:rPr>
                <w:rFonts w:ascii="Arial" w:cs="Arial" w:eastAsia="Arial" w:hAnsi="Arial"/>
                <w:sz w:val="17"/>
                <w:szCs w:val="17"/>
                <w:color w:val="auto"/>
              </w:rPr>
              <w:t>(Note ii)</w:t>
            </w:r>
          </w:p>
        </w:tc>
        <w:tc>
          <w:tcPr>
            <w:tcW w:w="1200" w:type="dxa"/>
            <w:vAlign w:val="bottom"/>
          </w:tcPr>
          <w:p>
            <w:pPr>
              <w:ind w:left="260"/>
              <w:spacing w:after="0"/>
              <w:rPr>
                <w:sz w:val="20"/>
                <w:szCs w:val="20"/>
                <w:color w:val="auto"/>
              </w:rPr>
            </w:pPr>
            <w:r>
              <w:rPr>
                <w:rFonts w:ascii="Arial" w:cs="Arial" w:eastAsia="Arial" w:hAnsi="Arial"/>
                <w:sz w:val="17"/>
                <w:szCs w:val="17"/>
                <w:color w:val="auto"/>
              </w:rPr>
              <w:t>(Note iii)</w:t>
            </w:r>
          </w:p>
        </w:tc>
        <w:tc>
          <w:tcPr>
            <w:tcW w:w="1140" w:type="dxa"/>
            <w:vAlign w:val="bottom"/>
          </w:tcPr>
          <w:p>
            <w:pPr>
              <w:jc w:val="right"/>
              <w:spacing w:after="0"/>
              <w:rPr>
                <w:sz w:val="20"/>
                <w:szCs w:val="20"/>
                <w:color w:val="auto"/>
              </w:rPr>
            </w:pPr>
            <w:r>
              <w:rPr>
                <w:rFonts w:ascii="Arial" w:cs="Arial" w:eastAsia="Arial" w:hAnsi="Arial"/>
                <w:sz w:val="17"/>
                <w:szCs w:val="17"/>
                <w:color w:val="auto"/>
              </w:rPr>
              <w:t>(Note iv)</w:t>
            </w:r>
          </w:p>
        </w:tc>
      </w:tr>
      <w:tr>
        <w:trPr>
          <w:trHeight w:val="209"/>
        </w:trPr>
        <w:tc>
          <w:tcPr>
            <w:tcW w:w="3820" w:type="dxa"/>
            <w:vAlign w:val="bottom"/>
            <w:shd w:val="clear" w:color="auto" w:fill="CFF0FC"/>
          </w:tcPr>
          <w:p>
            <w:pPr>
              <w:spacing w:after="0"/>
              <w:rPr>
                <w:sz w:val="20"/>
                <w:szCs w:val="20"/>
                <w:color w:val="auto"/>
              </w:rPr>
            </w:pPr>
            <w:r>
              <w:rPr>
                <w:rFonts w:ascii="Arial" w:cs="Arial" w:eastAsia="Arial" w:hAnsi="Arial"/>
                <w:sz w:val="17"/>
                <w:szCs w:val="17"/>
                <w:color w:val="auto"/>
              </w:rPr>
              <w:t>Granted during the year ended</w:t>
            </w:r>
          </w:p>
        </w:tc>
        <w:tc>
          <w:tcPr>
            <w:tcW w:w="28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1"/>
        </w:trPr>
        <w:tc>
          <w:tcPr>
            <w:tcW w:w="38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December 31, 2017:</w:t>
            </w:r>
          </w:p>
        </w:tc>
        <w:tc>
          <w:tcPr>
            <w:tcW w:w="28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1"/>
        </w:trPr>
        <w:tc>
          <w:tcPr>
            <w:tcW w:w="3820" w:type="dxa"/>
            <w:vAlign w:val="bottom"/>
          </w:tcPr>
          <w:p>
            <w:pPr>
              <w:spacing w:after="0"/>
              <w:rPr>
                <w:sz w:val="20"/>
                <w:szCs w:val="20"/>
                <w:color w:val="auto"/>
              </w:rPr>
            </w:pPr>
            <w:r>
              <w:rPr>
                <w:rFonts w:ascii="Arial" w:cs="Arial" w:eastAsia="Arial" w:hAnsi="Arial"/>
                <w:sz w:val="17"/>
                <w:szCs w:val="17"/>
                <w:color w:val="auto"/>
              </w:rPr>
              <w:t>January 1, 2017</w:t>
            </w:r>
          </w:p>
        </w:tc>
        <w:tc>
          <w:tcPr>
            <w:tcW w:w="2840" w:type="dxa"/>
            <w:vAlign w:val="bottom"/>
          </w:tcPr>
          <w:p>
            <w:pPr>
              <w:jc w:val="right"/>
              <w:ind w:right="173"/>
              <w:spacing w:after="0"/>
              <w:rPr>
                <w:sz w:val="20"/>
                <w:szCs w:val="20"/>
                <w:color w:val="auto"/>
              </w:rPr>
            </w:pPr>
            <w:r>
              <w:rPr>
                <w:rFonts w:ascii="Arial" w:cs="Arial" w:eastAsia="Arial" w:hAnsi="Arial"/>
                <w:sz w:val="17"/>
                <w:szCs w:val="17"/>
                <w:color w:val="auto"/>
              </w:rPr>
              <w:t>2.67%</w:t>
            </w:r>
          </w:p>
        </w:tc>
        <w:tc>
          <w:tcPr>
            <w:tcW w:w="1320" w:type="dxa"/>
            <w:vAlign w:val="bottom"/>
          </w:tcPr>
          <w:p>
            <w:pPr>
              <w:jc w:val="right"/>
              <w:ind w:right="173"/>
              <w:spacing w:after="0"/>
              <w:rPr>
                <w:sz w:val="20"/>
                <w:szCs w:val="20"/>
                <w:color w:val="auto"/>
              </w:rPr>
            </w:pPr>
            <w:r>
              <w:rPr>
                <w:rFonts w:ascii="Arial" w:cs="Arial" w:eastAsia="Arial" w:hAnsi="Arial"/>
                <w:sz w:val="17"/>
                <w:szCs w:val="17"/>
                <w:color w:val="auto"/>
              </w:rPr>
              <w:t>0%</w:t>
            </w:r>
          </w:p>
        </w:tc>
        <w:tc>
          <w:tcPr>
            <w:tcW w:w="1200" w:type="dxa"/>
            <w:vAlign w:val="bottom"/>
          </w:tcPr>
          <w:p>
            <w:pPr>
              <w:jc w:val="center"/>
              <w:ind w:left="273"/>
              <w:spacing w:after="0"/>
              <w:rPr>
                <w:sz w:val="20"/>
                <w:szCs w:val="20"/>
                <w:color w:val="auto"/>
              </w:rPr>
            </w:pPr>
            <w:r>
              <w:rPr>
                <w:rFonts w:ascii="Arial" w:cs="Arial" w:eastAsia="Arial" w:hAnsi="Arial"/>
                <w:sz w:val="17"/>
                <w:szCs w:val="17"/>
                <w:color w:val="auto"/>
                <w:w w:val="97"/>
              </w:rPr>
              <w:t>50.75%</w:t>
            </w:r>
          </w:p>
        </w:tc>
        <w:tc>
          <w:tcPr>
            <w:tcW w:w="114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3820" w:type="dxa"/>
            <w:vAlign w:val="bottom"/>
            <w:shd w:val="clear" w:color="auto" w:fill="CFF0FC"/>
          </w:tcPr>
          <w:p>
            <w:pPr>
              <w:spacing w:after="0"/>
              <w:rPr>
                <w:sz w:val="20"/>
                <w:szCs w:val="20"/>
                <w:color w:val="auto"/>
              </w:rPr>
            </w:pPr>
            <w:r>
              <w:rPr>
                <w:rFonts w:ascii="Arial" w:cs="Arial" w:eastAsia="Arial" w:hAnsi="Arial"/>
                <w:sz w:val="17"/>
                <w:szCs w:val="17"/>
                <w:color w:val="auto"/>
              </w:rPr>
              <w:t>April 1, 2017</w:t>
            </w:r>
          </w:p>
        </w:tc>
        <w:tc>
          <w:tcPr>
            <w:tcW w:w="284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2.59%</w:t>
            </w:r>
          </w:p>
        </w:tc>
        <w:tc>
          <w:tcPr>
            <w:tcW w:w="132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0%</w:t>
            </w:r>
          </w:p>
        </w:tc>
        <w:tc>
          <w:tcPr>
            <w:tcW w:w="1200" w:type="dxa"/>
            <w:vAlign w:val="bottom"/>
            <w:shd w:val="clear" w:color="auto" w:fill="CFF0FC"/>
          </w:tcPr>
          <w:p>
            <w:pPr>
              <w:jc w:val="center"/>
              <w:ind w:left="273"/>
              <w:spacing w:after="0"/>
              <w:rPr>
                <w:sz w:val="20"/>
                <w:szCs w:val="20"/>
                <w:color w:val="auto"/>
              </w:rPr>
            </w:pPr>
            <w:r>
              <w:rPr>
                <w:rFonts w:ascii="Arial" w:cs="Arial" w:eastAsia="Arial" w:hAnsi="Arial"/>
                <w:sz w:val="17"/>
                <w:szCs w:val="17"/>
                <w:color w:val="auto"/>
                <w:w w:val="97"/>
              </w:rPr>
              <w:t>50.79%</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3820" w:type="dxa"/>
            <w:vAlign w:val="bottom"/>
          </w:tcPr>
          <w:p>
            <w:pPr>
              <w:spacing w:after="0"/>
              <w:rPr>
                <w:sz w:val="20"/>
                <w:szCs w:val="20"/>
                <w:color w:val="auto"/>
              </w:rPr>
            </w:pPr>
            <w:r>
              <w:rPr>
                <w:rFonts w:ascii="Arial" w:cs="Arial" w:eastAsia="Arial" w:hAnsi="Arial"/>
                <w:sz w:val="17"/>
                <w:szCs w:val="17"/>
                <w:color w:val="auto"/>
              </w:rPr>
              <w:t>July 1, 2017</w:t>
            </w:r>
          </w:p>
        </w:tc>
        <w:tc>
          <w:tcPr>
            <w:tcW w:w="2840" w:type="dxa"/>
            <w:vAlign w:val="bottom"/>
          </w:tcPr>
          <w:p>
            <w:pPr>
              <w:jc w:val="right"/>
              <w:ind w:right="173"/>
              <w:spacing w:after="0"/>
              <w:rPr>
                <w:sz w:val="20"/>
                <w:szCs w:val="20"/>
                <w:color w:val="auto"/>
              </w:rPr>
            </w:pPr>
            <w:r>
              <w:rPr>
                <w:rFonts w:ascii="Arial" w:cs="Arial" w:eastAsia="Arial" w:hAnsi="Arial"/>
                <w:sz w:val="17"/>
                <w:szCs w:val="17"/>
                <w:color w:val="auto"/>
              </w:rPr>
              <w:t>2.35%</w:t>
            </w:r>
          </w:p>
        </w:tc>
        <w:tc>
          <w:tcPr>
            <w:tcW w:w="1320" w:type="dxa"/>
            <w:vAlign w:val="bottom"/>
          </w:tcPr>
          <w:p>
            <w:pPr>
              <w:jc w:val="right"/>
              <w:ind w:right="173"/>
              <w:spacing w:after="0"/>
              <w:rPr>
                <w:sz w:val="20"/>
                <w:szCs w:val="20"/>
                <w:color w:val="auto"/>
              </w:rPr>
            </w:pPr>
            <w:r>
              <w:rPr>
                <w:rFonts w:ascii="Arial" w:cs="Arial" w:eastAsia="Arial" w:hAnsi="Arial"/>
                <w:sz w:val="17"/>
                <w:szCs w:val="17"/>
                <w:color w:val="auto"/>
              </w:rPr>
              <w:t>0%</w:t>
            </w:r>
          </w:p>
        </w:tc>
        <w:tc>
          <w:tcPr>
            <w:tcW w:w="1200" w:type="dxa"/>
            <w:vAlign w:val="bottom"/>
          </w:tcPr>
          <w:p>
            <w:pPr>
              <w:jc w:val="center"/>
              <w:ind w:left="273"/>
              <w:spacing w:after="0"/>
              <w:rPr>
                <w:sz w:val="20"/>
                <w:szCs w:val="20"/>
                <w:color w:val="auto"/>
              </w:rPr>
            </w:pPr>
            <w:r>
              <w:rPr>
                <w:rFonts w:ascii="Arial" w:cs="Arial" w:eastAsia="Arial" w:hAnsi="Arial"/>
                <w:sz w:val="17"/>
                <w:szCs w:val="17"/>
                <w:color w:val="auto"/>
                <w:w w:val="97"/>
              </w:rPr>
              <w:t>47.59%</w:t>
            </w:r>
          </w:p>
        </w:tc>
        <w:tc>
          <w:tcPr>
            <w:tcW w:w="114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38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7"/>
                <w:szCs w:val="17"/>
                <w:color w:val="auto"/>
              </w:rPr>
              <w:t>Modified during the year ended</w:t>
            </w: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1"/>
        </w:trPr>
        <w:tc>
          <w:tcPr>
            <w:tcW w:w="3820" w:type="dxa"/>
            <w:vAlign w:val="bottom"/>
          </w:tcPr>
          <w:p>
            <w:pPr>
              <w:ind w:left="120"/>
              <w:spacing w:after="0"/>
              <w:rPr>
                <w:sz w:val="20"/>
                <w:szCs w:val="20"/>
                <w:color w:val="auto"/>
              </w:rPr>
            </w:pPr>
            <w:r>
              <w:rPr>
                <w:rFonts w:ascii="Arial" w:cs="Arial" w:eastAsia="Arial" w:hAnsi="Arial"/>
                <w:sz w:val="17"/>
                <w:szCs w:val="17"/>
                <w:color w:val="auto"/>
              </w:rPr>
              <w:t>December 31, 2018:</w:t>
            </w:r>
          </w:p>
        </w:tc>
        <w:tc>
          <w:tcPr>
            <w:tcW w:w="2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1"/>
        </w:trPr>
        <w:tc>
          <w:tcPr>
            <w:tcW w:w="3820" w:type="dxa"/>
            <w:vAlign w:val="bottom"/>
            <w:shd w:val="clear" w:color="auto" w:fill="CFF0FC"/>
          </w:tcPr>
          <w:p>
            <w:pPr>
              <w:spacing w:after="0"/>
              <w:rPr>
                <w:sz w:val="20"/>
                <w:szCs w:val="20"/>
                <w:color w:val="auto"/>
              </w:rPr>
            </w:pPr>
            <w:r>
              <w:rPr>
                <w:rFonts w:ascii="Arial" w:cs="Arial" w:eastAsia="Arial" w:hAnsi="Arial"/>
                <w:sz w:val="17"/>
                <w:szCs w:val="17"/>
                <w:color w:val="auto"/>
              </w:rPr>
              <w:t>September 1, 2018 (Note v)</w:t>
            </w:r>
          </w:p>
        </w:tc>
        <w:tc>
          <w:tcPr>
            <w:tcW w:w="284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2.83%</w:t>
            </w:r>
          </w:p>
        </w:tc>
        <w:tc>
          <w:tcPr>
            <w:tcW w:w="1320" w:type="dxa"/>
            <w:vAlign w:val="bottom"/>
            <w:shd w:val="clear" w:color="auto" w:fill="CFF0FC"/>
          </w:tcPr>
          <w:p>
            <w:pPr>
              <w:jc w:val="right"/>
              <w:ind w:right="173"/>
              <w:spacing w:after="0"/>
              <w:rPr>
                <w:sz w:val="20"/>
                <w:szCs w:val="20"/>
                <w:color w:val="auto"/>
              </w:rPr>
            </w:pPr>
            <w:r>
              <w:rPr>
                <w:rFonts w:ascii="Arial" w:cs="Arial" w:eastAsia="Arial" w:hAnsi="Arial"/>
                <w:sz w:val="17"/>
                <w:szCs w:val="17"/>
                <w:color w:val="auto"/>
              </w:rPr>
              <w:t>0%</w:t>
            </w:r>
          </w:p>
        </w:tc>
        <w:tc>
          <w:tcPr>
            <w:tcW w:w="1200" w:type="dxa"/>
            <w:vAlign w:val="bottom"/>
            <w:shd w:val="clear" w:color="auto" w:fill="CFF0FC"/>
          </w:tcPr>
          <w:p>
            <w:pPr>
              <w:jc w:val="center"/>
              <w:ind w:left="273"/>
              <w:spacing w:after="0"/>
              <w:rPr>
                <w:sz w:val="20"/>
                <w:szCs w:val="20"/>
                <w:color w:val="auto"/>
              </w:rPr>
            </w:pPr>
            <w:r>
              <w:rPr>
                <w:rFonts w:ascii="Arial" w:cs="Arial" w:eastAsia="Arial" w:hAnsi="Arial"/>
                <w:sz w:val="17"/>
                <w:szCs w:val="17"/>
                <w:color w:val="auto"/>
                <w:w w:val="97"/>
              </w:rPr>
              <w:t>42.72%</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NA</w:t>
            </w:r>
          </w:p>
        </w:tc>
      </w:tr>
      <w:tr>
        <w:trPr>
          <w:trHeight w:val="221"/>
        </w:trPr>
        <w:tc>
          <w:tcPr>
            <w:tcW w:w="3820" w:type="dxa"/>
            <w:vAlign w:val="bottom"/>
          </w:tcPr>
          <w:p>
            <w:pPr>
              <w:spacing w:after="0"/>
              <w:rPr>
                <w:sz w:val="20"/>
                <w:szCs w:val="20"/>
                <w:color w:val="auto"/>
              </w:rPr>
            </w:pPr>
            <w:r>
              <w:rPr>
                <w:rFonts w:ascii="Arial" w:cs="Arial" w:eastAsia="Arial" w:hAnsi="Arial"/>
                <w:sz w:val="17"/>
                <w:szCs w:val="17"/>
                <w:color w:val="auto"/>
              </w:rPr>
              <w:t>September 1, 2018 (Note vi)</w:t>
            </w:r>
          </w:p>
        </w:tc>
        <w:tc>
          <w:tcPr>
            <w:tcW w:w="2840" w:type="dxa"/>
            <w:vAlign w:val="bottom"/>
          </w:tcPr>
          <w:p>
            <w:pPr>
              <w:jc w:val="right"/>
              <w:ind w:right="173"/>
              <w:spacing w:after="0"/>
              <w:rPr>
                <w:sz w:val="20"/>
                <w:szCs w:val="20"/>
                <w:color w:val="auto"/>
              </w:rPr>
            </w:pPr>
            <w:r>
              <w:rPr>
                <w:rFonts w:ascii="Arial" w:cs="Arial" w:eastAsia="Arial" w:hAnsi="Arial"/>
                <w:sz w:val="17"/>
                <w:szCs w:val="17"/>
                <w:color w:val="auto"/>
              </w:rPr>
              <w:t>2.92%</w:t>
            </w:r>
          </w:p>
        </w:tc>
        <w:tc>
          <w:tcPr>
            <w:tcW w:w="1320" w:type="dxa"/>
            <w:vAlign w:val="bottom"/>
          </w:tcPr>
          <w:p>
            <w:pPr>
              <w:jc w:val="right"/>
              <w:ind w:right="173"/>
              <w:spacing w:after="0"/>
              <w:rPr>
                <w:sz w:val="20"/>
                <w:szCs w:val="20"/>
                <w:color w:val="auto"/>
              </w:rPr>
            </w:pPr>
            <w:r>
              <w:rPr>
                <w:rFonts w:ascii="Arial" w:cs="Arial" w:eastAsia="Arial" w:hAnsi="Arial"/>
                <w:sz w:val="17"/>
                <w:szCs w:val="17"/>
                <w:color w:val="auto"/>
              </w:rPr>
              <w:t>0%</w:t>
            </w:r>
          </w:p>
        </w:tc>
        <w:tc>
          <w:tcPr>
            <w:tcW w:w="1200" w:type="dxa"/>
            <w:vAlign w:val="bottom"/>
          </w:tcPr>
          <w:p>
            <w:pPr>
              <w:jc w:val="center"/>
              <w:ind w:left="273"/>
              <w:spacing w:after="0"/>
              <w:rPr>
                <w:sz w:val="20"/>
                <w:szCs w:val="20"/>
                <w:color w:val="auto"/>
              </w:rPr>
            </w:pPr>
            <w:r>
              <w:rPr>
                <w:rFonts w:ascii="Arial" w:cs="Arial" w:eastAsia="Arial" w:hAnsi="Arial"/>
                <w:sz w:val="17"/>
                <w:szCs w:val="17"/>
                <w:color w:val="auto"/>
                <w:w w:val="97"/>
              </w:rPr>
              <w:t>44.65%</w:t>
            </w:r>
          </w:p>
        </w:tc>
        <w:tc>
          <w:tcPr>
            <w:tcW w:w="114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Notes:</w:t>
      </w:r>
    </w:p>
    <w:p>
      <w:pPr>
        <w:spacing w:after="0" w:line="156" w:lineRule="exact"/>
        <w:rPr>
          <w:sz w:val="20"/>
          <w:szCs w:val="20"/>
          <w:color w:val="auto"/>
        </w:rPr>
      </w:pPr>
    </w:p>
    <w:p>
      <w:pPr>
        <w:ind w:left="1660" w:hanging="823"/>
        <w:spacing w:after="0" w:line="254" w:lineRule="auto"/>
        <w:tabs>
          <w:tab w:leader="none" w:pos="1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risk-free interest rate of periods within the contractual life of the share option is based on the yield of US Treasury Strips sourced from Bloomberg as of the valuation dates.</w:t>
      </w:r>
    </w:p>
    <w:p>
      <w:pPr>
        <w:spacing w:after="0" w:line="119" w:lineRule="exact"/>
        <w:rPr>
          <w:rFonts w:ascii="Arial" w:cs="Arial" w:eastAsia="Arial" w:hAnsi="Arial"/>
          <w:sz w:val="17"/>
          <w:szCs w:val="17"/>
          <w:color w:val="auto"/>
        </w:rPr>
      </w:pPr>
    </w:p>
    <w:p>
      <w:pPr>
        <w:ind w:left="1660" w:hanging="823"/>
        <w:spacing w:after="0"/>
        <w:tabs>
          <w:tab w:leader="none" w:pos="1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Company has no history or expectation of paying dividends on its ordinary shares.</w:t>
      </w:r>
    </w:p>
    <w:p>
      <w:pPr>
        <w:spacing w:after="0" w:line="155" w:lineRule="exact"/>
        <w:rPr>
          <w:rFonts w:ascii="Arial" w:cs="Arial" w:eastAsia="Arial" w:hAnsi="Arial"/>
          <w:sz w:val="17"/>
          <w:szCs w:val="17"/>
          <w:color w:val="auto"/>
        </w:rPr>
      </w:pPr>
    </w:p>
    <w:p>
      <w:pPr>
        <w:ind w:left="1660" w:hanging="823"/>
        <w:spacing w:after="0" w:line="254" w:lineRule="auto"/>
        <w:tabs>
          <w:tab w:leader="none" w:pos="1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Expected volatility is estimated based on the average of historical volatilities of the comparable companies in the same industry as of the valuation dates.</w:t>
      </w:r>
    </w:p>
    <w:p>
      <w:pPr>
        <w:spacing w:after="0" w:line="119" w:lineRule="exact"/>
        <w:rPr>
          <w:rFonts w:ascii="Arial" w:cs="Arial" w:eastAsia="Arial" w:hAnsi="Arial"/>
          <w:sz w:val="17"/>
          <w:szCs w:val="17"/>
          <w:color w:val="auto"/>
        </w:rPr>
      </w:pPr>
    </w:p>
    <w:p>
      <w:pPr>
        <w:jc w:val="both"/>
        <w:ind w:left="1660" w:hanging="823"/>
        <w:spacing w:after="0" w:line="239" w:lineRule="auto"/>
        <w:tabs>
          <w:tab w:leader="none" w:pos="1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131" w:lineRule="exact"/>
        <w:rPr>
          <w:rFonts w:ascii="Arial" w:cs="Arial" w:eastAsia="Arial" w:hAnsi="Arial"/>
          <w:sz w:val="17"/>
          <w:szCs w:val="17"/>
          <w:color w:val="auto"/>
        </w:rPr>
      </w:pPr>
    </w:p>
    <w:p>
      <w:pPr>
        <w:ind w:left="1660" w:hanging="823"/>
        <w:spacing w:after="0"/>
        <w:tabs>
          <w:tab w:leader="none" w:pos="1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It refers to the modification of options previously granted on January 1, 2015.</w:t>
      </w:r>
    </w:p>
    <w:p>
      <w:pPr>
        <w:spacing w:after="0" w:line="155" w:lineRule="exact"/>
        <w:rPr>
          <w:rFonts w:ascii="Arial" w:cs="Arial" w:eastAsia="Arial" w:hAnsi="Arial"/>
          <w:sz w:val="17"/>
          <w:szCs w:val="17"/>
          <w:color w:val="auto"/>
        </w:rPr>
      </w:pPr>
    </w:p>
    <w:p>
      <w:pPr>
        <w:ind w:left="1660" w:hanging="823"/>
        <w:spacing w:after="0"/>
        <w:tabs>
          <w:tab w:leader="none" w:pos="16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It refers to the modification of options previously granted on January 1, 2017.</w:t>
      </w:r>
    </w:p>
    <w:p>
      <w:pPr>
        <w:spacing w:after="0" w:line="207" w:lineRule="exact"/>
        <w:rPr>
          <w:rFonts w:ascii="Arial" w:cs="Arial" w:eastAsia="Arial" w:hAnsi="Arial"/>
          <w:sz w:val="17"/>
          <w:szCs w:val="17"/>
          <w:color w:val="auto"/>
        </w:rPr>
      </w:pPr>
    </w:p>
    <w:p>
      <w:pPr>
        <w:ind w:left="5540" w:hanging="104"/>
        <w:spacing w:after="0"/>
        <w:tabs>
          <w:tab w:leader="none" w:pos="554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7"/>
          <w:szCs w:val="17"/>
          <w:b w:val="1"/>
          <w:bCs w:val="1"/>
          <w:color w:val="auto"/>
        </w:rPr>
        <w:t>Share-based compensation (Continued)</w:t>
      </w:r>
    </w:p>
    <w:p>
      <w:pPr>
        <w:spacing w:after="0" w:line="188" w:lineRule="exact"/>
        <w:rPr>
          <w:sz w:val="20"/>
          <w:szCs w:val="20"/>
          <w:color w:val="auto"/>
        </w:rPr>
      </w:pPr>
    </w:p>
    <w:p>
      <w:pPr>
        <w:ind w:left="840" w:hanging="836"/>
        <w:spacing w:after="0"/>
        <w:tabs>
          <w:tab w:leader="none" w:pos="8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Post-IPO share incentive plan</w:t>
      </w:r>
    </w:p>
    <w:p>
      <w:pPr>
        <w:spacing w:after="0" w:line="181" w:lineRule="exact"/>
        <w:rPr>
          <w:rFonts w:ascii="Arial" w:cs="Arial" w:eastAsia="Arial" w:hAnsi="Arial"/>
          <w:sz w:val="17"/>
          <w:szCs w:val="17"/>
          <w:color w:val="auto"/>
        </w:rPr>
      </w:pPr>
    </w:p>
    <w:p>
      <w:pPr>
        <w:jc w:val="both"/>
        <w:ind w:left="840"/>
        <w:spacing w:after="0" w:line="295" w:lineRule="auto"/>
        <w:rPr>
          <w:rFonts w:ascii="Arial" w:cs="Arial" w:eastAsia="Arial" w:hAnsi="Arial"/>
          <w:sz w:val="17"/>
          <w:szCs w:val="17"/>
          <w:color w:val="auto"/>
        </w:rPr>
      </w:pPr>
      <w:r>
        <w:rPr>
          <w:rFonts w:ascii="Arial" w:cs="Arial" w:eastAsia="Arial" w:hAnsi="Arial"/>
          <w:sz w:val="16"/>
          <w:szCs w:val="16"/>
          <w:color w:val="auto"/>
        </w:rPr>
        <w:t>The Company’s post-IPO share incentive plan provides for the grant of incentive share options and RSUs to the Company’s employees, officers, directors or consultants. The Company’s board of directors administers the post-IPO share incentive plan, selects the individuals to whom options and RSUs will be granted, determines the number of options and RSUs to be granted, and the term and exercise price of each option and RSU.</w:t>
      </w:r>
    </w:p>
    <w:p>
      <w:pPr>
        <w:spacing w:after="0" w:line="128" w:lineRule="exact"/>
        <w:rPr>
          <w:rFonts w:ascii="Arial" w:cs="Arial" w:eastAsia="Arial" w:hAnsi="Arial"/>
          <w:sz w:val="17"/>
          <w:szCs w:val="17"/>
          <w:color w:val="auto"/>
        </w:rPr>
      </w:pPr>
    </w:p>
    <w:p>
      <w:pPr>
        <w:jc w:val="both"/>
        <w:ind w:left="840"/>
        <w:spacing w:after="0" w:line="270" w:lineRule="auto"/>
        <w:rPr>
          <w:rFonts w:ascii="Arial" w:cs="Arial" w:eastAsia="Arial" w:hAnsi="Arial"/>
          <w:sz w:val="17"/>
          <w:szCs w:val="17"/>
          <w:color w:val="auto"/>
        </w:rPr>
      </w:pPr>
      <w:r>
        <w:rPr>
          <w:rFonts w:ascii="Arial" w:cs="Arial" w:eastAsia="Arial" w:hAnsi="Arial"/>
          <w:sz w:val="17"/>
          <w:szCs w:val="17"/>
          <w:color w:val="auto"/>
        </w:rPr>
        <w:t>During the years ended December 31, 2018 and 2019, the Company granted RSUs to non-employees, employees, officers and directors of the Group. There were no RSUs granted during the year ended December 31, 2017. The table below sets forth information regarding RSUs granted during the years ended December 31, 2018 and 2019:</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4920" w:type="dxa"/>
            <w:vAlign w:val="bottom"/>
          </w:tcPr>
          <w:p>
            <w:pPr>
              <w:spacing w:after="0"/>
              <w:rPr>
                <w:sz w:val="18"/>
                <w:szCs w:val="18"/>
                <w:color w:val="auto"/>
              </w:rPr>
            </w:pP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Number of</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Vesting period</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Grant Date</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RSUs</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(year)</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September 1, 2018 (Note i)</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514,991</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0.01</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September 17, 2018 (Note i)</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53,686</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0.03</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September 17, 2018 (Note vi)</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23,452</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0.29</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October 25, 2018 (Note i)</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100,000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0.02</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October 25, 2018 (Note vi)</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5,000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0.18</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October 29, 2018 (Note vi)</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431,760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0.01</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October 25, 2018 (Note vi)</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138,855</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0.00</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October 25, 2018 (Note iii)</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105,000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3.19</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October 25, 2018 (Note iii)</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37,500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2.19</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October 25, 2018 (Note v)</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75,000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July 1, 2018 (Note iv)</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22,000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3.50</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July 1, 2018 (Note iv)</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118,020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4.00</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October 1, 2018 (Note iv)</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1,800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4.00</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July 1, 2018 (Note vii)</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260,810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0.49</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July 1, 2018 (Note vii)</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12,500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0.54</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December 14, 2018 (Note iii)</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50,000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2.00</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January 1, 2019 (Note iv)</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15,000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3.58</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January 1, 2019 (Note iv)</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55,050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3.58</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January 3, 2019 (Note iv)</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6,000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3.99</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January 3, 2019 (Note iv)</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4,000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3.99</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April 1, 2019 (Note iv)</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22,540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4.00</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April 1, 2019 (Note iv)</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27,260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4.00</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April 1, 2019 (Note iv)</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34,540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4.00</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April 1, 2019 (Note iv)</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33,290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4.00</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July 1, 2019 (Note iv)</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1,800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4.00</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July 1, 2019 (Note iii)</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45,000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3.00</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July 1, 2019 (Note iii)</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6,000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3.00</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October 1, 2019 (Note iv)</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4,000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4.00</w:t>
            </w: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December 1, 2019 (Note iii)</w:t>
            </w:r>
          </w:p>
        </w:tc>
        <w:tc>
          <w:tcPr>
            <w:tcW w:w="3940" w:type="dxa"/>
            <w:vAlign w:val="bottom"/>
            <w:shd w:val="clear" w:color="auto" w:fill="CFF0FC"/>
          </w:tcPr>
          <w:p>
            <w:pPr>
              <w:jc w:val="right"/>
              <w:ind w:right="253"/>
              <w:spacing w:after="0"/>
              <w:rPr>
                <w:sz w:val="20"/>
                <w:szCs w:val="20"/>
                <w:color w:val="auto"/>
              </w:rPr>
            </w:pPr>
            <w:r>
              <w:rPr>
                <w:rFonts w:ascii="Arial" w:cs="Arial" w:eastAsia="Arial" w:hAnsi="Arial"/>
                <w:sz w:val="17"/>
                <w:szCs w:val="17"/>
                <w:color w:val="auto"/>
              </w:rPr>
              <w:t>10,000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2.00</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December 1, 2019 (Note viii)</w:t>
            </w:r>
          </w:p>
        </w:tc>
        <w:tc>
          <w:tcPr>
            <w:tcW w:w="3940" w:type="dxa"/>
            <w:vAlign w:val="bottom"/>
          </w:tcPr>
          <w:p>
            <w:pPr>
              <w:jc w:val="right"/>
              <w:ind w:right="253"/>
              <w:spacing w:after="0"/>
              <w:rPr>
                <w:sz w:val="20"/>
                <w:szCs w:val="20"/>
                <w:color w:val="auto"/>
              </w:rPr>
            </w:pPr>
            <w:r>
              <w:rPr>
                <w:rFonts w:ascii="Arial" w:cs="Arial" w:eastAsia="Arial" w:hAnsi="Arial"/>
                <w:sz w:val="17"/>
                <w:szCs w:val="17"/>
                <w:color w:val="auto"/>
              </w:rPr>
              <w:t>15,000</w:t>
            </w:r>
          </w:p>
        </w:tc>
        <w:tc>
          <w:tcPr>
            <w:tcW w:w="1460" w:type="dxa"/>
            <w:vAlign w:val="bottom"/>
          </w:tcPr>
          <w:p>
            <w:pPr>
              <w:jc w:val="right"/>
              <w:ind w:right="33"/>
              <w:spacing w:after="0"/>
              <w:rPr>
                <w:sz w:val="20"/>
                <w:szCs w:val="20"/>
                <w:color w:val="auto"/>
              </w:rPr>
            </w:pPr>
            <w:r>
              <w:rPr>
                <w:rFonts w:ascii="Arial" w:cs="Arial" w:eastAsia="Arial" w:hAnsi="Arial"/>
                <w:sz w:val="17"/>
                <w:szCs w:val="17"/>
                <w:color w:val="auto"/>
              </w:rPr>
              <w:t>1.00</w:t>
            </w:r>
          </w:p>
        </w:tc>
      </w:tr>
    </w:tbl>
    <w:p>
      <w:pPr>
        <w:spacing w:after="0" w:line="19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Notes:</w:t>
      </w:r>
    </w:p>
    <w:p>
      <w:pPr>
        <w:spacing w:after="0" w:line="182" w:lineRule="exact"/>
        <w:rPr>
          <w:sz w:val="20"/>
          <w:szCs w:val="20"/>
          <w:color w:val="auto"/>
        </w:rPr>
      </w:pPr>
    </w:p>
    <w:p>
      <w:pPr>
        <w:ind w:left="1660" w:hanging="823"/>
        <w:spacing w:after="0"/>
        <w:tabs>
          <w:tab w:leader="none" w:pos="16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These RSUs were granted to non-employees for their past services and immediately vested on grant date.</w:t>
      </w:r>
    </w:p>
    <w:p>
      <w:pPr>
        <w:spacing w:after="0" w:line="220" w:lineRule="exact"/>
        <w:rPr>
          <w:rFonts w:ascii="Arial" w:cs="Arial" w:eastAsia="Arial" w:hAnsi="Arial"/>
          <w:sz w:val="17"/>
          <w:szCs w:val="17"/>
          <w:color w:val="auto"/>
        </w:rPr>
      </w:pPr>
    </w:p>
    <w:p>
      <w:pPr>
        <w:ind w:left="5540" w:hanging="104"/>
        <w:spacing w:after="0"/>
        <w:tabs>
          <w:tab w:leader="none" w:pos="554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7"/>
          <w:szCs w:val="17"/>
          <w:b w:val="1"/>
          <w:bCs w:val="1"/>
          <w:color w:val="auto"/>
        </w:rPr>
        <w:t>Share-based compensation (Continued)</w:t>
      </w:r>
    </w:p>
    <w:p>
      <w:pPr>
        <w:spacing w:after="0" w:line="188" w:lineRule="exact"/>
        <w:rPr>
          <w:sz w:val="20"/>
          <w:szCs w:val="20"/>
          <w:color w:val="auto"/>
        </w:rPr>
      </w:pPr>
    </w:p>
    <w:p>
      <w:pPr>
        <w:ind w:left="960" w:right="7460" w:hanging="956"/>
        <w:spacing w:after="0" w:line="471" w:lineRule="auto"/>
        <w:tabs>
          <w:tab w:leader="none" w:pos="837" w:val="left"/>
        </w:tabs>
        <w:numPr>
          <w:ilvl w:val="0"/>
          <w:numId w:val="228"/>
        </w:numPr>
        <w:rPr>
          <w:rFonts w:ascii="Arial" w:cs="Arial" w:eastAsia="Arial" w:hAnsi="Arial"/>
          <w:sz w:val="17"/>
          <w:szCs w:val="17"/>
          <w:color w:val="auto"/>
        </w:rPr>
      </w:pPr>
      <w:r>
        <w:rPr>
          <w:rFonts w:ascii="Arial" w:cs="Arial" w:eastAsia="Arial" w:hAnsi="Arial"/>
          <w:sz w:val="17"/>
          <w:szCs w:val="17"/>
          <w:color w:val="auto"/>
        </w:rPr>
        <w:t>Post-IPO share incentive plan (Continued) Notes: (Continued)</w:t>
      </w:r>
    </w:p>
    <w:p>
      <w:pPr>
        <w:ind w:left="1660" w:hanging="823"/>
        <w:spacing w:after="0"/>
        <w:tabs>
          <w:tab w:leader="none" w:pos="166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These RSUs were granted to employees for their past services and immediately vested on the grant date.</w:t>
      </w:r>
    </w:p>
    <w:p>
      <w:pPr>
        <w:spacing w:after="0" w:line="181" w:lineRule="exact"/>
        <w:rPr>
          <w:rFonts w:ascii="Arial" w:cs="Arial" w:eastAsia="Arial" w:hAnsi="Arial"/>
          <w:sz w:val="17"/>
          <w:szCs w:val="17"/>
          <w:color w:val="auto"/>
        </w:rPr>
      </w:pPr>
    </w:p>
    <w:p>
      <w:pPr>
        <w:ind w:left="1660" w:hanging="823"/>
        <w:spacing w:after="0"/>
        <w:tabs>
          <w:tab w:leader="none" w:pos="166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These RSUs were scheduled to be vested over two to three years on a monthly basis.</w:t>
      </w:r>
    </w:p>
    <w:p>
      <w:pPr>
        <w:spacing w:after="0" w:line="181" w:lineRule="exact"/>
        <w:rPr>
          <w:rFonts w:ascii="Arial" w:cs="Arial" w:eastAsia="Arial" w:hAnsi="Arial"/>
          <w:sz w:val="17"/>
          <w:szCs w:val="17"/>
          <w:color w:val="auto"/>
        </w:rPr>
      </w:pPr>
    </w:p>
    <w:p>
      <w:pPr>
        <w:jc w:val="both"/>
        <w:ind w:left="1660" w:hanging="823"/>
        <w:spacing w:after="0" w:line="270" w:lineRule="auto"/>
        <w:tabs>
          <w:tab w:leader="none" w:pos="166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These RSUs were scheduled to be vested over four years. One-fourth of the awards shall be vested upon the end of the first semi-anniversary dates of the grants or the first anniversary dates of the grants, and the remaining of the awards shall be vested on straight-line basis at the end of the remaining anniversary years.</w:t>
      </w:r>
    </w:p>
    <w:p>
      <w:pPr>
        <w:spacing w:after="0" w:line="133" w:lineRule="exact"/>
        <w:rPr>
          <w:rFonts w:ascii="Arial" w:cs="Arial" w:eastAsia="Arial" w:hAnsi="Arial"/>
          <w:sz w:val="17"/>
          <w:szCs w:val="17"/>
          <w:color w:val="auto"/>
        </w:rPr>
      </w:pPr>
    </w:p>
    <w:p>
      <w:pPr>
        <w:jc w:val="both"/>
        <w:ind w:left="1660" w:hanging="823"/>
        <w:spacing w:after="0" w:line="258" w:lineRule="auto"/>
        <w:tabs>
          <w:tab w:leader="none" w:pos="166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On October 25, 2018, the Company authorized and communicated the issuance of RSUs to an officer of the Company which are subject to certain market conditions based on achievement of average closing stock prices. The Company determines the grant-date fair value of these RSUs using the Monte Carlo simulation model utilizes multiple input variables to determine the stock-based compensation expense. The fair value of each of these RSUs was US$5, as determined using a Monte Carlo simulation with the following assumptions: a historical volatility of 37.02%, 0% dividend yield and a risk-free interest rate of 2.90%. The historical volatility was based on the average volatility of the comparable companies for the most recent 2-year period. The stock price projection for the Company assumes a 0% 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 None of these RSUs were forfeited or expired during the years ended December 31, 2018 and 2019.</w:t>
      </w:r>
    </w:p>
    <w:p>
      <w:pPr>
        <w:spacing w:after="0" w:line="149" w:lineRule="exact"/>
        <w:rPr>
          <w:rFonts w:ascii="Arial" w:cs="Arial" w:eastAsia="Arial" w:hAnsi="Arial"/>
          <w:sz w:val="17"/>
          <w:szCs w:val="17"/>
          <w:color w:val="auto"/>
        </w:rPr>
      </w:pPr>
    </w:p>
    <w:p>
      <w:pPr>
        <w:ind w:left="1660" w:hanging="823"/>
        <w:spacing w:after="0"/>
        <w:tabs>
          <w:tab w:leader="none" w:pos="166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These RSUs were granted to non-employees and vested within one year.</w:t>
      </w:r>
    </w:p>
    <w:p>
      <w:pPr>
        <w:spacing w:after="0" w:line="181" w:lineRule="exact"/>
        <w:rPr>
          <w:rFonts w:ascii="Arial" w:cs="Arial" w:eastAsia="Arial" w:hAnsi="Arial"/>
          <w:sz w:val="17"/>
          <w:szCs w:val="17"/>
          <w:color w:val="auto"/>
        </w:rPr>
      </w:pPr>
    </w:p>
    <w:p>
      <w:pPr>
        <w:ind w:left="1660" w:hanging="823"/>
        <w:spacing w:after="0"/>
        <w:tabs>
          <w:tab w:leader="none" w:pos="166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These RSUs were granted to employees and vested within one year.</w:t>
      </w:r>
    </w:p>
    <w:p>
      <w:pPr>
        <w:spacing w:after="0" w:line="181" w:lineRule="exact"/>
        <w:rPr>
          <w:rFonts w:ascii="Arial" w:cs="Arial" w:eastAsia="Arial" w:hAnsi="Arial"/>
          <w:sz w:val="17"/>
          <w:szCs w:val="17"/>
          <w:color w:val="auto"/>
        </w:rPr>
      </w:pPr>
    </w:p>
    <w:p>
      <w:pPr>
        <w:jc w:val="both"/>
        <w:ind w:left="1660" w:hanging="823"/>
        <w:spacing w:after="0" w:line="297" w:lineRule="auto"/>
        <w:tabs>
          <w:tab w:leader="none" w:pos="166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On December 1, 2019, the Company authorized and communicated the issuance of RSUs to an external consultant which are subject to certain market conditions based on achievement of 20-day VWAP of the ADSs. The Company determines the grant-date fair value of these RSUs using the Monte Carlo simulation model utilizes multiple input variables to determine the stock-based compensation expense. The fair value of each of these RSUs was US$1.3, as determined using a Monte Carlo simulation with the following assumptions: a historical volatility of 50.17%, 0% dividend yield and a risk-free interest rate of 1.72%. The historical volatility was based on the average volatility of the comparable companies for the most recent 1-year period. The stock price projection for the Company assumes a 0% 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 None of these RSUs were forfeited or expired during the year ended December 31, 2019.</w:t>
      </w:r>
    </w:p>
    <w:p>
      <w:pPr>
        <w:spacing w:after="0" w:line="147" w:lineRule="exact"/>
        <w:rPr>
          <w:rFonts w:ascii="Arial" w:cs="Arial" w:eastAsia="Arial" w:hAnsi="Arial"/>
          <w:sz w:val="15"/>
          <w:szCs w:val="15"/>
          <w:color w:val="auto"/>
        </w:rPr>
      </w:pPr>
    </w:p>
    <w:p>
      <w:pPr>
        <w:ind w:left="5540" w:hanging="104"/>
        <w:spacing w:after="0"/>
        <w:tabs>
          <w:tab w:leader="none" w:pos="5540" w:val="left"/>
        </w:tabs>
        <w:numPr>
          <w:ilvl w:val="2"/>
          <w:numId w:val="228"/>
        </w:numPr>
        <w:rPr>
          <w:rFonts w:ascii="Arial" w:cs="Arial" w:eastAsia="Arial" w:hAnsi="Arial"/>
          <w:sz w:val="17"/>
          <w:szCs w:val="17"/>
          <w:color w:val="auto"/>
        </w:rPr>
      </w:pPr>
      <w:r>
        <w:rPr>
          <w:rFonts w:ascii="Arial" w:cs="Arial" w:eastAsia="Arial" w:hAnsi="Arial"/>
          <w:sz w:val="17"/>
          <w:szCs w:val="17"/>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7"/>
          <w:szCs w:val="17"/>
          <w:b w:val="1"/>
          <w:bCs w:val="1"/>
          <w:color w:val="auto"/>
        </w:rPr>
        <w:t>Share-based compensation (Continued)</w:t>
      </w:r>
    </w:p>
    <w:p>
      <w:pPr>
        <w:spacing w:after="0" w:line="214" w:lineRule="exact"/>
        <w:rPr>
          <w:sz w:val="20"/>
          <w:szCs w:val="20"/>
          <w:color w:val="auto"/>
        </w:rPr>
      </w:pPr>
    </w:p>
    <w:p>
      <w:pPr>
        <w:ind w:left="840" w:hanging="836"/>
        <w:spacing w:after="0"/>
        <w:tabs>
          <w:tab w:leader="none" w:pos="8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Post-IPO share incentive plan (Continued)</w:t>
      </w:r>
    </w:p>
    <w:p>
      <w:pPr>
        <w:spacing w:after="0" w:line="207"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7"/>
          <w:szCs w:val="17"/>
          <w:color w:val="auto"/>
        </w:rPr>
        <w:t>The following table summarizes the activity of the service-based RSUs for the years ended December 31, 2018 and 2019:</w:t>
      </w: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7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Weighted</w:t>
            </w:r>
          </w:p>
        </w:tc>
        <w:tc>
          <w:tcPr>
            <w:tcW w:w="0" w:type="dxa"/>
            <w:vAlign w:val="bottom"/>
          </w:tcPr>
          <w:p>
            <w:pPr>
              <w:spacing w:after="0"/>
              <w:rPr>
                <w:sz w:val="1"/>
                <w:szCs w:val="1"/>
                <w:color w:val="auto"/>
              </w:rPr>
            </w:pPr>
          </w:p>
        </w:tc>
      </w:tr>
      <w:tr>
        <w:trPr>
          <w:trHeight w:val="208"/>
        </w:trPr>
        <w:tc>
          <w:tcPr>
            <w:tcW w:w="7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average</w:t>
            </w:r>
          </w:p>
        </w:tc>
        <w:tc>
          <w:tcPr>
            <w:tcW w:w="0" w:type="dxa"/>
            <w:vAlign w:val="bottom"/>
          </w:tcPr>
          <w:p>
            <w:pPr>
              <w:spacing w:after="0"/>
              <w:rPr>
                <w:sz w:val="1"/>
                <w:szCs w:val="1"/>
                <w:color w:val="auto"/>
              </w:rPr>
            </w:pPr>
          </w:p>
        </w:tc>
      </w:tr>
      <w:tr>
        <w:trPr>
          <w:trHeight w:val="208"/>
        </w:trPr>
        <w:tc>
          <w:tcPr>
            <w:tcW w:w="7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Number of</w:t>
            </w: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grant date</w:t>
            </w:r>
          </w:p>
        </w:tc>
        <w:tc>
          <w:tcPr>
            <w:tcW w:w="0" w:type="dxa"/>
            <w:vAlign w:val="bottom"/>
          </w:tcPr>
          <w:p>
            <w:pPr>
              <w:spacing w:after="0"/>
              <w:rPr>
                <w:sz w:val="1"/>
                <w:szCs w:val="1"/>
                <w:color w:val="auto"/>
              </w:rPr>
            </w:pPr>
          </w:p>
        </w:tc>
      </w:tr>
      <w:tr>
        <w:trPr>
          <w:trHeight w:val="221"/>
        </w:trPr>
        <w:tc>
          <w:tcPr>
            <w:tcW w:w="712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7"/>
                <w:szCs w:val="17"/>
                <w:color w:val="auto"/>
              </w:rPr>
              <w:t>RSUs</w:t>
            </w:r>
          </w:p>
        </w:tc>
        <w:tc>
          <w:tcPr>
            <w:tcW w:w="1540" w:type="dxa"/>
            <w:vAlign w:val="bottom"/>
            <w:gridSpan w:val="2"/>
          </w:tcPr>
          <w:p>
            <w:pPr>
              <w:jc w:val="right"/>
              <w:ind w:right="12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At January 1, 2018</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1,950,374</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(1,569,792)</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Forfeited</w:t>
            </w: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(4,310)</w:t>
            </w:r>
          </w:p>
        </w:tc>
        <w:tc>
          <w:tcPr>
            <w:tcW w:w="1440" w:type="dxa"/>
            <w:vAlign w:val="bottom"/>
          </w:tcPr>
          <w:p>
            <w:pPr>
              <w:jc w:val="right"/>
              <w:spacing w:after="0"/>
              <w:rPr>
                <w:sz w:val="20"/>
                <w:szCs w:val="20"/>
                <w:color w:val="auto"/>
              </w:rPr>
            </w:pPr>
            <w:r>
              <w:rPr>
                <w:rFonts w:ascii="Arial" w:cs="Arial" w:eastAsia="Arial" w:hAnsi="Arial"/>
                <w:sz w:val="17"/>
                <w:szCs w:val="17"/>
                <w:color w:val="auto"/>
              </w:rPr>
              <w:t>12.70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At December 31, 2018</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376,272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7"/>
                <w:szCs w:val="17"/>
                <w:color w:val="auto"/>
              </w:rPr>
              <w:t>Vested and expected to vest at December 31, 2018</w:t>
            </w: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120" w:type="dxa"/>
            <w:vAlign w:val="bottom"/>
            <w:tcBorders>
              <w:bottom w:val="single" w:sz="8" w:color="CFF0FC"/>
            </w:tcBorders>
            <w:vMerge w:val="continue"/>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376,272</w:t>
            </w:r>
          </w:p>
        </w:tc>
        <w:tc>
          <w:tcPr>
            <w:tcW w:w="2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At January 1, 2019</w:t>
            </w:r>
          </w:p>
        </w:tc>
        <w:tc>
          <w:tcPr>
            <w:tcW w:w="1420" w:type="dxa"/>
            <w:vAlign w:val="bottom"/>
          </w:tcPr>
          <w:p>
            <w:pPr>
              <w:jc w:val="right"/>
              <w:spacing w:after="0"/>
              <w:rPr>
                <w:sz w:val="20"/>
                <w:szCs w:val="20"/>
                <w:color w:val="auto"/>
              </w:rPr>
            </w:pPr>
            <w:r>
              <w:rPr>
                <w:rFonts w:ascii="Arial" w:cs="Arial" w:eastAsia="Arial" w:hAnsi="Arial"/>
                <w:sz w:val="17"/>
                <w:szCs w:val="17"/>
                <w:color w:val="auto"/>
              </w:rPr>
              <w:t>376,272</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Granted</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279,480</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Vested</w:t>
            </w: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(167,833)</w:t>
            </w:r>
          </w:p>
        </w:tc>
        <w:tc>
          <w:tcPr>
            <w:tcW w:w="1440" w:type="dxa"/>
            <w:vAlign w:val="bottom"/>
          </w:tcPr>
          <w:p>
            <w:pPr>
              <w:jc w:val="right"/>
              <w:spacing w:after="0"/>
              <w:rPr>
                <w:sz w:val="20"/>
                <w:szCs w:val="20"/>
                <w:color w:val="auto"/>
              </w:rPr>
            </w:pPr>
            <w:r>
              <w:rPr>
                <w:rFonts w:ascii="Arial" w:cs="Arial" w:eastAsia="Arial" w:hAnsi="Arial"/>
                <w:sz w:val="17"/>
                <w:szCs w:val="17"/>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Forfeited</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(24,373)</w:t>
            </w: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At December 31, 2019</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463,546</w:t>
            </w:r>
          </w:p>
        </w:tc>
        <w:tc>
          <w:tcPr>
            <w:tcW w:w="240" w:type="dxa"/>
            <w:vAlign w:val="bottom"/>
            <w:tcBorders>
              <w:bottom w:val="single" w:sz="8" w:color="CFF0FC"/>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Vested and expected to vest at December 31, 2019</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377,507</w:t>
            </w:r>
          </w:p>
        </w:tc>
        <w:tc>
          <w:tcPr>
            <w:tcW w:w="2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Forfeitures are estimated at the time of grant. If necessary, forfeitures are revised in subsequent periods if actual forfeitures differ from those estimates. Based upon the Company’s expected forfeitures for RSUs granted, the directors of the Company estimated that its future forfeiture rate would be 1% for employees and 0% for non-employees in 2018 and 2019, respectively.</w:t>
      </w:r>
    </w:p>
    <w:p>
      <w:pPr>
        <w:spacing w:after="0" w:line="134"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All share-based payments to employees are measured based on their grant-date fair values. Compensation expense is recognized based on the vesting schedule over the requisite service period. Total fair values and intrinsic value of RSUs vested and recognized as expenses as of December 31, 2018 and 2019 were US$14,330 and US$1,331 respectively.</w:t>
      </w:r>
    </w:p>
    <w:p>
      <w:pPr>
        <w:spacing w:after="0" w:line="147" w:lineRule="exact"/>
        <w:rPr>
          <w:sz w:val="20"/>
          <w:szCs w:val="20"/>
          <w:color w:val="auto"/>
        </w:rPr>
      </w:pPr>
    </w:p>
    <w:p>
      <w:pPr>
        <w:ind w:left="840" w:hanging="836"/>
        <w:spacing w:after="0"/>
        <w:tabs>
          <w:tab w:leader="none" w:pos="8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Issuance of shares to certain employees with performance conditions</w:t>
      </w:r>
    </w:p>
    <w:p>
      <w:pPr>
        <w:spacing w:after="0" w:line="181" w:lineRule="exact"/>
        <w:rPr>
          <w:rFonts w:ascii="Arial" w:cs="Arial" w:eastAsia="Arial" w:hAnsi="Arial"/>
          <w:sz w:val="17"/>
          <w:szCs w:val="17"/>
          <w:color w:val="auto"/>
        </w:rPr>
      </w:pPr>
    </w:p>
    <w:p>
      <w:pPr>
        <w:jc w:val="both"/>
        <w:ind w:left="840"/>
        <w:spacing w:after="0" w:line="259" w:lineRule="auto"/>
        <w:rPr>
          <w:rFonts w:ascii="Arial" w:cs="Arial" w:eastAsia="Arial" w:hAnsi="Arial"/>
          <w:sz w:val="17"/>
          <w:szCs w:val="17"/>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(mainly financial performance related) for the fiscal years of 2017 and 2018, respectively and these employees have to be remained employed by the Company. Considering the performance conditions were not achieved during the years ended December 31, 2017 and 2018, no share-based compensation expense was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ranging from 3.0% to 19.0%. All these restricted ordinary shares were forfeited and expired as of December 31, 2019.</w:t>
      </w:r>
    </w:p>
    <w:p>
      <w:pPr>
        <w:spacing w:after="0" w:line="185" w:lineRule="exact"/>
        <w:rPr>
          <w:rFonts w:ascii="Arial" w:cs="Arial" w:eastAsia="Arial" w:hAnsi="Arial"/>
          <w:sz w:val="17"/>
          <w:szCs w:val="17"/>
          <w:color w:val="auto"/>
        </w:rPr>
      </w:pPr>
    </w:p>
    <w:p>
      <w:pPr>
        <w:ind w:left="5540" w:hanging="104"/>
        <w:spacing w:after="0"/>
        <w:tabs>
          <w:tab w:leader="none" w:pos="554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7"/>
          <w:szCs w:val="17"/>
          <w:b w:val="1"/>
          <w:bCs w:val="1"/>
          <w:color w:val="auto"/>
        </w:rPr>
        <w:t>Share-based compensation (Continued)</w:t>
      </w:r>
    </w:p>
    <w:p>
      <w:pPr>
        <w:spacing w:after="0" w:line="188" w:lineRule="exact"/>
        <w:rPr>
          <w:sz w:val="20"/>
          <w:szCs w:val="20"/>
          <w:color w:val="auto"/>
        </w:rPr>
      </w:pPr>
    </w:p>
    <w:p>
      <w:pPr>
        <w:ind w:left="840" w:hanging="836"/>
        <w:spacing w:after="0"/>
        <w:tabs>
          <w:tab w:leader="none" w:pos="8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Issuance of warrants to an external consultant</w:t>
      </w:r>
    </w:p>
    <w:p>
      <w:pPr>
        <w:spacing w:after="0" w:line="220" w:lineRule="exact"/>
        <w:rPr>
          <w:rFonts w:ascii="Arial" w:cs="Arial" w:eastAsia="Arial" w:hAnsi="Arial"/>
          <w:sz w:val="17"/>
          <w:szCs w:val="17"/>
          <w:color w:val="auto"/>
        </w:rPr>
      </w:pPr>
    </w:p>
    <w:p>
      <w:pPr>
        <w:jc w:val="both"/>
        <w:ind w:left="840" w:right="20"/>
        <w:spacing w:after="0" w:line="278" w:lineRule="auto"/>
        <w:rPr>
          <w:rFonts w:ascii="Arial" w:cs="Arial" w:eastAsia="Arial" w:hAnsi="Arial"/>
          <w:sz w:val="17"/>
          <w:szCs w:val="17"/>
          <w:color w:val="auto"/>
        </w:rPr>
      </w:pPr>
      <w:r>
        <w:rPr>
          <w:rFonts w:ascii="Arial" w:cs="Arial" w:eastAsia="Arial" w:hAnsi="Arial"/>
          <w:sz w:val="16"/>
          <w:szCs w:val="16"/>
          <w:color w:val="auto"/>
        </w:rPr>
        <w:t>Pursuant to the agreement executed between the Company and an external consultant ("Warrant Agreement"), the Company shall issue warrants to purchase up to 4,651,162 ADSs ("Warrants") to the external consultant in exchange for its financial advisory services which the Warrants shall be vested upon the completion of raising a minimum of US$20,000 by the Company through issuing convertible notes or any equivalent financial instruments. On December 9, 2019, the Company, based on the Warrant Agreement, issued the Warrants to the external consultant as the Company was able to successfully issue the November 2019 Notes. The exercise period of the Warrants commences on December 16, 2020 at an exercise price of US$4.30 per ADS and will expire on December 16, 2022. In accordance with ASC 718, the measurement date for the vested warrants was December 9, 2019. The warrants issued to the consultant are classified as equity awards and measured based on the measurement date fair value of US$0.709 per warrant. During the year ended December 31, 2019, no warrants were exercised.</w:t>
      </w:r>
    </w:p>
    <w:p>
      <w:pPr>
        <w:spacing w:after="0" w:line="168" w:lineRule="exact"/>
        <w:rPr>
          <w:rFonts w:ascii="Arial" w:cs="Arial" w:eastAsia="Arial" w:hAnsi="Arial"/>
          <w:sz w:val="17"/>
          <w:szCs w:val="17"/>
          <w:color w:val="auto"/>
        </w:rPr>
      </w:pPr>
    </w:p>
    <w:p>
      <w:pPr>
        <w:ind w:left="840" w:right="20"/>
        <w:spacing w:after="0" w:line="286" w:lineRule="auto"/>
        <w:rPr>
          <w:rFonts w:ascii="Arial" w:cs="Arial" w:eastAsia="Arial" w:hAnsi="Arial"/>
          <w:sz w:val="17"/>
          <w:szCs w:val="17"/>
          <w:color w:val="auto"/>
        </w:rPr>
      </w:pPr>
      <w:r>
        <w:rPr>
          <w:rFonts w:ascii="Arial" w:cs="Arial" w:eastAsia="Arial" w:hAnsi="Arial"/>
          <w:sz w:val="17"/>
          <w:szCs w:val="17"/>
          <w:color w:val="auto"/>
        </w:rPr>
        <w:t>Since all of the warrants granted were fully vested, compensation expense of US$3,298 was immediately recognized with a corresponding credit to additional paid-in capital during the year ended December 31, 2019.</w:t>
      </w:r>
    </w:p>
    <w:p>
      <w:pPr>
        <w:spacing w:after="0" w:line="158" w:lineRule="exact"/>
        <w:rPr>
          <w:rFonts w:ascii="Arial" w:cs="Arial" w:eastAsia="Arial" w:hAnsi="Arial"/>
          <w:sz w:val="17"/>
          <w:szCs w:val="17"/>
          <w:color w:val="auto"/>
        </w:rPr>
      </w:pPr>
    </w:p>
    <w:p>
      <w:pPr>
        <w:ind w:left="840" w:right="20"/>
        <w:spacing w:after="0" w:line="286" w:lineRule="auto"/>
        <w:rPr>
          <w:rFonts w:ascii="Arial" w:cs="Arial" w:eastAsia="Arial" w:hAnsi="Arial"/>
          <w:sz w:val="17"/>
          <w:szCs w:val="17"/>
          <w:color w:val="auto"/>
        </w:rPr>
      </w:pPr>
      <w:r>
        <w:rPr>
          <w:rFonts w:ascii="Arial" w:cs="Arial" w:eastAsia="Arial" w:hAnsi="Arial"/>
          <w:sz w:val="17"/>
          <w:szCs w:val="17"/>
          <w:color w:val="auto"/>
        </w:rPr>
        <w:t>The fair value of the warrants granted on December 9, 2019 was estimated by using the binomial option pricing model with the following assumptions: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5960" w:type="dxa"/>
            <w:vAlign w:val="bottom"/>
          </w:tcPr>
          <w:p>
            <w:pPr>
              <w:spacing w:after="0"/>
              <w:rPr>
                <w:sz w:val="20"/>
                <w:szCs w:val="20"/>
                <w:color w:val="auto"/>
              </w:rPr>
            </w:pPr>
            <w:r>
              <w:rPr>
                <w:rFonts w:ascii="Arial" w:cs="Arial" w:eastAsia="Arial" w:hAnsi="Arial"/>
                <w:sz w:val="17"/>
                <w:szCs w:val="17"/>
                <w:color w:val="auto"/>
              </w:rPr>
              <w:t>Input</w:t>
            </w:r>
          </w:p>
        </w:tc>
        <w:tc>
          <w:tcPr>
            <w:tcW w:w="43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34"/>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Volatility</w:t>
            </w:r>
          </w:p>
        </w:tc>
        <w:tc>
          <w:tcPr>
            <w:tcW w:w="436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42.1</w:t>
            </w:r>
          </w:p>
        </w:tc>
      </w:tr>
      <w:tr>
        <w:trPr>
          <w:trHeight w:val="228"/>
        </w:trPr>
        <w:tc>
          <w:tcPr>
            <w:tcW w:w="59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360" w:type="dxa"/>
            <w:vAlign w:val="bottom"/>
          </w:tcPr>
          <w:p>
            <w:pPr>
              <w:jc w:val="right"/>
              <w:ind w:right="13"/>
              <w:spacing w:after="0"/>
              <w:rPr>
                <w:sz w:val="20"/>
                <w:szCs w:val="20"/>
                <w:color w:val="auto"/>
              </w:rPr>
            </w:pPr>
            <w:r>
              <w:rPr>
                <w:rFonts w:ascii="Arial" w:cs="Arial" w:eastAsia="Arial" w:hAnsi="Arial"/>
                <w:sz w:val="17"/>
                <w:szCs w:val="17"/>
                <w:color w:val="auto"/>
              </w:rPr>
              <w:t>1.6</w:t>
            </w:r>
          </w:p>
        </w:tc>
      </w:tr>
      <w:tr>
        <w:trPr>
          <w:trHeight w:val="241"/>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Expected dividend yield</w:t>
            </w:r>
          </w:p>
        </w:tc>
        <w:tc>
          <w:tcPr>
            <w:tcW w:w="436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0.0</w:t>
            </w:r>
          </w:p>
        </w:tc>
      </w:tr>
      <w:tr>
        <w:trPr>
          <w:trHeight w:val="228"/>
        </w:trPr>
        <w:tc>
          <w:tcPr>
            <w:tcW w:w="5960" w:type="dxa"/>
            <w:vAlign w:val="bottom"/>
          </w:tcPr>
          <w:p>
            <w:pPr>
              <w:spacing w:after="0"/>
              <w:rPr>
                <w:sz w:val="20"/>
                <w:szCs w:val="20"/>
                <w:color w:val="auto"/>
              </w:rPr>
            </w:pPr>
            <w:r>
              <w:rPr>
                <w:rFonts w:ascii="Arial" w:cs="Arial" w:eastAsia="Arial" w:hAnsi="Arial"/>
                <w:sz w:val="17"/>
                <w:szCs w:val="17"/>
                <w:color w:val="auto"/>
              </w:rPr>
              <w:t>Expected warrant life (years)</w:t>
            </w:r>
          </w:p>
        </w:tc>
        <w:tc>
          <w:tcPr>
            <w:tcW w:w="4360" w:type="dxa"/>
            <w:vAlign w:val="bottom"/>
          </w:tcPr>
          <w:p>
            <w:pPr>
              <w:jc w:val="right"/>
              <w:ind w:right="13"/>
              <w:spacing w:after="0"/>
              <w:rPr>
                <w:sz w:val="20"/>
                <w:szCs w:val="20"/>
                <w:color w:val="auto"/>
              </w:rPr>
            </w:pPr>
            <w:r>
              <w:rPr>
                <w:rFonts w:ascii="Arial" w:cs="Arial" w:eastAsia="Arial" w:hAnsi="Arial"/>
                <w:sz w:val="17"/>
                <w:szCs w:val="17"/>
                <w:color w:val="auto"/>
              </w:rPr>
              <w:t>3.0</w:t>
            </w:r>
          </w:p>
        </w:tc>
      </w:tr>
      <w:tr>
        <w:trPr>
          <w:trHeight w:val="241"/>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Expected forfeiture rate</w:t>
            </w:r>
          </w:p>
        </w:tc>
        <w:tc>
          <w:tcPr>
            <w:tcW w:w="436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0.0</w:t>
            </w:r>
          </w:p>
        </w:tc>
      </w:tr>
    </w:tbl>
    <w:p>
      <w:pPr>
        <w:spacing w:after="0" w:line="196" w:lineRule="exact"/>
        <w:rPr>
          <w:sz w:val="20"/>
          <w:szCs w:val="20"/>
          <w:color w:val="auto"/>
        </w:rPr>
      </w:pPr>
    </w:p>
    <w:p>
      <w:pPr>
        <w:ind w:left="840" w:hanging="836"/>
        <w:spacing w:after="0"/>
        <w:tabs>
          <w:tab w:leader="none" w:pos="84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Total share-based compensation costs</w:t>
      </w:r>
    </w:p>
    <w:p>
      <w:pPr>
        <w:spacing w:after="0" w:line="181"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7"/>
          <w:szCs w:val="17"/>
          <w:color w:val="auto"/>
        </w:rPr>
        <w:t>Total share-based compensation costs recognized for the years ended December 31, 2017, 2018 and 2019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460" w:type="dxa"/>
            <w:vAlign w:val="bottom"/>
            <w:gridSpan w:val="5"/>
          </w:tcPr>
          <w:p>
            <w:pPr>
              <w:ind w:left="860"/>
              <w:spacing w:after="0"/>
              <w:rPr>
                <w:sz w:val="20"/>
                <w:szCs w:val="20"/>
                <w:color w:val="auto"/>
              </w:rPr>
            </w:pPr>
            <w:r>
              <w:rPr>
                <w:rFonts w:ascii="Arial" w:cs="Arial" w:eastAsia="Arial" w:hAnsi="Arial"/>
                <w:sz w:val="17"/>
                <w:szCs w:val="17"/>
                <w:color w:val="auto"/>
                <w:w w:val="97"/>
              </w:rPr>
              <w:t>For the years ended December 31,</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160" w:type="dxa"/>
            <w:vAlign w:val="bottom"/>
            <w:gridSpan w:val="2"/>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4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4160" w:type="dxa"/>
            <w:vAlign w:val="bottom"/>
            <w:gridSpan w:val="2"/>
          </w:tcPr>
          <w:p>
            <w:pPr>
              <w:jc w:val="right"/>
              <w:spacing w:after="0"/>
              <w:rPr>
                <w:sz w:val="20"/>
                <w:szCs w:val="20"/>
                <w:color w:val="auto"/>
              </w:rPr>
            </w:pPr>
            <w:r>
              <w:rPr>
                <w:rFonts w:ascii="Arial" w:cs="Arial" w:eastAsia="Arial" w:hAnsi="Arial"/>
                <w:sz w:val="17"/>
                <w:szCs w:val="17"/>
                <w:color w:val="auto"/>
              </w:rPr>
              <w:t>937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6,587</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4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2,179</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4,811</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2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w:t>
            </w:r>
          </w:p>
        </w:tc>
        <w:tc>
          <w:tcPr>
            <w:tcW w:w="29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1,907</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7,934</w:t>
            </w:r>
          </w:p>
        </w:tc>
        <w:tc>
          <w:tcPr>
            <w:tcW w:w="2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4,062</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4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5,072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19,679</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5,413</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2940" w:type="dxa"/>
            <w:vAlign w:val="bottom"/>
            <w:tcBorders>
              <w:top w:val="single" w:sz="8" w:color="CFF0FC"/>
              <w:bottom w:val="single" w:sz="8" w:color="CFF0FC"/>
            </w:tcBorders>
            <w:vMerge w:val="restart"/>
          </w:tcPr>
          <w:p>
            <w:pPr>
              <w:jc w:val="right"/>
              <w:ind w:right="1153"/>
              <w:spacing w:after="0"/>
              <w:rPr>
                <w:sz w:val="20"/>
                <w:szCs w:val="20"/>
                <w:color w:val="auto"/>
              </w:rPr>
            </w:pPr>
            <w:r>
              <w:rPr>
                <w:rFonts w:ascii="Arial" w:cs="Arial" w:eastAsia="Arial" w:hAnsi="Arial"/>
                <w:sz w:val="17"/>
                <w:szCs w:val="17"/>
                <w:color w:val="auto"/>
              </w:rPr>
              <w:t>-71-</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9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6560" w:type="dxa"/>
            <w:vAlign w:val="bottom"/>
            <w:gridSpan w:val="2"/>
          </w:tcPr>
          <w:p>
            <w:pPr>
              <w:ind w:left="340"/>
              <w:spacing w:after="0"/>
              <w:rPr>
                <w:sz w:val="20"/>
                <w:szCs w:val="20"/>
                <w:color w:val="auto"/>
              </w:rPr>
            </w:pPr>
            <w:r>
              <w:rPr>
                <w:rFonts w:ascii="Arial" w:cs="Arial" w:eastAsia="Arial" w:hAnsi="Arial"/>
                <w:sz w:val="17"/>
                <w:szCs w:val="17"/>
                <w:b w:val="1"/>
                <w:bCs w:val="1"/>
                <w:color w:val="auto"/>
              </w:rPr>
              <w:t>iCLICK INTERACTIVE ASIA GROUP LIMITED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4"/>
        </w:trPr>
        <w:tc>
          <w:tcPr>
            <w:tcW w:w="500" w:type="dxa"/>
            <w:vAlign w:val="bottom"/>
          </w:tcPr>
          <w:p>
            <w:pPr>
              <w:spacing w:after="0"/>
              <w:rPr>
                <w:sz w:val="24"/>
                <w:szCs w:val="24"/>
                <w:color w:val="auto"/>
              </w:rPr>
            </w:pPr>
          </w:p>
        </w:tc>
        <w:tc>
          <w:tcPr>
            <w:tcW w:w="6560" w:type="dxa"/>
            <w:vAlign w:val="bottom"/>
            <w:gridSpan w:val="2"/>
          </w:tcPr>
          <w:p>
            <w:pPr>
              <w:ind w:left="340"/>
              <w:spacing w:after="0"/>
              <w:rPr>
                <w:sz w:val="20"/>
                <w:szCs w:val="20"/>
                <w:color w:val="auto"/>
              </w:rPr>
            </w:pPr>
            <w:r>
              <w:rPr>
                <w:rFonts w:ascii="Arial" w:cs="Arial" w:eastAsia="Arial" w:hAnsi="Arial"/>
                <w:sz w:val="17"/>
                <w:szCs w:val="17"/>
                <w:b w:val="1"/>
                <w:bCs w:val="1"/>
                <w:color w:val="auto"/>
              </w:rPr>
              <w:t>NOTES TO THE CONSOLIDATED FINANCIAL STATEMENTS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1"/>
        </w:trPr>
        <w:tc>
          <w:tcPr>
            <w:tcW w:w="500" w:type="dxa"/>
            <w:vAlign w:val="bottom"/>
          </w:tcPr>
          <w:p>
            <w:pPr>
              <w:spacing w:after="0"/>
              <w:rPr>
                <w:sz w:val="19"/>
                <w:szCs w:val="19"/>
                <w:color w:val="auto"/>
              </w:rPr>
            </w:pPr>
          </w:p>
        </w:tc>
        <w:tc>
          <w:tcPr>
            <w:tcW w:w="6560" w:type="dxa"/>
            <w:vAlign w:val="bottom"/>
            <w:gridSpan w:val="2"/>
          </w:tcPr>
          <w:p>
            <w:pPr>
              <w:ind w:left="340"/>
              <w:spacing w:after="0"/>
              <w:rPr>
                <w:sz w:val="20"/>
                <w:szCs w:val="20"/>
                <w:color w:val="auto"/>
              </w:rPr>
            </w:pPr>
            <w:r>
              <w:rPr>
                <w:rFonts w:ascii="Arial" w:cs="Arial" w:eastAsia="Arial" w:hAnsi="Arial"/>
                <w:sz w:val="17"/>
                <w:szCs w:val="17"/>
                <w:color w:val="auto"/>
              </w:rPr>
              <w:t>(US$’000, except share data and per share data, or otherwise noted)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6"/>
        </w:trPr>
        <w:tc>
          <w:tcPr>
            <w:tcW w:w="500" w:type="dxa"/>
            <w:vAlign w:val="bottom"/>
          </w:tcPr>
          <w:p>
            <w:pPr>
              <w:jc w:val="right"/>
              <w:ind w:right="233"/>
              <w:spacing w:after="0"/>
              <w:rPr>
                <w:sz w:val="20"/>
                <w:szCs w:val="20"/>
                <w:color w:val="auto"/>
              </w:rPr>
            </w:pPr>
            <w:r>
              <w:rPr>
                <w:rFonts w:ascii="Arial" w:cs="Arial" w:eastAsia="Arial" w:hAnsi="Arial"/>
                <w:sz w:val="17"/>
                <w:szCs w:val="17"/>
                <w:b w:val="1"/>
                <w:bCs w:val="1"/>
                <w:color w:val="auto"/>
                <w:w w:val="84"/>
              </w:rPr>
              <w:t>24</w:t>
            </w:r>
          </w:p>
        </w:tc>
        <w:tc>
          <w:tcPr>
            <w:tcW w:w="6560" w:type="dxa"/>
            <w:vAlign w:val="bottom"/>
            <w:gridSpan w:val="2"/>
          </w:tcPr>
          <w:p>
            <w:pPr>
              <w:ind w:left="340"/>
              <w:spacing w:after="0"/>
              <w:rPr>
                <w:sz w:val="20"/>
                <w:szCs w:val="20"/>
                <w:color w:val="auto"/>
              </w:rPr>
            </w:pPr>
            <w:r>
              <w:rPr>
                <w:rFonts w:ascii="Arial" w:cs="Arial" w:eastAsia="Arial" w:hAnsi="Arial"/>
                <w:sz w:val="17"/>
                <w:szCs w:val="17"/>
                <w:b w:val="1"/>
                <w:bCs w:val="1"/>
                <w:color w:val="auto"/>
              </w:rPr>
              <w:t>Other gains, net</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9"/>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60" w:type="dxa"/>
            <w:vAlign w:val="bottom"/>
            <w:gridSpan w:val="5"/>
          </w:tcPr>
          <w:p>
            <w:pPr>
              <w:ind w:left="860"/>
              <w:spacing w:after="0"/>
              <w:rPr>
                <w:sz w:val="20"/>
                <w:szCs w:val="20"/>
                <w:color w:val="auto"/>
              </w:rPr>
            </w:pPr>
            <w:r>
              <w:rPr>
                <w:rFonts w:ascii="Arial" w:cs="Arial" w:eastAsia="Arial" w:hAnsi="Arial"/>
                <w:sz w:val="17"/>
                <w:szCs w:val="17"/>
                <w:color w:val="auto"/>
                <w:w w:val="97"/>
              </w:rPr>
              <w:t>For the years ended December 31,</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r>
      <w:tr>
        <w:trPr>
          <w:trHeight w:val="52"/>
        </w:trPr>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Net exchange gain/(loss)</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1,257</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(857)</w:t>
            </w:r>
          </w:p>
        </w:tc>
        <w:tc>
          <w:tcPr>
            <w:tcW w:w="5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(410)</w:t>
            </w: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Forfeiture of advances from customers (Note (i))</w:t>
            </w:r>
          </w:p>
        </w:tc>
        <w:tc>
          <w:tcPr>
            <w:tcW w:w="1220" w:type="dxa"/>
            <w:vAlign w:val="bottom"/>
          </w:tcPr>
          <w:p>
            <w:pPr>
              <w:jc w:val="right"/>
              <w:spacing w:after="0"/>
              <w:rPr>
                <w:sz w:val="20"/>
                <w:szCs w:val="20"/>
                <w:color w:val="auto"/>
              </w:rPr>
            </w:pPr>
            <w:r>
              <w:rPr>
                <w:rFonts w:ascii="Arial" w:cs="Arial" w:eastAsia="Arial" w:hAnsi="Arial"/>
                <w:sz w:val="17"/>
                <w:szCs w:val="17"/>
                <w:color w:val="auto"/>
              </w:rPr>
              <w:t>432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1,088</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1,369</w:t>
            </w:r>
          </w:p>
        </w:tc>
        <w:tc>
          <w:tcPr>
            <w:tcW w:w="8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Gain on bargain purchase</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Government subsidy income</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1,394</w:t>
            </w:r>
          </w:p>
        </w:tc>
        <w:tc>
          <w:tcPr>
            <w:tcW w:w="8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ADR reimbursement from depositary bank</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w:t>
            </w:r>
          </w:p>
        </w:tc>
        <w:tc>
          <w:tcPr>
            <w:tcW w:w="80" w:type="dxa"/>
            <w:vAlign w:val="bottom"/>
            <w:shd w:val="clear" w:color="auto" w:fill="CFF0FC"/>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Fair value gains on short-term investments</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9"/>
                <w:szCs w:val="19"/>
                <w:color w:val="auto"/>
              </w:rPr>
            </w:pPr>
          </w:p>
        </w:tc>
      </w:tr>
      <w:tr>
        <w:trPr>
          <w:trHeight w:val="221"/>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Others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2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2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80" w:type="dxa"/>
            <w:vAlign w:val="bottom"/>
            <w:shd w:val="clear" w:color="auto" w:fill="CFF0FC"/>
          </w:tcPr>
          <w:p>
            <w:pPr>
              <w:spacing w:after="0"/>
              <w:rPr>
                <w:sz w:val="19"/>
                <w:szCs w:val="19"/>
                <w:color w:val="auto"/>
              </w:rPr>
            </w:pPr>
          </w:p>
        </w:tc>
      </w:tr>
      <w:tr>
        <w:trPr>
          <w:trHeight w:val="214"/>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1,841</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w:t>
            </w: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2,992</w:t>
            </w: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Note:</w:t>
      </w:r>
    </w:p>
    <w:p>
      <w:pPr>
        <w:spacing w:after="0" w:line="182" w:lineRule="exact"/>
        <w:rPr>
          <w:sz w:val="20"/>
          <w:szCs w:val="20"/>
          <w:color w:val="auto"/>
        </w:rPr>
      </w:pPr>
    </w:p>
    <w:p>
      <w:pPr>
        <w:ind w:left="1660" w:hanging="823"/>
        <w:spacing w:after="0" w:line="286" w:lineRule="auto"/>
        <w:tabs>
          <w:tab w:leader="none" w:pos="16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forfeited advances from customers are recognized as other gains when the contractual obligation of the Company to provide the agreed services no longer existed legally due to passage of time.</w:t>
      </w:r>
    </w:p>
    <w:p>
      <w:pPr>
        <w:spacing w:after="0" w:line="11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7"/>
          <w:szCs w:val="17"/>
          <w:b w:val="1"/>
          <w:bCs w:val="1"/>
          <w:color w:val="auto"/>
        </w:rPr>
        <w:t>Income tax</w:t>
      </w:r>
    </w:p>
    <w:p>
      <w:pPr>
        <w:spacing w:after="0" w:line="188" w:lineRule="exact"/>
        <w:rPr>
          <w:sz w:val="20"/>
          <w:szCs w:val="20"/>
          <w:color w:val="auto"/>
        </w:rPr>
      </w:pPr>
    </w:p>
    <w:p>
      <w:pPr>
        <w:ind w:left="840" w:hanging="836"/>
        <w:spacing w:after="0"/>
        <w:tabs>
          <w:tab w:leader="none" w:pos="84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Cayman Islands</w:t>
      </w:r>
    </w:p>
    <w:p>
      <w:pPr>
        <w:spacing w:after="0" w:line="181" w:lineRule="exact"/>
        <w:rPr>
          <w:rFonts w:ascii="Arial" w:cs="Arial" w:eastAsia="Arial" w:hAnsi="Arial"/>
          <w:sz w:val="17"/>
          <w:szCs w:val="17"/>
          <w:color w:val="auto"/>
        </w:rPr>
      </w:pPr>
    </w:p>
    <w:p>
      <w:pPr>
        <w:ind w:left="840"/>
        <w:spacing w:after="0" w:line="286" w:lineRule="auto"/>
        <w:rPr>
          <w:rFonts w:ascii="Arial" w:cs="Arial" w:eastAsia="Arial" w:hAnsi="Arial"/>
          <w:sz w:val="17"/>
          <w:szCs w:val="17"/>
          <w:color w:val="auto"/>
        </w:rPr>
      </w:pPr>
      <w:r>
        <w:rPr>
          <w:rFonts w:ascii="Arial" w:cs="Arial" w:eastAsia="Arial" w:hAnsi="Arial"/>
          <w:sz w:val="17"/>
          <w:szCs w:val="17"/>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132" w:lineRule="exact"/>
        <w:rPr>
          <w:rFonts w:ascii="Arial" w:cs="Arial" w:eastAsia="Arial" w:hAnsi="Arial"/>
          <w:sz w:val="17"/>
          <w:szCs w:val="17"/>
          <w:color w:val="auto"/>
        </w:rPr>
      </w:pPr>
    </w:p>
    <w:p>
      <w:pPr>
        <w:ind w:left="840" w:hanging="836"/>
        <w:spacing w:after="0"/>
        <w:tabs>
          <w:tab w:leader="none" w:pos="84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Hong Kong profits tax</w:t>
      </w:r>
    </w:p>
    <w:p>
      <w:pPr>
        <w:spacing w:after="0" w:line="181" w:lineRule="exact"/>
        <w:rPr>
          <w:rFonts w:ascii="Arial" w:cs="Arial" w:eastAsia="Arial" w:hAnsi="Arial"/>
          <w:sz w:val="17"/>
          <w:szCs w:val="17"/>
          <w:color w:val="auto"/>
        </w:rPr>
      </w:pPr>
    </w:p>
    <w:p>
      <w:pPr>
        <w:ind w:left="840"/>
        <w:spacing w:after="0" w:line="286" w:lineRule="auto"/>
        <w:rPr>
          <w:rFonts w:ascii="Arial" w:cs="Arial" w:eastAsia="Arial" w:hAnsi="Arial"/>
          <w:sz w:val="17"/>
          <w:szCs w:val="17"/>
          <w:color w:val="auto"/>
        </w:rPr>
      </w:pPr>
      <w:r>
        <w:rPr>
          <w:rFonts w:ascii="Arial" w:cs="Arial" w:eastAsia="Arial" w:hAnsi="Arial"/>
          <w:sz w:val="17"/>
          <w:szCs w:val="17"/>
          <w:color w:val="auto"/>
        </w:rPr>
        <w:t>Entities incorporated in Hong Kong are subject to Hong Kong profits tax at a rate of 16.5% on the estimated assessable profit for the years ended December 31, 2017, 2018 and 2019.</w:t>
      </w:r>
    </w:p>
    <w:p>
      <w:pPr>
        <w:spacing w:after="0" w:line="119" w:lineRule="exact"/>
        <w:rPr>
          <w:rFonts w:ascii="Arial" w:cs="Arial" w:eastAsia="Arial" w:hAnsi="Arial"/>
          <w:sz w:val="17"/>
          <w:szCs w:val="17"/>
          <w:color w:val="auto"/>
        </w:rPr>
      </w:pPr>
    </w:p>
    <w:p>
      <w:pPr>
        <w:ind w:left="840" w:hanging="836"/>
        <w:spacing w:after="0"/>
        <w:tabs>
          <w:tab w:leader="none" w:pos="84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PRC Enterprise Income Tax (“EIT”)</w:t>
      </w:r>
    </w:p>
    <w:p>
      <w:pPr>
        <w:spacing w:after="0" w:line="181" w:lineRule="exact"/>
        <w:rPr>
          <w:rFonts w:ascii="Arial" w:cs="Arial" w:eastAsia="Arial" w:hAnsi="Arial"/>
          <w:sz w:val="17"/>
          <w:szCs w:val="17"/>
          <w:color w:val="auto"/>
        </w:rPr>
      </w:pPr>
    </w:p>
    <w:p>
      <w:pPr>
        <w:ind w:left="840"/>
        <w:spacing w:after="0" w:line="286" w:lineRule="auto"/>
        <w:rPr>
          <w:rFonts w:ascii="Arial" w:cs="Arial" w:eastAsia="Arial" w:hAnsi="Arial"/>
          <w:sz w:val="17"/>
          <w:szCs w:val="17"/>
          <w:color w:val="auto"/>
        </w:rPr>
      </w:pPr>
      <w:r>
        <w:rPr>
          <w:rFonts w:ascii="Arial" w:cs="Arial" w:eastAsia="Arial" w:hAnsi="Arial"/>
          <w:sz w:val="17"/>
          <w:szCs w:val="17"/>
          <w:color w:val="auto"/>
        </w:rPr>
        <w:t>The Company’s subsidiaries, VIE and VIE’s subsidiaries in the PRC are governed by the Enterprise Income Tax Law (“EIT Law”). Pursuant to the EIT Law and its implementation rules, enterprises in the PRC are generally subjected to tax at a statutory rate of 25%.</w:t>
      </w:r>
    </w:p>
    <w:p>
      <w:pPr>
        <w:spacing w:after="0" w:line="119" w:lineRule="exact"/>
        <w:rPr>
          <w:rFonts w:ascii="Arial" w:cs="Arial" w:eastAsia="Arial" w:hAnsi="Arial"/>
          <w:sz w:val="17"/>
          <w:szCs w:val="17"/>
          <w:color w:val="auto"/>
        </w:rPr>
      </w:pPr>
    </w:p>
    <w:p>
      <w:pPr>
        <w:jc w:val="both"/>
        <w:ind w:left="840"/>
        <w:spacing w:after="0" w:line="265" w:lineRule="auto"/>
        <w:rPr>
          <w:rFonts w:ascii="Arial" w:cs="Arial" w:eastAsia="Arial" w:hAnsi="Arial"/>
          <w:sz w:val="17"/>
          <w:szCs w:val="17"/>
          <w:color w:val="auto"/>
        </w:rPr>
      </w:pPr>
      <w:r>
        <w:rPr>
          <w:rFonts w:ascii="Arial" w:cs="Arial" w:eastAsia="Arial" w:hAnsi="Arial"/>
          <w:sz w:val="17"/>
          <w:szCs w:val="17"/>
          <w:color w:val="auto"/>
        </w:rPr>
        <w:t>High and new technology enterprises (“HNTE”) will enjoy a preferential enterprise income tax rate of 15% under the EIT Law. OptAim WFOE and Changyi, the Company’s subsidiaries in the PRC, which are qualified as a HNTE under the EIT Law, are eligible for a preferential enterprise income tax rate of 15% for the period from 2018 to 2020 and 2017 to 2019, respectively, so long as these subsidiaries obtain approval from relevant tax authority if they are profitable during the period.</w:t>
      </w:r>
    </w:p>
    <w:p>
      <w:pPr>
        <w:spacing w:after="0" w:line="385" w:lineRule="exact"/>
        <w:rPr>
          <w:rFonts w:ascii="Arial" w:cs="Arial" w:eastAsia="Arial" w:hAnsi="Arial"/>
          <w:sz w:val="17"/>
          <w:szCs w:val="17"/>
          <w:color w:val="auto"/>
        </w:rPr>
      </w:pPr>
    </w:p>
    <w:p>
      <w:pPr>
        <w:ind w:left="5540" w:hanging="104"/>
        <w:spacing w:after="0"/>
        <w:tabs>
          <w:tab w:leader="none" w:pos="554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7"/>
          <w:szCs w:val="17"/>
          <w:b w:val="1"/>
          <w:bCs w:val="1"/>
          <w:color w:val="auto"/>
        </w:rPr>
        <w:t>Income tax (Continued)</w:t>
      </w:r>
    </w:p>
    <w:p>
      <w:pPr>
        <w:spacing w:after="0" w:line="227" w:lineRule="exact"/>
        <w:rPr>
          <w:sz w:val="20"/>
          <w:szCs w:val="20"/>
          <w:color w:val="auto"/>
        </w:rPr>
      </w:pPr>
    </w:p>
    <w:p>
      <w:pPr>
        <w:ind w:left="840" w:hanging="836"/>
        <w:spacing w:after="0"/>
        <w:tabs>
          <w:tab w:leader="none" w:pos="8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PRC Enterprise Income Tax (“EIT”) (Continued)</w:t>
      </w:r>
    </w:p>
    <w:p>
      <w:pPr>
        <w:spacing w:after="0" w:line="220" w:lineRule="exact"/>
        <w:rPr>
          <w:rFonts w:ascii="Arial" w:cs="Arial" w:eastAsia="Arial" w:hAnsi="Arial"/>
          <w:sz w:val="17"/>
          <w:szCs w:val="17"/>
          <w:color w:val="auto"/>
        </w:rPr>
      </w:pPr>
    </w:p>
    <w:p>
      <w:pPr>
        <w:jc w:val="both"/>
        <w:ind w:left="840" w:right="20"/>
        <w:spacing w:after="0" w:line="261" w:lineRule="auto"/>
        <w:rPr>
          <w:rFonts w:ascii="Arial" w:cs="Arial" w:eastAsia="Arial" w:hAnsi="Arial"/>
          <w:sz w:val="17"/>
          <w:szCs w:val="17"/>
          <w:color w:val="auto"/>
        </w:rPr>
      </w:pPr>
      <w:r>
        <w:rPr>
          <w:rFonts w:ascii="Arial" w:cs="Arial" w:eastAsia="Arial" w:hAnsi="Arial"/>
          <w:sz w:val="17"/>
          <w:szCs w:val="17"/>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142" w:lineRule="exact"/>
        <w:rPr>
          <w:rFonts w:ascii="Arial" w:cs="Arial" w:eastAsia="Arial" w:hAnsi="Arial"/>
          <w:sz w:val="17"/>
          <w:szCs w:val="17"/>
          <w:color w:val="auto"/>
        </w:rPr>
      </w:pPr>
    </w:p>
    <w:p>
      <w:pPr>
        <w:jc w:val="both"/>
        <w:ind w:left="840" w:right="20"/>
        <w:spacing w:after="0" w:line="278" w:lineRule="auto"/>
        <w:rPr>
          <w:rFonts w:ascii="Arial" w:cs="Arial" w:eastAsia="Arial" w:hAnsi="Arial"/>
          <w:sz w:val="17"/>
          <w:szCs w:val="17"/>
          <w:color w:val="auto"/>
        </w:rPr>
      </w:pPr>
      <w:r>
        <w:rPr>
          <w:rFonts w:ascii="Arial" w:cs="Arial" w:eastAsia="Arial" w:hAnsi="Arial"/>
          <w:sz w:val="16"/>
          <w:szCs w:val="16"/>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Company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PRC dividend withholding taxes that would be payable upon the distribution of those amounts to the Company as of December 31, 2018 and 2019. The undistributed earnings from the Company’s subsidiaries in the PRC as of December 31, 2018 and 2019 amounted US$1,610 and US$1,481 would be due if these earnings were remitted as dividends as of December 31, 2018 and 2019. An estimated foreign withholding taxes of US$81 and US$74 would be due if these earnings were remitted as dividends as of December 31, 2018 and 2019, respectively.</w:t>
      </w:r>
    </w:p>
    <w:p>
      <w:pPr>
        <w:spacing w:after="0" w:line="142" w:lineRule="exact"/>
        <w:rPr>
          <w:rFonts w:ascii="Arial" w:cs="Arial" w:eastAsia="Arial" w:hAnsi="Arial"/>
          <w:sz w:val="17"/>
          <w:szCs w:val="17"/>
          <w:color w:val="auto"/>
        </w:rPr>
      </w:pPr>
    </w:p>
    <w:p>
      <w:pPr>
        <w:ind w:left="840" w:hanging="836"/>
        <w:spacing w:after="0"/>
        <w:tabs>
          <w:tab w:leader="none" w:pos="84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Composition of income tax expense</w:t>
      </w:r>
    </w:p>
    <w:p>
      <w:pPr>
        <w:spacing w:after="0" w:line="181"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7"/>
          <w:szCs w:val="17"/>
          <w:color w:val="auto"/>
        </w:rPr>
        <w:t>The current and deferred portions of income tax expense included in the consolidated statements of comprehensive loss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440" w:type="dxa"/>
            <w:vAlign w:val="bottom"/>
            <w:gridSpan w:val="5"/>
          </w:tcPr>
          <w:p>
            <w:pPr>
              <w:ind w:left="860"/>
              <w:spacing w:after="0"/>
              <w:rPr>
                <w:sz w:val="20"/>
                <w:szCs w:val="20"/>
                <w:color w:val="auto"/>
              </w:rPr>
            </w:pPr>
            <w:r>
              <w:rPr>
                <w:rFonts w:ascii="Arial" w:cs="Arial" w:eastAsia="Arial" w:hAnsi="Arial"/>
                <w:sz w:val="17"/>
                <w:szCs w:val="17"/>
                <w:color w:val="auto"/>
                <w:w w:val="97"/>
              </w:rPr>
              <w:t>For the years ended December 31,</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140" w:type="dxa"/>
            <w:vAlign w:val="bottom"/>
            <w:gridSpan w:val="2"/>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Current income tax expense</w:t>
            </w:r>
          </w:p>
        </w:tc>
        <w:tc>
          <w:tcPr>
            <w:tcW w:w="4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1,262</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1,561</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Deferred tax benefits</w:t>
            </w:r>
          </w:p>
        </w:tc>
        <w:tc>
          <w:tcPr>
            <w:tcW w:w="29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(714)</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(906)</w:t>
            </w:r>
          </w:p>
        </w:tc>
        <w:tc>
          <w:tcPr>
            <w:tcW w:w="5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(1,083)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Income tax expense</w:t>
            </w:r>
          </w:p>
        </w:tc>
        <w:tc>
          <w:tcPr>
            <w:tcW w:w="292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920" w:type="dxa"/>
            <w:vAlign w:val="bottom"/>
            <w:vMerge w:val="restart"/>
          </w:tcPr>
          <w:p>
            <w:pPr>
              <w:jc w:val="right"/>
              <w:ind w:right="1153"/>
              <w:spacing w:after="0"/>
              <w:rPr>
                <w:sz w:val="20"/>
                <w:szCs w:val="20"/>
                <w:color w:val="auto"/>
              </w:rPr>
            </w:pPr>
            <w:r>
              <w:rPr>
                <w:rFonts w:ascii="Arial" w:cs="Arial" w:eastAsia="Arial" w:hAnsi="Arial"/>
                <w:sz w:val="17"/>
                <w:szCs w:val="17"/>
                <w:color w:val="auto"/>
              </w:rPr>
              <w:t>-73-</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10" w:name="page211"/>
    <w:bookmarkEnd w:id="210"/>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7"/>
          <w:szCs w:val="17"/>
          <w:b w:val="1"/>
          <w:bCs w:val="1"/>
          <w:color w:val="auto"/>
        </w:rPr>
        <w:t>Income tax (Continued)</w:t>
      </w:r>
    </w:p>
    <w:p>
      <w:pPr>
        <w:spacing w:after="0" w:line="214" w:lineRule="exact"/>
        <w:rPr>
          <w:sz w:val="20"/>
          <w:szCs w:val="20"/>
          <w:color w:val="auto"/>
        </w:rPr>
      </w:pPr>
    </w:p>
    <w:p>
      <w:pPr>
        <w:ind w:left="840" w:hanging="836"/>
        <w:spacing w:after="0"/>
        <w:tabs>
          <w:tab w:leader="none" w:pos="84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Deferred tax assets and liabilities</w:t>
      </w:r>
    </w:p>
    <w:p>
      <w:pPr>
        <w:spacing w:after="0" w:line="181" w:lineRule="exact"/>
        <w:rPr>
          <w:rFonts w:ascii="Arial" w:cs="Arial" w:eastAsia="Arial" w:hAnsi="Arial"/>
          <w:sz w:val="17"/>
          <w:szCs w:val="17"/>
          <w:color w:val="auto"/>
        </w:rPr>
      </w:pPr>
    </w:p>
    <w:p>
      <w:pPr>
        <w:ind w:left="840"/>
        <w:spacing w:after="0" w:line="319" w:lineRule="auto"/>
        <w:rPr>
          <w:rFonts w:ascii="Arial" w:cs="Arial" w:eastAsia="Arial" w:hAnsi="Arial"/>
          <w:sz w:val="17"/>
          <w:szCs w:val="17"/>
          <w:color w:val="auto"/>
        </w:rPr>
      </w:pPr>
      <w:r>
        <w:rPr>
          <w:rFonts w:ascii="Arial" w:cs="Arial" w:eastAsia="Arial" w:hAnsi="Arial"/>
          <w:sz w:val="16"/>
          <w:szCs w:val="16"/>
          <w:color w:val="auto"/>
        </w:rPr>
        <w:t>Deferred taxes were measured using the enacted tax rates for the periods in which they are expected to be reversed. The tax effects of temporary differences that give rise to the deferred tax asset and deferred tax liability balances as of December 31, 2018 and 2019 are as follows:</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7120" w:type="dxa"/>
            <w:vAlign w:val="bottom"/>
          </w:tcPr>
          <w:p>
            <w:pPr>
              <w:spacing w:after="0"/>
              <w:rPr>
                <w:sz w:val="19"/>
                <w:szCs w:val="19"/>
                <w:color w:val="auto"/>
              </w:rPr>
            </w:pPr>
          </w:p>
        </w:tc>
        <w:tc>
          <w:tcPr>
            <w:tcW w:w="2440" w:type="dxa"/>
            <w:vAlign w:val="bottom"/>
            <w:gridSpan w:val="3"/>
          </w:tcPr>
          <w:p>
            <w:pPr>
              <w:ind w:left="840"/>
              <w:spacing w:after="0"/>
              <w:rPr>
                <w:sz w:val="20"/>
                <w:szCs w:val="20"/>
                <w:color w:val="auto"/>
              </w:rPr>
            </w:pPr>
            <w:r>
              <w:rPr>
                <w:rFonts w:ascii="Arial" w:cs="Arial" w:eastAsia="Arial" w:hAnsi="Arial"/>
                <w:sz w:val="17"/>
                <w:szCs w:val="17"/>
                <w:color w:val="auto"/>
              </w:rPr>
              <w:t>As of December 31,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7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Deferred tax assets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Tax losses carried forward</w:t>
            </w:r>
          </w:p>
        </w:tc>
        <w:tc>
          <w:tcPr>
            <w:tcW w:w="1420" w:type="dxa"/>
            <w:vAlign w:val="bottom"/>
          </w:tcPr>
          <w:p>
            <w:pPr>
              <w:jc w:val="right"/>
              <w:spacing w:after="0"/>
              <w:rPr>
                <w:sz w:val="20"/>
                <w:szCs w:val="20"/>
                <w:color w:val="auto"/>
              </w:rPr>
            </w:pPr>
            <w:r>
              <w:rPr>
                <w:rFonts w:ascii="Arial" w:cs="Arial" w:eastAsia="Arial" w:hAnsi="Arial"/>
                <w:sz w:val="17"/>
                <w:szCs w:val="17"/>
                <w:color w:val="auto"/>
              </w:rPr>
              <w:t>6,385</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5,923</w:t>
            </w:r>
          </w:p>
        </w:tc>
        <w:tc>
          <w:tcPr>
            <w:tcW w:w="100" w:type="dxa"/>
            <w:vAlign w:val="bottom"/>
          </w:tcPr>
          <w:p>
            <w:pPr>
              <w:spacing w:after="0"/>
              <w:rPr>
                <w:sz w:val="19"/>
                <w:szCs w:val="19"/>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Share-based payments</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831</w:t>
            </w:r>
          </w:p>
        </w:tc>
        <w:tc>
          <w:tcPr>
            <w:tcW w:w="100" w:type="dxa"/>
            <w:vAlign w:val="bottom"/>
            <w:shd w:val="clear" w:color="auto" w:fill="CFF0FC"/>
          </w:tcPr>
          <w:p>
            <w:pPr>
              <w:spacing w:after="0"/>
              <w:rPr>
                <w:sz w:val="19"/>
                <w:szCs w:val="19"/>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Temporary difference on deferred income</w:t>
            </w:r>
          </w:p>
        </w:tc>
        <w:tc>
          <w:tcPr>
            <w:tcW w:w="1420" w:type="dxa"/>
            <w:vAlign w:val="bottom"/>
          </w:tcPr>
          <w:p>
            <w:pPr>
              <w:jc w:val="right"/>
              <w:spacing w:after="0"/>
              <w:rPr>
                <w:sz w:val="20"/>
                <w:szCs w:val="20"/>
                <w:color w:val="auto"/>
              </w:rPr>
            </w:pPr>
            <w:r>
              <w:rPr>
                <w:rFonts w:ascii="Arial" w:cs="Arial" w:eastAsia="Arial" w:hAnsi="Arial"/>
                <w:sz w:val="17"/>
                <w:szCs w:val="17"/>
                <w:color w:val="auto"/>
              </w:rPr>
              <w:t>269</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Less: Valuation allowance (Note (i))</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(6,385)</w:t>
            </w:r>
          </w:p>
        </w:tc>
        <w:tc>
          <w:tcPr>
            <w:tcW w:w="7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(5,923)</w:t>
            </w:r>
          </w:p>
        </w:tc>
      </w:tr>
      <w:tr>
        <w:trPr>
          <w:trHeight w:val="254"/>
        </w:trPr>
        <w:tc>
          <w:tcPr>
            <w:tcW w:w="7120" w:type="dxa"/>
            <w:vAlign w:val="bottom"/>
            <w:tcBorders>
              <w:bottom w:val="single" w:sz="8" w:color="CFF0FC"/>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1,153</w:t>
            </w:r>
          </w:p>
        </w:tc>
        <w:tc>
          <w:tcPr>
            <w:tcW w:w="24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1,033</w:t>
            </w:r>
          </w:p>
        </w:tc>
        <w:tc>
          <w:tcPr>
            <w:tcW w:w="100" w:type="dxa"/>
            <w:vAlign w:val="bottom"/>
            <w:tcBorders>
              <w:bottom w:val="single" w:sz="8" w:color="CFF0FC"/>
            </w:tcBorders>
          </w:tcPr>
          <w:p>
            <w:pPr>
              <w:spacing w:after="0"/>
              <w:rPr>
                <w:sz w:val="22"/>
                <w:szCs w:val="22"/>
                <w:color w:val="auto"/>
              </w:rPr>
            </w:pPr>
          </w:p>
        </w:tc>
      </w:tr>
      <w:tr>
        <w:trPr>
          <w:trHeight w:val="200"/>
        </w:trPr>
        <w:tc>
          <w:tcPr>
            <w:tcW w:w="7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Deferred tax liabilities</w:t>
            </w: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Acquired intangible assets</w:t>
            </w: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(1,760)</w:t>
            </w:r>
          </w:p>
        </w:tc>
        <w:tc>
          <w:tcPr>
            <w:tcW w:w="7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(894)</w:t>
            </w:r>
          </w:p>
        </w:tc>
      </w:tr>
      <w:tr>
        <w:trPr>
          <w:trHeight w:val="221"/>
        </w:trPr>
        <w:tc>
          <w:tcPr>
            <w:tcW w:w="7120" w:type="dxa"/>
            <w:vAlign w:val="bottom"/>
            <w:shd w:val="clear" w:color="auto" w:fill="CFF0FC"/>
          </w:tcPr>
          <w:p>
            <w:pPr>
              <w:spacing w:after="0"/>
              <w:rPr>
                <w:sz w:val="20"/>
                <w:szCs w:val="20"/>
                <w:color w:val="auto"/>
              </w:rPr>
            </w:pPr>
            <w:r>
              <w:rPr>
                <w:rFonts w:ascii="Arial" w:cs="Arial" w:eastAsia="Arial" w:hAnsi="Arial"/>
                <w:sz w:val="17"/>
                <w:szCs w:val="17"/>
                <w:color w:val="auto"/>
              </w:rPr>
              <w:t>Outside basis difference (Note (ii))</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(1,004)</w:t>
            </w:r>
          </w:p>
        </w:tc>
        <w:tc>
          <w:tcPr>
            <w:tcW w:w="7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(942)</w:t>
            </w:r>
          </w:p>
        </w:tc>
      </w:tr>
      <w:tr>
        <w:trPr>
          <w:trHeight w:val="221"/>
        </w:trPr>
        <w:tc>
          <w:tcPr>
            <w:tcW w:w="7120" w:type="dxa"/>
            <w:vAlign w:val="bottom"/>
          </w:tcPr>
          <w:p>
            <w:pPr>
              <w:spacing w:after="0"/>
              <w:rPr>
                <w:sz w:val="20"/>
                <w:szCs w:val="20"/>
                <w:color w:val="auto"/>
              </w:rPr>
            </w:pPr>
            <w:r>
              <w:rPr>
                <w:rFonts w:ascii="Arial" w:cs="Arial" w:eastAsia="Arial" w:hAnsi="Arial"/>
                <w:sz w:val="17"/>
                <w:szCs w:val="17"/>
                <w:color w:val="auto"/>
              </w:rPr>
              <w:t>Others</w:t>
            </w: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(30)</w:t>
            </w:r>
          </w:p>
        </w:tc>
        <w:tc>
          <w:tcPr>
            <w:tcW w:w="7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r>
      <w:tr>
        <w:trPr>
          <w:trHeight w:val="20"/>
        </w:trPr>
        <w:tc>
          <w:tcPr>
            <w:tcW w:w="71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4"/>
        </w:trPr>
        <w:tc>
          <w:tcPr>
            <w:tcW w:w="71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(2,794)</w:t>
            </w:r>
          </w:p>
        </w:tc>
        <w:tc>
          <w:tcPr>
            <w:tcW w:w="7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(1,865)</w:t>
            </w:r>
          </w:p>
        </w:tc>
      </w:tr>
      <w:tr>
        <w:trPr>
          <w:trHeight w:val="20"/>
        </w:trPr>
        <w:tc>
          <w:tcPr>
            <w:tcW w:w="71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Note:</w:t>
      </w:r>
    </w:p>
    <w:p>
      <w:pPr>
        <w:spacing w:after="0" w:line="195" w:lineRule="exact"/>
        <w:rPr>
          <w:sz w:val="20"/>
          <w:szCs w:val="20"/>
          <w:color w:val="auto"/>
        </w:rPr>
      </w:pPr>
    </w:p>
    <w:p>
      <w:pPr>
        <w:jc w:val="both"/>
        <w:ind w:left="1660" w:hanging="823"/>
        <w:spacing w:after="0" w:line="281" w:lineRule="auto"/>
        <w:tabs>
          <w:tab w:leader="none" w:pos="1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125" w:lineRule="exact"/>
        <w:rPr>
          <w:rFonts w:ascii="Arial" w:cs="Arial" w:eastAsia="Arial" w:hAnsi="Arial"/>
          <w:sz w:val="16"/>
          <w:szCs w:val="16"/>
          <w:color w:val="auto"/>
        </w:rPr>
      </w:pPr>
    </w:p>
    <w:p>
      <w:pPr>
        <w:ind w:left="1660"/>
        <w:spacing w:after="0"/>
        <w:rPr>
          <w:rFonts w:ascii="Arial" w:cs="Arial" w:eastAsia="Arial" w:hAnsi="Arial"/>
          <w:sz w:val="16"/>
          <w:szCs w:val="16"/>
          <w:color w:val="auto"/>
        </w:rPr>
      </w:pPr>
      <w:r>
        <w:rPr>
          <w:rFonts w:ascii="Arial" w:cs="Arial" w:eastAsia="Arial" w:hAnsi="Arial"/>
          <w:sz w:val="17"/>
          <w:szCs w:val="17"/>
          <w:color w:val="auto"/>
        </w:rPr>
        <w:t>Movement of valuation allowance is as follows: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3200" w:type="dxa"/>
            <w:vAlign w:val="bottom"/>
            <w:gridSpan w:val="5"/>
          </w:tcPr>
          <w:p>
            <w:pPr>
              <w:ind w:left="700"/>
              <w:spacing w:after="0"/>
              <w:rPr>
                <w:sz w:val="20"/>
                <w:szCs w:val="20"/>
                <w:color w:val="auto"/>
              </w:rPr>
            </w:pPr>
            <w:r>
              <w:rPr>
                <w:rFonts w:ascii="Arial" w:cs="Arial" w:eastAsia="Arial" w:hAnsi="Arial"/>
                <w:sz w:val="17"/>
                <w:szCs w:val="17"/>
                <w:color w:val="auto"/>
                <w:w w:val="94"/>
              </w:rPr>
              <w:t>For the years ended December 31,</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5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r>
      <w:tr>
        <w:trPr>
          <w:trHeight w:val="221"/>
        </w:trPr>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Beginning balance</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6,838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7,573</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6,385</w:t>
            </w:r>
          </w:p>
        </w:tc>
        <w:tc>
          <w:tcPr>
            <w:tcW w:w="80" w:type="dxa"/>
            <w:vAlign w:val="bottom"/>
            <w:shd w:val="clear" w:color="auto" w:fill="CFF0FC"/>
          </w:tcPr>
          <w:p>
            <w:pPr>
              <w:spacing w:after="0"/>
              <w:rPr>
                <w:sz w:val="19"/>
                <w:szCs w:val="19"/>
                <w:color w:val="auto"/>
              </w:rPr>
            </w:pPr>
          </w:p>
        </w:tc>
      </w:tr>
      <w:tr>
        <w:trPr>
          <w:trHeight w:val="221"/>
        </w:trPr>
        <w:tc>
          <w:tcPr>
            <w:tcW w:w="5660" w:type="dxa"/>
            <w:vAlign w:val="bottom"/>
          </w:tcPr>
          <w:p>
            <w:pPr>
              <w:spacing w:after="0"/>
              <w:rPr>
                <w:sz w:val="20"/>
                <w:szCs w:val="20"/>
                <w:color w:val="auto"/>
              </w:rPr>
            </w:pPr>
            <w:r>
              <w:rPr>
                <w:rFonts w:ascii="Arial" w:cs="Arial" w:eastAsia="Arial" w:hAnsi="Arial"/>
                <w:sz w:val="17"/>
                <w:szCs w:val="17"/>
                <w:color w:val="auto"/>
              </w:rPr>
              <w:t>Additions</w:t>
            </w:r>
          </w:p>
        </w:tc>
        <w:tc>
          <w:tcPr>
            <w:tcW w:w="1120" w:type="dxa"/>
            <w:vAlign w:val="bottom"/>
          </w:tcPr>
          <w:p>
            <w:pPr>
              <w:jc w:val="right"/>
              <w:spacing w:after="0"/>
              <w:rPr>
                <w:sz w:val="20"/>
                <w:szCs w:val="20"/>
                <w:color w:val="auto"/>
              </w:rPr>
            </w:pPr>
            <w:r>
              <w:rPr>
                <w:rFonts w:ascii="Arial" w:cs="Arial" w:eastAsia="Arial" w:hAnsi="Arial"/>
                <w:sz w:val="17"/>
                <w:szCs w:val="17"/>
                <w:color w:val="auto"/>
              </w:rPr>
              <w:t>735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801</w:t>
            </w:r>
          </w:p>
        </w:tc>
        <w:tc>
          <w:tcPr>
            <w:tcW w:w="80" w:type="dxa"/>
            <w:vAlign w:val="bottom"/>
          </w:tcPr>
          <w:p>
            <w:pPr>
              <w:spacing w:after="0"/>
              <w:rPr>
                <w:sz w:val="19"/>
                <w:szCs w:val="19"/>
                <w:color w:val="auto"/>
              </w:rPr>
            </w:pPr>
          </w:p>
        </w:tc>
      </w:tr>
      <w:tr>
        <w:trPr>
          <w:trHeight w:val="221"/>
        </w:trPr>
        <w:tc>
          <w:tcPr>
            <w:tcW w:w="5660" w:type="dxa"/>
            <w:vAlign w:val="bottom"/>
            <w:shd w:val="clear" w:color="auto" w:fill="CFF0FC"/>
          </w:tcPr>
          <w:p>
            <w:pPr>
              <w:spacing w:after="0"/>
              <w:rPr>
                <w:sz w:val="20"/>
                <w:szCs w:val="20"/>
                <w:color w:val="auto"/>
              </w:rPr>
            </w:pPr>
            <w:r>
              <w:rPr>
                <w:rFonts w:ascii="Arial" w:cs="Arial" w:eastAsia="Arial" w:hAnsi="Arial"/>
                <w:sz w:val="17"/>
                <w:szCs w:val="17"/>
                <w:color w:val="auto"/>
              </w:rPr>
              <w:t>Reversals (Note)</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(1,387)</w:t>
            </w:r>
          </w:p>
        </w:tc>
        <w:tc>
          <w:tcPr>
            <w:tcW w:w="5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(1,263)</w:t>
            </w:r>
          </w:p>
        </w:tc>
      </w:tr>
      <w:tr>
        <w:trPr>
          <w:trHeight w:val="214"/>
        </w:trPr>
        <w:tc>
          <w:tcPr>
            <w:tcW w:w="5660" w:type="dxa"/>
            <w:vAlign w:val="bottom"/>
          </w:tcPr>
          <w:p>
            <w:pPr>
              <w:spacing w:after="0"/>
              <w:rPr>
                <w:sz w:val="20"/>
                <w:szCs w:val="20"/>
                <w:color w:val="auto"/>
              </w:rPr>
            </w:pPr>
            <w:r>
              <w:rPr>
                <w:rFonts w:ascii="Arial" w:cs="Arial" w:eastAsia="Arial" w:hAnsi="Arial"/>
                <w:sz w:val="17"/>
                <w:szCs w:val="17"/>
                <w:color w:val="auto"/>
              </w:rPr>
              <w:t>Ending balance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7,573</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6,385</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5,923</w:t>
            </w: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Note:</w:t>
      </w:r>
    </w:p>
    <w:p>
      <w:pPr>
        <w:spacing w:after="0" w:line="182" w:lineRule="exact"/>
        <w:rPr>
          <w:sz w:val="20"/>
          <w:szCs w:val="20"/>
          <w:color w:val="auto"/>
        </w:rPr>
      </w:pPr>
    </w:p>
    <w:p>
      <w:pPr>
        <w:jc w:val="both"/>
        <w:ind w:left="1660"/>
        <w:spacing w:after="0" w:line="286" w:lineRule="auto"/>
        <w:rPr>
          <w:sz w:val="20"/>
          <w:szCs w:val="20"/>
          <w:color w:val="auto"/>
        </w:rPr>
      </w:pPr>
      <w:r>
        <w:rPr>
          <w:rFonts w:ascii="Arial" w:cs="Arial" w:eastAsia="Arial" w:hAnsi="Arial"/>
          <w:sz w:val="17"/>
          <w:szCs w:val="17"/>
          <w:color w:val="auto"/>
        </w:rPr>
        <w:t>The reversals comprise tax loss carryforwards which have been utilized to offset taxable income during the years ended December 31, 2018 and 2019, respectively, and tax loss carryforwards which have been expired in 2018.</w:t>
      </w:r>
    </w:p>
    <w:p>
      <w:pPr>
        <w:spacing w:after="0" w:line="120" w:lineRule="exact"/>
        <w:rPr>
          <w:sz w:val="20"/>
          <w:szCs w:val="20"/>
          <w:color w:val="auto"/>
        </w:rPr>
      </w:pPr>
    </w:p>
    <w:p>
      <w:pPr>
        <w:ind w:left="1660" w:hanging="823"/>
        <w:spacing w:after="0" w:line="286" w:lineRule="auto"/>
        <w:tabs>
          <w:tab w:leader="none" w:pos="16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deferred tax liabilities are recorded for the undistributed earnings in the Group’s VIE in the PRC and its subsidiaries of US$4,012 and US$3,770 as of December 31, 2018 and 2019, respectively</w:t>
      </w:r>
    </w:p>
    <w:p>
      <w:pPr>
        <w:spacing w:after="0" w:line="158" w:lineRule="exact"/>
        <w:rPr>
          <w:rFonts w:ascii="Arial" w:cs="Arial" w:eastAsia="Arial" w:hAnsi="Arial"/>
          <w:sz w:val="17"/>
          <w:szCs w:val="17"/>
          <w:color w:val="auto"/>
        </w:rPr>
      </w:pPr>
    </w:p>
    <w:p>
      <w:pPr>
        <w:ind w:left="5540" w:hanging="104"/>
        <w:spacing w:after="0"/>
        <w:tabs>
          <w:tab w:leader="none" w:pos="554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7"/>
          <w:szCs w:val="17"/>
          <w:b w:val="1"/>
          <w:bCs w:val="1"/>
          <w:color w:val="auto"/>
        </w:rPr>
        <w:t>Income tax (Continued)</w:t>
      </w:r>
    </w:p>
    <w:p>
      <w:pPr>
        <w:spacing w:after="0" w:line="175" w:lineRule="exact"/>
        <w:rPr>
          <w:sz w:val="20"/>
          <w:szCs w:val="20"/>
          <w:color w:val="auto"/>
        </w:rPr>
      </w:pPr>
    </w:p>
    <w:p>
      <w:pPr>
        <w:ind w:left="840" w:right="7220" w:hanging="836"/>
        <w:spacing w:after="0" w:line="479" w:lineRule="auto"/>
        <w:tabs>
          <w:tab w:leader="none" w:pos="8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Deferred tax assets and liabilities (Continued) </w:t>
      </w:r>
      <w:r>
        <w:rPr>
          <w:rFonts w:ascii="Arial" w:cs="Arial" w:eastAsia="Arial" w:hAnsi="Arial"/>
          <w:sz w:val="17"/>
          <w:szCs w:val="17"/>
          <w:i w:val="1"/>
          <w:iCs w:val="1"/>
          <w:color w:val="auto"/>
        </w:rPr>
        <w:t>Tax loss carryforwards</w:t>
      </w:r>
    </w:p>
    <w:p>
      <w:pPr>
        <w:ind w:left="840"/>
        <w:spacing w:after="0" w:line="286" w:lineRule="auto"/>
        <w:rPr>
          <w:rFonts w:ascii="Arial" w:cs="Arial" w:eastAsia="Arial" w:hAnsi="Arial"/>
          <w:sz w:val="17"/>
          <w:szCs w:val="17"/>
          <w:color w:val="auto"/>
        </w:rPr>
      </w:pPr>
      <w:r>
        <w:rPr>
          <w:rFonts w:ascii="Arial" w:cs="Arial" w:eastAsia="Arial" w:hAnsi="Arial"/>
          <w:sz w:val="17"/>
          <w:szCs w:val="17"/>
          <w:color w:val="auto"/>
        </w:rPr>
        <w:t>As of December 31, 2019, the Group had tax loss carryforwards of approximately US$25,432, which can be carried forward to offset future taxable income. The net operating tax loss carryforwards will begin to expire as follows: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85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As of</w:t>
            </w:r>
          </w:p>
        </w:tc>
      </w:tr>
      <w:tr>
        <w:trPr>
          <w:trHeight w:val="221"/>
        </w:trPr>
        <w:tc>
          <w:tcPr>
            <w:tcW w:w="85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December 31,</w:t>
            </w:r>
          </w:p>
        </w:tc>
      </w:tr>
      <w:tr>
        <w:trPr>
          <w:trHeight w:val="221"/>
        </w:trPr>
        <w:tc>
          <w:tcPr>
            <w:tcW w:w="85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80" w:type="dxa"/>
            <w:vAlign w:val="bottom"/>
          </w:tcPr>
          <w:p>
            <w:pPr>
              <w:spacing w:after="0"/>
              <w:rPr>
                <w:sz w:val="19"/>
                <w:szCs w:val="19"/>
                <w:color w:val="auto"/>
              </w:rPr>
            </w:pPr>
          </w:p>
        </w:tc>
      </w:t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2,833</w:t>
            </w:r>
          </w:p>
        </w:tc>
        <w:tc>
          <w:tcPr>
            <w:tcW w:w="80" w:type="dxa"/>
            <w:vAlign w:val="bottom"/>
            <w:shd w:val="clear" w:color="auto" w:fill="CFF0FC"/>
          </w:tcPr>
          <w:p>
            <w:pPr>
              <w:spacing w:after="0"/>
              <w:rPr>
                <w:sz w:val="19"/>
                <w:szCs w:val="19"/>
                <w:color w:val="auto"/>
              </w:rPr>
            </w:pPr>
          </w:p>
        </w:tc>
      </w:t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2021</w:t>
            </w:r>
          </w:p>
        </w:tc>
        <w:tc>
          <w:tcPr>
            <w:tcW w:w="1720" w:type="dxa"/>
            <w:vAlign w:val="bottom"/>
          </w:tcPr>
          <w:p>
            <w:pPr>
              <w:jc w:val="right"/>
              <w:spacing w:after="0"/>
              <w:rPr>
                <w:sz w:val="20"/>
                <w:szCs w:val="20"/>
                <w:color w:val="auto"/>
              </w:rPr>
            </w:pPr>
            <w:r>
              <w:rPr>
                <w:rFonts w:ascii="Arial" w:cs="Arial" w:eastAsia="Arial" w:hAnsi="Arial"/>
                <w:sz w:val="17"/>
                <w:szCs w:val="17"/>
                <w:color w:val="auto"/>
              </w:rPr>
              <w:t>7,580</w:t>
            </w:r>
          </w:p>
        </w:tc>
        <w:tc>
          <w:tcPr>
            <w:tcW w:w="80" w:type="dxa"/>
            <w:vAlign w:val="bottom"/>
          </w:tcPr>
          <w:p>
            <w:pPr>
              <w:spacing w:after="0"/>
              <w:rPr>
                <w:sz w:val="19"/>
                <w:szCs w:val="19"/>
                <w:color w:val="auto"/>
              </w:rPr>
            </w:pPr>
          </w:p>
        </w:tc>
      </w:t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7,845</w:t>
            </w:r>
          </w:p>
        </w:tc>
        <w:tc>
          <w:tcPr>
            <w:tcW w:w="80" w:type="dxa"/>
            <w:vAlign w:val="bottom"/>
            <w:shd w:val="clear" w:color="auto" w:fill="CFF0FC"/>
          </w:tcPr>
          <w:p>
            <w:pPr>
              <w:spacing w:after="0"/>
              <w:rPr>
                <w:sz w:val="19"/>
                <w:szCs w:val="19"/>
                <w:color w:val="auto"/>
              </w:rPr>
            </w:pPr>
          </w:p>
        </w:tc>
      </w:t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2023</w:t>
            </w:r>
          </w:p>
        </w:tc>
        <w:tc>
          <w:tcPr>
            <w:tcW w:w="1720" w:type="dxa"/>
            <w:vAlign w:val="bottom"/>
          </w:tcPr>
          <w:p>
            <w:pPr>
              <w:jc w:val="right"/>
              <w:spacing w:after="0"/>
              <w:rPr>
                <w:sz w:val="20"/>
                <w:szCs w:val="20"/>
                <w:color w:val="auto"/>
              </w:rPr>
            </w:pPr>
            <w:r>
              <w:rPr>
                <w:rFonts w:ascii="Arial" w:cs="Arial" w:eastAsia="Arial" w:hAnsi="Arial"/>
                <w:sz w:val="17"/>
                <w:szCs w:val="17"/>
                <w:color w:val="auto"/>
              </w:rPr>
              <w:t>384</w:t>
            </w:r>
          </w:p>
        </w:tc>
        <w:tc>
          <w:tcPr>
            <w:tcW w:w="80" w:type="dxa"/>
            <w:vAlign w:val="bottom"/>
          </w:tcPr>
          <w:p>
            <w:pPr>
              <w:spacing w:after="0"/>
              <w:rPr>
                <w:sz w:val="19"/>
                <w:szCs w:val="19"/>
                <w:color w:val="auto"/>
              </w:rPr>
            </w:pPr>
          </w:p>
        </w:tc>
      </w:tr>
      <w:tr>
        <w:trPr>
          <w:trHeight w:val="221"/>
        </w:trPr>
        <w:tc>
          <w:tcPr>
            <w:tcW w:w="852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1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4,129</w:t>
            </w:r>
          </w:p>
        </w:tc>
        <w:tc>
          <w:tcPr>
            <w:tcW w:w="80" w:type="dxa"/>
            <w:vAlign w:val="bottom"/>
            <w:shd w:val="clear" w:color="auto" w:fill="CFF0FC"/>
          </w:tcPr>
          <w:p>
            <w:pPr>
              <w:spacing w:after="0"/>
              <w:rPr>
                <w:sz w:val="19"/>
                <w:szCs w:val="19"/>
                <w:color w:val="auto"/>
              </w:rPr>
            </w:pPr>
          </w:p>
        </w:tc>
      </w:tr>
      <w:tr>
        <w:trPr>
          <w:trHeight w:val="221"/>
        </w:trPr>
        <w:tc>
          <w:tcPr>
            <w:tcW w:w="8520" w:type="dxa"/>
            <w:vAlign w:val="bottom"/>
          </w:tcPr>
          <w:p>
            <w:pPr>
              <w:spacing w:after="0"/>
              <w:rPr>
                <w:sz w:val="20"/>
                <w:szCs w:val="20"/>
                <w:color w:val="auto"/>
              </w:rPr>
            </w:pPr>
            <w:r>
              <w:rPr>
                <w:rFonts w:ascii="Arial" w:cs="Arial" w:eastAsia="Arial" w:hAnsi="Arial"/>
                <w:sz w:val="17"/>
                <w:szCs w:val="17"/>
                <w:color w:val="auto"/>
              </w:rPr>
              <w:t>Tax loss with no expiry</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2,661</w:t>
            </w:r>
          </w:p>
        </w:tc>
        <w:tc>
          <w:tcPr>
            <w:tcW w:w="80" w:type="dxa"/>
            <w:vAlign w:val="bottom"/>
          </w:tcPr>
          <w:p>
            <w:pPr>
              <w:spacing w:after="0"/>
              <w:rPr>
                <w:sz w:val="19"/>
                <w:szCs w:val="19"/>
                <w:color w:val="auto"/>
              </w:rPr>
            </w:pPr>
          </w:p>
        </w:tc>
      </w:tr>
      <w:tr>
        <w:trPr>
          <w:trHeight w:val="214"/>
        </w:trPr>
        <w:tc>
          <w:tcPr>
            <w:tcW w:w="85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25,432</w:t>
            </w:r>
          </w:p>
        </w:tc>
        <w:tc>
          <w:tcPr>
            <w:tcW w:w="8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840"/>
        <w:spacing w:after="0" w:line="287" w:lineRule="auto"/>
        <w:rPr>
          <w:sz w:val="20"/>
          <w:szCs w:val="20"/>
          <w:color w:val="auto"/>
        </w:rPr>
      </w:pPr>
      <w:r>
        <w:rPr>
          <w:rFonts w:ascii="Arial" w:cs="Arial" w:eastAsia="Arial" w:hAnsi="Arial"/>
          <w:sz w:val="16"/>
          <w:szCs w:val="16"/>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2014 to 2019 remain subject to examination by the tax authorities. There were no ongoing examinations by tax authorities as of December 31, 2018 and 2019.</w:t>
      </w:r>
    </w:p>
    <w:p>
      <w:pPr>
        <w:spacing w:after="0" w:line="135" w:lineRule="exact"/>
        <w:rPr>
          <w:sz w:val="20"/>
          <w:szCs w:val="20"/>
          <w:color w:val="auto"/>
        </w:rPr>
      </w:pPr>
    </w:p>
    <w:p>
      <w:pPr>
        <w:ind w:left="840" w:hanging="836"/>
        <w:spacing w:after="0"/>
        <w:tabs>
          <w:tab w:leader="none" w:pos="8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Income tax reconciliation</w:t>
      </w:r>
    </w:p>
    <w:p>
      <w:pPr>
        <w:spacing w:after="0" w:line="181" w:lineRule="exact"/>
        <w:rPr>
          <w:rFonts w:ascii="Arial" w:cs="Arial" w:eastAsia="Arial" w:hAnsi="Arial"/>
          <w:sz w:val="17"/>
          <w:szCs w:val="17"/>
          <w:color w:val="auto"/>
        </w:rPr>
      </w:pPr>
    </w:p>
    <w:p>
      <w:pPr>
        <w:ind w:left="840"/>
        <w:spacing w:after="0" w:line="286" w:lineRule="auto"/>
        <w:rPr>
          <w:rFonts w:ascii="Arial" w:cs="Arial" w:eastAsia="Arial" w:hAnsi="Arial"/>
          <w:sz w:val="17"/>
          <w:szCs w:val="17"/>
          <w:color w:val="auto"/>
        </w:rPr>
      </w:pPr>
      <w:r>
        <w:rPr>
          <w:rFonts w:ascii="Arial" w:cs="Arial" w:eastAsia="Arial" w:hAnsi="Arial"/>
          <w:sz w:val="17"/>
          <w:szCs w:val="17"/>
          <w:color w:val="auto"/>
        </w:rPr>
        <w:t>Reconciliation between the expense of income taxes computed by applying the statutory tax rates to loss before income taxes and the actual provision for income taxes is as follows:</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3440" w:type="dxa"/>
            <w:vAlign w:val="bottom"/>
            <w:gridSpan w:val="5"/>
          </w:tcPr>
          <w:p>
            <w:pPr>
              <w:ind w:left="860"/>
              <w:spacing w:after="0"/>
              <w:rPr>
                <w:sz w:val="20"/>
                <w:szCs w:val="20"/>
                <w:color w:val="auto"/>
              </w:rPr>
            </w:pPr>
            <w:r>
              <w:rPr>
                <w:rFonts w:ascii="Arial" w:cs="Arial" w:eastAsia="Arial" w:hAnsi="Arial"/>
                <w:sz w:val="17"/>
                <w:szCs w:val="17"/>
                <w:color w:val="auto"/>
                <w:w w:val="97"/>
              </w:rPr>
              <w:t>For the years ended December 31,</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6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Tax benefit calculated at statutory tax rates (Note i)</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(3,972)</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(7,989)</w:t>
            </w: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(2,599)</w:t>
            </w:r>
          </w:p>
        </w:tc>
      </w:tr>
      <w:tr>
        <w:trPr>
          <w:trHeight w:val="209"/>
        </w:trPr>
        <w:tc>
          <w:tcPr>
            <w:tcW w:w="6140" w:type="dxa"/>
            <w:vAlign w:val="bottom"/>
          </w:tcPr>
          <w:p>
            <w:pPr>
              <w:spacing w:after="0"/>
              <w:rPr>
                <w:sz w:val="20"/>
                <w:szCs w:val="20"/>
                <w:color w:val="auto"/>
              </w:rPr>
            </w:pPr>
            <w:r>
              <w:rPr>
                <w:rFonts w:ascii="Arial" w:cs="Arial" w:eastAsia="Arial" w:hAnsi="Arial"/>
                <w:sz w:val="17"/>
                <w:szCs w:val="17"/>
                <w:color w:val="auto"/>
              </w:rPr>
              <w:t>Effect of differences between statutory tax rates and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6140" w:type="dxa"/>
            <w:vAlign w:val="bottom"/>
          </w:tcPr>
          <w:p>
            <w:pPr>
              <w:ind w:left="120"/>
              <w:spacing w:after="0"/>
              <w:rPr>
                <w:sz w:val="20"/>
                <w:szCs w:val="20"/>
                <w:color w:val="auto"/>
              </w:rPr>
            </w:pPr>
            <w:r>
              <w:rPr>
                <w:rFonts w:ascii="Arial" w:cs="Arial" w:eastAsia="Arial" w:hAnsi="Arial"/>
                <w:sz w:val="17"/>
                <w:szCs w:val="17"/>
                <w:color w:val="auto"/>
              </w:rPr>
              <w:t>foreign effective tax rates</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(1,172)</w:t>
            </w:r>
          </w:p>
        </w:tc>
        <w:tc>
          <w:tcPr>
            <w:tcW w:w="1200" w:type="dxa"/>
            <w:vAlign w:val="bottom"/>
          </w:tcPr>
          <w:p>
            <w:pPr>
              <w:jc w:val="right"/>
              <w:spacing w:after="0"/>
              <w:rPr>
                <w:sz w:val="20"/>
                <w:szCs w:val="20"/>
                <w:color w:val="auto"/>
              </w:rPr>
            </w:pPr>
            <w:r>
              <w:rPr>
                <w:rFonts w:ascii="Arial" w:cs="Arial" w:eastAsia="Arial" w:hAnsi="Arial"/>
                <w:sz w:val="17"/>
                <w:szCs w:val="17"/>
                <w:color w:val="auto"/>
              </w:rPr>
              <w:t>2,804</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1,999</w:t>
            </w:r>
          </w:p>
        </w:tc>
        <w:tc>
          <w:tcPr>
            <w:tcW w:w="80" w:type="dxa"/>
            <w:vAlign w:val="bottom"/>
          </w:tcPr>
          <w:p>
            <w:pPr>
              <w:spacing w:after="0"/>
              <w:rPr>
                <w:sz w:val="19"/>
                <w:szCs w:val="19"/>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Non-taxable other income</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(275)</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(274)</w:t>
            </w: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(235)</w:t>
            </w: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Non-deductible expenses (Note ii)</w:t>
            </w:r>
          </w:p>
        </w:tc>
        <w:tc>
          <w:tcPr>
            <w:tcW w:w="1220" w:type="dxa"/>
            <w:vAlign w:val="bottom"/>
          </w:tcPr>
          <w:p>
            <w:pPr>
              <w:jc w:val="right"/>
              <w:spacing w:after="0"/>
              <w:rPr>
                <w:sz w:val="20"/>
                <w:szCs w:val="20"/>
                <w:color w:val="auto"/>
              </w:rPr>
            </w:pPr>
            <w:r>
              <w:rPr>
                <w:rFonts w:ascii="Arial" w:cs="Arial" w:eastAsia="Arial" w:hAnsi="Arial"/>
                <w:sz w:val="17"/>
                <w:szCs w:val="17"/>
                <w:color w:val="auto"/>
              </w:rPr>
              <w:t>4,861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6,784</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1,338</w:t>
            </w:r>
          </w:p>
        </w:tc>
        <w:tc>
          <w:tcPr>
            <w:tcW w:w="80" w:type="dxa"/>
            <w:vAlign w:val="bottom"/>
          </w:tcPr>
          <w:p>
            <w:pPr>
              <w:spacing w:after="0"/>
              <w:rPr>
                <w:sz w:val="19"/>
                <w:szCs w:val="19"/>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Valuation allowance</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735</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(1,188)</w:t>
            </w: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(462)</w:t>
            </w: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Outside basis difference (Note iii)</w:t>
            </w:r>
          </w:p>
        </w:tc>
        <w:tc>
          <w:tcPr>
            <w:tcW w:w="1220" w:type="dxa"/>
            <w:vAlign w:val="bottom"/>
          </w:tcPr>
          <w:p>
            <w:pPr>
              <w:jc w:val="right"/>
              <w:spacing w:after="0"/>
              <w:rPr>
                <w:sz w:val="20"/>
                <w:szCs w:val="20"/>
                <w:color w:val="auto"/>
              </w:rPr>
            </w:pPr>
            <w:r>
              <w:rPr>
                <w:rFonts w:ascii="Arial" w:cs="Arial" w:eastAsia="Arial" w:hAnsi="Arial"/>
                <w:sz w:val="17"/>
                <w:szCs w:val="17"/>
                <w:color w:val="auto"/>
              </w:rPr>
              <w:t>486</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518</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Others</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(115)</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FF0FC"/>
          </w:tcPr>
          <w:p>
            <w:pPr>
              <w:spacing w:after="0"/>
              <w:rPr>
                <w:sz w:val="19"/>
                <w:szCs w:val="19"/>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7"/>
                <w:szCs w:val="17"/>
                <w:color w:val="auto"/>
              </w:rPr>
              <w:t>Income tax expense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548</w:t>
            </w:r>
          </w:p>
        </w:tc>
        <w:tc>
          <w:tcPr>
            <w:tcW w:w="2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24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Note:</w:t>
      </w:r>
    </w:p>
    <w:p>
      <w:pPr>
        <w:spacing w:after="0" w:line="182" w:lineRule="exact"/>
        <w:rPr>
          <w:sz w:val="20"/>
          <w:szCs w:val="20"/>
          <w:color w:val="auto"/>
        </w:rPr>
      </w:pPr>
    </w:p>
    <w:p>
      <w:pPr>
        <w:jc w:val="both"/>
        <w:ind w:left="1660" w:hanging="823"/>
        <w:spacing w:after="0" w:line="287" w:lineRule="auto"/>
        <w:tabs>
          <w:tab w:leader="none" w:pos="16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Group’s major operation during the year ended December 31, 2017 was conducted out of Hong Kong. Accordingly, the Group prepared its tax rate reconciliation starting with the Hong Kong statutory tax rate for the year ended December 31, 2017. The Group’s major operation during the years ended December 31, 2018 and 2019 was conducted out of the PRC. Accordingly, the Group prepared its tax rate reconciliation starting with the PRC statutory tax rate during the years ended December 31, 2018 and 2019.</w:t>
      </w:r>
    </w:p>
    <w:p>
      <w:pPr>
        <w:spacing w:after="0" w:line="160" w:lineRule="exact"/>
        <w:rPr>
          <w:rFonts w:ascii="Arial" w:cs="Arial" w:eastAsia="Arial" w:hAnsi="Arial"/>
          <w:sz w:val="16"/>
          <w:szCs w:val="16"/>
          <w:color w:val="auto"/>
        </w:rPr>
      </w:pPr>
    </w:p>
    <w:p>
      <w:pPr>
        <w:ind w:left="5540" w:hanging="104"/>
        <w:spacing w:after="0"/>
        <w:tabs>
          <w:tab w:leader="none" w:pos="554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7"/>
          <w:szCs w:val="17"/>
          <w:b w:val="1"/>
          <w:bCs w:val="1"/>
          <w:color w:val="auto"/>
        </w:rPr>
        <w:t>Income tax (Continued)</w:t>
      </w:r>
    </w:p>
    <w:p>
      <w:pPr>
        <w:spacing w:after="0" w:line="227" w:lineRule="exact"/>
        <w:rPr>
          <w:sz w:val="20"/>
          <w:szCs w:val="20"/>
          <w:color w:val="auto"/>
        </w:rPr>
      </w:pPr>
    </w:p>
    <w:p>
      <w:pPr>
        <w:ind w:left="840" w:hanging="836"/>
        <w:spacing w:after="0"/>
        <w:tabs>
          <w:tab w:leader="none" w:pos="8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Income tax reconciliation (Continued)</w:t>
      </w:r>
    </w:p>
    <w:p>
      <w:pPr>
        <w:spacing w:after="0" w:line="220" w:lineRule="exact"/>
        <w:rPr>
          <w:rFonts w:ascii="Arial" w:cs="Arial" w:eastAsia="Arial" w:hAnsi="Arial"/>
          <w:sz w:val="17"/>
          <w:szCs w:val="17"/>
          <w:color w:val="auto"/>
        </w:rPr>
      </w:pPr>
    </w:p>
    <w:p>
      <w:pPr>
        <w:ind w:left="840" w:right="20"/>
        <w:spacing w:after="0" w:line="286" w:lineRule="auto"/>
        <w:rPr>
          <w:rFonts w:ascii="Arial" w:cs="Arial" w:eastAsia="Arial" w:hAnsi="Arial"/>
          <w:sz w:val="17"/>
          <w:szCs w:val="17"/>
          <w:color w:val="auto"/>
        </w:rPr>
      </w:pPr>
      <w:r>
        <w:rPr>
          <w:rFonts w:ascii="Arial" w:cs="Arial" w:eastAsia="Arial" w:hAnsi="Arial"/>
          <w:sz w:val="17"/>
          <w:szCs w:val="17"/>
          <w:color w:val="auto"/>
        </w:rPr>
        <w:t>Reconciliation between the expense of income taxes computed by applying the statutory tax rates to loss before income taxes and the actual provision for income taxes is as follows: (Continued)</w:t>
      </w:r>
    </w:p>
    <w:p>
      <w:pPr>
        <w:spacing w:after="0" w:line="158"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7"/>
          <w:szCs w:val="17"/>
          <w:color w:val="auto"/>
        </w:rPr>
        <w:t>Note: (Continued)</w:t>
      </w:r>
    </w:p>
    <w:p>
      <w:pPr>
        <w:spacing w:after="0" w:line="220" w:lineRule="exact"/>
        <w:rPr>
          <w:rFonts w:ascii="Arial" w:cs="Arial" w:eastAsia="Arial" w:hAnsi="Arial"/>
          <w:sz w:val="17"/>
          <w:szCs w:val="17"/>
          <w:color w:val="auto"/>
        </w:rPr>
      </w:pPr>
    </w:p>
    <w:p>
      <w:pPr>
        <w:ind w:left="1660" w:right="20" w:hanging="823"/>
        <w:spacing w:after="0" w:line="286" w:lineRule="auto"/>
        <w:tabs>
          <w:tab w:leader="none" w:pos="166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Non-deductible expenses were mainly related to share-based compensation expenses, fair value losses on derivative liabilities and fair value losses on convertible notes.</w:t>
      </w:r>
    </w:p>
    <w:p>
      <w:pPr>
        <w:spacing w:after="0" w:line="119" w:lineRule="exact"/>
        <w:rPr>
          <w:rFonts w:ascii="Arial" w:cs="Arial" w:eastAsia="Arial" w:hAnsi="Arial"/>
          <w:sz w:val="17"/>
          <w:szCs w:val="17"/>
          <w:color w:val="auto"/>
        </w:rPr>
      </w:pPr>
    </w:p>
    <w:p>
      <w:pPr>
        <w:ind w:left="1660" w:hanging="823"/>
        <w:spacing w:after="0"/>
        <w:tabs>
          <w:tab w:leader="none" w:pos="166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Outside basis difference is related to undistributed earnings in the Group’s VIE in the PRC and its subsidiaries (Note 25(e)(ii)).</w:t>
      </w:r>
    </w:p>
    <w:p>
      <w:pPr>
        <w:spacing w:after="0" w:line="176" w:lineRule="exact"/>
        <w:rPr>
          <w:sz w:val="20"/>
          <w:szCs w:val="20"/>
          <w:color w:val="auto"/>
        </w:rPr>
      </w:pPr>
    </w:p>
    <w:p>
      <w:pPr>
        <w:ind w:left="840" w:hanging="836"/>
        <w:spacing w:after="0"/>
        <w:tabs>
          <w:tab w:leader="none" w:pos="84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Basic and diluted net loss per share</w:t>
      </w:r>
    </w:p>
    <w:p>
      <w:pPr>
        <w:spacing w:after="0" w:line="187"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Basic and diluted net loss per share for the years ended December 31, 2017, 2018 and 2019 are calculated as follows:</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3260" w:type="dxa"/>
            <w:vAlign w:val="bottom"/>
            <w:gridSpan w:val="5"/>
          </w:tcPr>
          <w:p>
            <w:pPr>
              <w:ind w:left="860"/>
              <w:spacing w:after="0"/>
              <w:rPr>
                <w:sz w:val="20"/>
                <w:szCs w:val="20"/>
                <w:color w:val="auto"/>
              </w:rPr>
            </w:pPr>
            <w:r>
              <w:rPr>
                <w:rFonts w:ascii="Arial" w:cs="Arial" w:eastAsia="Arial" w:hAnsi="Arial"/>
                <w:sz w:val="17"/>
                <w:szCs w:val="17"/>
                <w:color w:val="auto"/>
                <w:w w:val="90"/>
              </w:rPr>
              <w:t>For the years ended December 31,</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Numerator:</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Arial" w:cs="Arial" w:eastAsia="Arial" w:hAnsi="Arial"/>
                <w:sz w:val="17"/>
                <w:szCs w:val="17"/>
                <w:color w:val="auto"/>
              </w:rPr>
              <w:t>Net loss attributable to ordinary shareholders of the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tcPr>
          <w:p>
            <w:pPr>
              <w:ind w:left="120"/>
              <w:spacing w:after="0"/>
              <w:rPr>
                <w:sz w:val="20"/>
                <w:szCs w:val="20"/>
                <w:color w:val="auto"/>
              </w:rPr>
            </w:pPr>
            <w:r>
              <w:rPr>
                <w:rFonts w:ascii="Arial" w:cs="Arial" w:eastAsia="Arial" w:hAnsi="Arial"/>
                <w:sz w:val="17"/>
                <w:szCs w:val="17"/>
                <w:color w:val="auto"/>
              </w:rPr>
              <w:t>Company</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(24,619)</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(32,409)</w:t>
            </w:r>
          </w:p>
        </w:tc>
        <w:tc>
          <w:tcPr>
            <w:tcW w:w="3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(9,603)</w:t>
            </w: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Accretion of convertible redeemable preferred</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shares redemption value</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(1,662)</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Arial" w:cs="Arial" w:eastAsia="Arial" w:hAnsi="Arial"/>
                <w:sz w:val="17"/>
                <w:szCs w:val="17"/>
                <w:color w:val="auto"/>
              </w:rPr>
              <w:t>Accretion to redeemable ordinary shares redemption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tcPr>
          <w:p>
            <w:pPr>
              <w:ind w:left="120"/>
              <w:spacing w:after="0"/>
              <w:rPr>
                <w:sz w:val="20"/>
                <w:szCs w:val="20"/>
                <w:color w:val="auto"/>
              </w:rPr>
            </w:pPr>
            <w:r>
              <w:rPr>
                <w:rFonts w:ascii="Arial" w:cs="Arial" w:eastAsia="Arial" w:hAnsi="Arial"/>
                <w:sz w:val="17"/>
                <w:szCs w:val="17"/>
                <w:color w:val="auto"/>
              </w:rPr>
              <w:t>value</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(3,650)</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Numerator for basic and diluted net loss per share</w:t>
            </w: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40" w:type="dxa"/>
            <w:vAlign w:val="bottom"/>
            <w:vMerge w:val="continue"/>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(29,931)</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(32,409)</w:t>
            </w: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(9,603)</w:t>
            </w: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Denominator:</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Denominator for basic and diluted net loss per share</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weighted average shares outstanding</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13,931,503</w:t>
            </w:r>
          </w:p>
        </w:tc>
        <w:tc>
          <w:tcPr>
            <w:tcW w:w="220" w:type="dxa"/>
            <w:vAlign w:val="bottom"/>
            <w:tcBorders>
              <w:bottom w:val="single" w:sz="8" w:color="CFF0FC"/>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26,452,409</w:t>
            </w:r>
          </w:p>
        </w:tc>
        <w:tc>
          <w:tcPr>
            <w:tcW w:w="2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28,583,548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Basic net loss per share</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(2.15)</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(1.23)</w:t>
            </w:r>
          </w:p>
        </w:tc>
        <w:tc>
          <w:tcPr>
            <w:tcW w:w="3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Diluted net loss per share</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(2.15)</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(1.23)</w:t>
            </w:r>
          </w:p>
        </w:tc>
        <w:tc>
          <w:tcPr>
            <w:tcW w:w="3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840" w:right="20"/>
        <w:spacing w:after="0" w:line="265" w:lineRule="auto"/>
        <w:rPr>
          <w:sz w:val="20"/>
          <w:szCs w:val="20"/>
          <w:color w:val="auto"/>
        </w:rPr>
      </w:pPr>
      <w:r>
        <w:rPr>
          <w:rFonts w:ascii="Arial" w:cs="Arial" w:eastAsia="Arial" w:hAnsi="Arial"/>
          <w:sz w:val="17"/>
          <w:szCs w:val="17"/>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2017, 2018 and 2019.</w:t>
      </w:r>
    </w:p>
    <w:p>
      <w:pPr>
        <w:spacing w:after="0" w:line="151" w:lineRule="exact"/>
        <w:rPr>
          <w:sz w:val="20"/>
          <w:szCs w:val="20"/>
          <w:color w:val="auto"/>
        </w:rPr>
      </w:pPr>
    </w:p>
    <w:p>
      <w:pPr>
        <w:jc w:val="both"/>
        <w:ind w:left="840" w:right="20"/>
        <w:spacing w:after="0" w:line="286" w:lineRule="auto"/>
        <w:rPr>
          <w:sz w:val="20"/>
          <w:szCs w:val="20"/>
          <w:color w:val="auto"/>
        </w:rPr>
      </w:pPr>
      <w:r>
        <w:rPr>
          <w:rFonts w:ascii="Arial" w:cs="Arial" w:eastAsia="Arial" w:hAnsi="Arial"/>
          <w:sz w:val="17"/>
          <w:szCs w:val="17"/>
          <w:color w:val="auto"/>
        </w:rPr>
        <w:t>The share options, RSUs, warrants and convertible notes were excluded from the computation of diluted net loss per ordinary share for the years presented because including them would have had an anti-dilutive effect.</w:t>
      </w:r>
    </w:p>
    <w:p>
      <w:pPr>
        <w:spacing w:after="0" w:line="159" w:lineRule="exact"/>
        <w:rPr>
          <w:sz w:val="20"/>
          <w:szCs w:val="20"/>
          <w:color w:val="auto"/>
        </w:rPr>
      </w:pPr>
    </w:p>
    <w:p>
      <w:pPr>
        <w:jc w:val="both"/>
        <w:ind w:left="840" w:right="20"/>
        <w:spacing w:after="0" w:line="286" w:lineRule="auto"/>
        <w:rPr>
          <w:sz w:val="20"/>
          <w:szCs w:val="20"/>
          <w:color w:val="auto"/>
        </w:rPr>
      </w:pPr>
      <w:r>
        <w:rPr>
          <w:rFonts w:ascii="Arial" w:cs="Arial" w:eastAsia="Arial" w:hAnsi="Arial"/>
          <w:sz w:val="17"/>
          <w:szCs w:val="17"/>
          <w:color w:val="auto"/>
        </w:rPr>
        <w:t>The following ordinary share equivalents were excluded from the computation of diluted net loss per ordinary share for the years presented because including them would have had an anti-dilutive effect: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40" w:type="dxa"/>
            <w:vAlign w:val="bottom"/>
          </w:tcPr>
          <w:p>
            <w:pPr>
              <w:jc w:val="right"/>
              <w:ind w:right="393"/>
              <w:spacing w:after="0"/>
              <w:rPr>
                <w:sz w:val="20"/>
                <w:szCs w:val="20"/>
                <w:color w:val="auto"/>
              </w:rPr>
            </w:pPr>
            <w:r>
              <w:rPr>
                <w:rFonts w:ascii="Arial" w:cs="Arial" w:eastAsia="Arial" w:hAnsi="Arial"/>
                <w:sz w:val="17"/>
                <w:szCs w:val="17"/>
                <w:color w:val="auto"/>
                <w:w w:val="95"/>
              </w:rPr>
              <w:t>As of December 31,</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2017</w:t>
            </w:r>
          </w:p>
        </w:tc>
        <w:tc>
          <w:tcPr>
            <w:tcW w:w="1940" w:type="dxa"/>
            <w:vAlign w:val="bottom"/>
          </w:tcPr>
          <w:p>
            <w:pPr>
              <w:jc w:val="right"/>
              <w:ind w:right="493"/>
              <w:spacing w:after="0"/>
              <w:rPr>
                <w:sz w:val="20"/>
                <w:szCs w:val="20"/>
                <w:color w:val="auto"/>
              </w:rPr>
            </w:pPr>
            <w:r>
              <w:rPr>
                <w:rFonts w:ascii="Arial" w:cs="Arial" w:eastAsia="Arial" w:hAnsi="Arial"/>
                <w:sz w:val="17"/>
                <w:szCs w:val="17"/>
                <w:color w:val="auto"/>
              </w:rPr>
              <w:t>2018</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Share options, RSUs and warrants – weighted average (thousands)</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1,071</w:t>
            </w:r>
          </w:p>
        </w:tc>
        <w:tc>
          <w:tcPr>
            <w:tcW w:w="1940" w:type="dxa"/>
            <w:vAlign w:val="bottom"/>
            <w:shd w:val="clear" w:color="auto" w:fill="CFF0FC"/>
          </w:tcPr>
          <w:p>
            <w:pPr>
              <w:jc w:val="right"/>
              <w:ind w:right="493"/>
              <w:spacing w:after="0"/>
              <w:rPr>
                <w:sz w:val="20"/>
                <w:szCs w:val="20"/>
                <w:color w:val="auto"/>
              </w:rPr>
            </w:pPr>
            <w:r>
              <w:rPr>
                <w:rFonts w:ascii="Arial" w:cs="Arial" w:eastAsia="Arial" w:hAnsi="Arial"/>
                <w:sz w:val="17"/>
                <w:szCs w:val="17"/>
                <w:color w:val="auto"/>
              </w:rPr>
              <w:t>505</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505</w:t>
            </w:r>
          </w:p>
        </w:tc>
        <w:tc>
          <w:tcPr>
            <w:tcW w:w="20" w:type="dxa"/>
            <w:vAlign w:val="bottom"/>
          </w:tcPr>
          <w:p>
            <w:pPr>
              <w:spacing w:after="0"/>
              <w:rPr>
                <w:sz w:val="19"/>
                <w:szCs w:val="19"/>
                <w:color w:val="auto"/>
              </w:rPr>
            </w:pPr>
          </w:p>
        </w:tc>
      </w:tr>
      <w:tr>
        <w:trPr>
          <w:trHeight w:val="221"/>
        </w:trPr>
        <w:tc>
          <w:tcPr>
            <w:tcW w:w="9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Convertible notes – weighted average (thousands)</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493"/>
              <w:spacing w:after="0"/>
              <w:rPr>
                <w:sz w:val="20"/>
                <w:szCs w:val="20"/>
                <w:color w:val="auto"/>
              </w:rPr>
            </w:pPr>
            <w:r>
              <w:rPr>
                <w:rFonts w:ascii="Arial" w:cs="Arial" w:eastAsia="Arial" w:hAnsi="Arial"/>
                <w:sz w:val="17"/>
                <w:szCs w:val="17"/>
                <w:color w:val="auto"/>
              </w:rPr>
              <w:t>929</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6,909</w:t>
            </w:r>
          </w:p>
        </w:tc>
        <w:tc>
          <w:tcPr>
            <w:tcW w:w="20" w:type="dxa"/>
            <w:vAlign w:val="bottom"/>
          </w:tcPr>
          <w:p>
            <w:pPr>
              <w:spacing w:after="0"/>
              <w:rPr>
                <w:sz w:val="19"/>
                <w:szCs w:val="19"/>
                <w:color w:val="auto"/>
              </w:rPr>
            </w:pPr>
          </w:p>
        </w:tc>
      </w:tr>
      <w:tr>
        <w:trPr>
          <w:trHeight w:val="416"/>
        </w:trPr>
        <w:tc>
          <w:tcPr>
            <w:tcW w:w="920" w:type="dxa"/>
            <w:vAlign w:val="bottom"/>
          </w:tcPr>
          <w:p>
            <w:pPr>
              <w:spacing w:after="0"/>
              <w:rPr>
                <w:sz w:val="24"/>
                <w:szCs w:val="24"/>
                <w:color w:val="auto"/>
              </w:rPr>
            </w:pPr>
          </w:p>
        </w:tc>
        <w:tc>
          <w:tcPr>
            <w:tcW w:w="5920" w:type="dxa"/>
            <w:vAlign w:val="bottom"/>
          </w:tcPr>
          <w:p>
            <w:pPr>
              <w:jc w:val="right"/>
              <w:ind w:right="933"/>
              <w:spacing w:after="0"/>
              <w:rPr>
                <w:sz w:val="20"/>
                <w:szCs w:val="20"/>
                <w:color w:val="auto"/>
              </w:rPr>
            </w:pPr>
            <w:r>
              <w:rPr>
                <w:rFonts w:ascii="Arial" w:cs="Arial" w:eastAsia="Arial" w:hAnsi="Arial"/>
                <w:sz w:val="17"/>
                <w:szCs w:val="17"/>
                <w:color w:val="auto"/>
              </w:rPr>
              <w:t>-76-</w:t>
            </w:r>
          </w:p>
        </w:tc>
        <w:tc>
          <w:tcPr>
            <w:tcW w:w="1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59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3" w:name="page214"/>
    <w:bookmarkEnd w:id="213"/>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398" w:lineRule="exact"/>
        <w:rPr>
          <w:sz w:val="20"/>
          <w:szCs w:val="20"/>
          <w:color w:val="auto"/>
        </w:rPr>
      </w:pPr>
    </w:p>
    <w:p>
      <w:pPr>
        <w:ind w:left="836" w:hanging="836"/>
        <w:spacing w:after="0"/>
        <w:tabs>
          <w:tab w:leader="none" w:pos="836"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74" w:lineRule="exact"/>
        <w:rPr>
          <w:rFonts w:ascii="Arial" w:cs="Arial" w:eastAsia="Arial" w:hAnsi="Arial"/>
          <w:sz w:val="17"/>
          <w:szCs w:val="17"/>
          <w:b w:val="1"/>
          <w:bCs w:val="1"/>
          <w:color w:val="auto"/>
        </w:rPr>
      </w:pPr>
    </w:p>
    <w:p>
      <w:pPr>
        <w:ind w:left="836"/>
        <w:spacing w:after="0" w:line="286" w:lineRule="auto"/>
        <w:rPr>
          <w:rFonts w:ascii="Arial" w:cs="Arial" w:eastAsia="Arial" w:hAnsi="Arial"/>
          <w:sz w:val="17"/>
          <w:szCs w:val="17"/>
          <w:b w:val="1"/>
          <w:bCs w:val="1"/>
          <w:color w:val="auto"/>
        </w:rPr>
      </w:pPr>
      <w:r>
        <w:rPr>
          <w:rFonts w:ascii="Arial" w:cs="Arial" w:eastAsia="Arial" w:hAnsi="Arial"/>
          <w:sz w:val="17"/>
          <w:szCs w:val="17"/>
          <w:color w:val="auto"/>
        </w:rPr>
        <w:t>Save as disclosed elsewhere in these consolidated financial statements, there were no transactions nor balances with related parties as of and for the years ended December 31, 2017 and 2019.</w:t>
      </w:r>
    </w:p>
    <w:p>
      <w:pPr>
        <w:spacing w:after="0" w:line="120" w:lineRule="exact"/>
        <w:rPr>
          <w:sz w:val="20"/>
          <w:szCs w:val="20"/>
          <w:color w:val="auto"/>
        </w:rPr>
      </w:pPr>
    </w:p>
    <w:p>
      <w:pPr>
        <w:ind w:left="836"/>
        <w:spacing w:after="0"/>
        <w:rPr>
          <w:sz w:val="20"/>
          <w:szCs w:val="20"/>
          <w:color w:val="auto"/>
        </w:rPr>
      </w:pPr>
      <w:r>
        <w:rPr>
          <w:rFonts w:ascii="Arial" w:cs="Arial" w:eastAsia="Arial" w:hAnsi="Arial"/>
          <w:sz w:val="16"/>
          <w:szCs w:val="16"/>
          <w:color w:val="auto"/>
        </w:rPr>
        <w:t>The table below sets forth the major related parties and their relationships with the Company as of and for the year ended December 31, 2018:</w:t>
      </w:r>
    </w:p>
    <w:p>
      <w:pPr>
        <w:sectPr>
          <w:pgSz w:w="11900" w:h="16838" w:orient="portrait"/>
          <w:cols w:equalWidth="0" w:num="1">
            <w:col w:w="11236"/>
          </w:cols>
          <w:pgMar w:left="324" w:top="122" w:right="339" w:bottom="1440" w:gutter="0" w:footer="0" w:header="0"/>
        </w:sectPr>
      </w:pPr>
    </w:p>
    <w:p>
      <w:pPr>
        <w:spacing w:after="0" w:line="174" w:lineRule="exact"/>
        <w:rPr>
          <w:sz w:val="20"/>
          <w:szCs w:val="20"/>
          <w:color w:val="auto"/>
        </w:rPr>
      </w:pPr>
    </w:p>
    <w:p>
      <w:pPr>
        <w:ind w:left="916"/>
        <w:spacing w:after="0"/>
        <w:rPr>
          <w:sz w:val="20"/>
          <w:szCs w:val="20"/>
          <w:color w:val="auto"/>
        </w:rPr>
      </w:pPr>
      <w:r>
        <w:rPr>
          <w:rFonts w:ascii="Arial" w:cs="Arial" w:eastAsia="Arial" w:hAnsi="Arial"/>
          <w:sz w:val="16"/>
          <w:szCs w:val="16"/>
          <w:b w:val="1"/>
          <w:bCs w:val="1"/>
          <w:color w:val="auto"/>
        </w:rPr>
        <w:t>Related party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 with the Company</w:t>
      </w:r>
    </w:p>
    <w:p>
      <w:pPr>
        <w:spacing w:after="0" w:line="197" w:lineRule="exact"/>
        <w:rPr>
          <w:sz w:val="20"/>
          <w:szCs w:val="20"/>
          <w:color w:val="auto"/>
        </w:rPr>
      </w:pPr>
    </w:p>
    <w:p>
      <w:pPr>
        <w:sectPr>
          <w:pgSz w:w="11900" w:h="16838" w:orient="portrait"/>
          <w:cols w:equalWidth="0" w:num="2">
            <w:col w:w="5356" w:space="720"/>
            <w:col w:w="5160"/>
          </w:cols>
          <w:pgMar w:left="324" w:top="122" w:right="339" w:bottom="1440" w:gutter="0" w:footer="0" w:header="0"/>
          <w:type w:val="continuous"/>
        </w:sectPr>
      </w:pPr>
    </w:p>
    <w:p>
      <w:pPr>
        <w:ind w:left="916"/>
        <w:spacing w:after="0"/>
        <w:rPr>
          <w:sz w:val="20"/>
          <w:szCs w:val="20"/>
          <w:color w:val="auto"/>
        </w:rPr>
      </w:pPr>
      <w:r>
        <w:rPr>
          <w:rFonts w:ascii="Arial" w:cs="Arial" w:eastAsia="Arial" w:hAnsi="Arial"/>
          <w:sz w:val="16"/>
          <w:szCs w:val="16"/>
          <w:color w:val="auto"/>
        </w:rPr>
        <w:t>Aladdin Fintech Company Limited</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7"/>
          <w:szCs w:val="17"/>
          <w:color w:val="auto"/>
        </w:rPr>
        <w:t>An entity controlled by a former director of the Company resigned on May 28, 2019</w:t>
      </w:r>
    </w:p>
    <w:p>
      <w:pPr>
        <w:spacing w:after="0" w:line="146" w:lineRule="exact"/>
        <w:rPr>
          <w:sz w:val="20"/>
          <w:szCs w:val="20"/>
          <w:color w:val="auto"/>
        </w:rPr>
      </w:pPr>
    </w:p>
    <w:p>
      <w:pPr>
        <w:sectPr>
          <w:pgSz w:w="11900" w:h="16838" w:orient="portrait"/>
          <w:cols w:equalWidth="0" w:num="2">
            <w:col w:w="5356" w:space="720"/>
            <w:col w:w="5160"/>
          </w:cols>
          <w:pgMar w:left="324" w:top="122" w:right="339" w:bottom="1440" w:gutter="0" w:footer="0" w:header="0"/>
          <w:type w:val="continuous"/>
        </w:sectPr>
      </w:pPr>
    </w:p>
    <w:p>
      <w:pPr>
        <w:ind w:left="1656" w:hanging="823"/>
        <w:spacing w:after="0"/>
        <w:tabs>
          <w:tab w:leader="none" w:pos="1656"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Group entered into the following transactions with the major related party for the year ended December 31, 2018:</w:t>
      </w:r>
    </w:p>
    <w:p>
      <w:pPr>
        <w:spacing w:after="0" w:line="207" w:lineRule="exact"/>
        <w:rPr>
          <w:sz w:val="20"/>
          <w:szCs w:val="20"/>
          <w:color w:val="auto"/>
        </w:rPr>
      </w:pPr>
    </w:p>
    <w:tbl>
      <w:tblPr>
        <w:tblLayout w:type="fixed"/>
        <w:tblInd w:w="836" w:type="dxa"/>
        <w:tblCellMar>
          <w:top w:w="0" w:type="dxa"/>
          <w:left w:w="0" w:type="dxa"/>
          <w:bottom w:w="0" w:type="dxa"/>
          <w:right w:w="0" w:type="dxa"/>
        </w:tblCellMar>
      </w:tblPr>
      <w:tr>
        <w:trPr>
          <w:trHeight w:val="221"/>
        </w:trPr>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60" w:type="dxa"/>
            <w:vAlign w:val="bottom"/>
            <w:gridSpan w:val="3"/>
            <w:shd w:val="clear" w:color="auto" w:fill="CFF0FC"/>
          </w:tcPr>
          <w:p>
            <w:pPr>
              <w:spacing w:after="0"/>
              <w:rPr>
                <w:sz w:val="20"/>
                <w:szCs w:val="20"/>
                <w:color w:val="auto"/>
              </w:rPr>
            </w:pPr>
            <w:r>
              <w:rPr>
                <w:rFonts w:ascii="Arial" w:cs="Arial" w:eastAsia="Arial" w:hAnsi="Arial"/>
                <w:sz w:val="17"/>
                <w:szCs w:val="17"/>
                <w:b w:val="1"/>
                <w:bCs w:val="1"/>
                <w:color w:val="auto"/>
              </w:rPr>
              <w:t>Net revenues:</w:t>
            </w: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9"/>
        </w:trPr>
        <w:tc>
          <w:tcPr>
            <w:tcW w:w="520" w:type="dxa"/>
            <w:vAlign w:val="bottom"/>
          </w:tcPr>
          <w:p>
            <w:pPr>
              <w:spacing w:after="0"/>
              <w:rPr>
                <w:sz w:val="18"/>
                <w:szCs w:val="18"/>
                <w:color w:val="auto"/>
              </w:rPr>
            </w:pPr>
          </w:p>
        </w:tc>
        <w:tc>
          <w:tcPr>
            <w:tcW w:w="9200" w:type="dxa"/>
            <w:vAlign w:val="bottom"/>
            <w:gridSpan w:val="4"/>
          </w:tcPr>
          <w:p>
            <w:pPr>
              <w:ind w:left="340"/>
              <w:spacing w:after="0"/>
              <w:rPr>
                <w:sz w:val="20"/>
                <w:szCs w:val="20"/>
                <w:color w:val="auto"/>
              </w:rPr>
            </w:pPr>
            <w:r>
              <w:rPr>
                <w:rFonts w:ascii="Arial" w:cs="Arial" w:eastAsia="Arial" w:hAnsi="Arial"/>
                <w:sz w:val="17"/>
                <w:szCs w:val="17"/>
                <w:color w:val="auto"/>
              </w:rPr>
              <w:t>Platform development fee income, license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gridSpan w:val="3"/>
          </w:tcPr>
          <w:p>
            <w:pPr>
              <w:ind w:left="120"/>
              <w:spacing w:after="0"/>
              <w:rPr>
                <w:sz w:val="20"/>
                <w:szCs w:val="20"/>
                <w:color w:val="auto"/>
              </w:rPr>
            </w:pPr>
            <w:r>
              <w:rPr>
                <w:rFonts w:ascii="Arial" w:cs="Arial" w:eastAsia="Arial" w:hAnsi="Arial"/>
                <w:sz w:val="17"/>
                <w:szCs w:val="17"/>
                <w:color w:val="auto"/>
              </w:rPr>
              <w:t>fee income and maintenance services income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700" w:type="dxa"/>
            <w:vAlign w:val="bottom"/>
          </w:tcPr>
          <w:p>
            <w:pPr>
              <w:ind w:left="120"/>
              <w:spacing w:after="0"/>
              <w:rPr>
                <w:sz w:val="20"/>
                <w:szCs w:val="20"/>
                <w:color w:val="auto"/>
              </w:rPr>
            </w:pPr>
            <w:r>
              <w:rPr>
                <w:rFonts w:ascii="Arial" w:cs="Arial" w:eastAsia="Arial" w:hAnsi="Arial"/>
                <w:sz w:val="17"/>
                <w:szCs w:val="17"/>
                <w:color w:val="auto"/>
              </w:rPr>
              <w:t>from Aladdin Fintech Company Limited</w:t>
            </w:r>
          </w:p>
        </w:tc>
        <w:tc>
          <w:tcPr>
            <w:tcW w:w="1160" w:type="dxa"/>
            <w:vAlign w:val="bottom"/>
            <w:tcBorders>
              <w:bottom w:val="single" w:sz="8" w:color="auto"/>
            </w:tcBorders>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6"/>
        </w:trPr>
        <w:tc>
          <w:tcPr>
            <w:tcW w:w="520" w:type="dxa"/>
            <w:vAlign w:val="bottom"/>
          </w:tcPr>
          <w:p>
            <w:pPr>
              <w:spacing w:after="0"/>
              <w:rPr>
                <w:sz w:val="24"/>
                <w:szCs w:val="24"/>
                <w:color w:val="auto"/>
              </w:rPr>
            </w:pPr>
          </w:p>
        </w:tc>
        <w:tc>
          <w:tcPr>
            <w:tcW w:w="9200" w:type="dxa"/>
            <w:vAlign w:val="bottom"/>
            <w:gridSpan w:val="4"/>
          </w:tcPr>
          <w:p>
            <w:pPr>
              <w:ind w:left="300"/>
              <w:spacing w:after="0"/>
              <w:rPr>
                <w:sz w:val="20"/>
                <w:szCs w:val="20"/>
                <w:color w:val="auto"/>
              </w:rPr>
            </w:pPr>
            <w:r>
              <w:rPr>
                <w:rFonts w:ascii="Arial" w:cs="Arial" w:eastAsia="Arial" w:hAnsi="Arial"/>
                <w:sz w:val="17"/>
                <w:szCs w:val="17"/>
                <w:color w:val="auto"/>
                <w:w w:val="94"/>
              </w:rPr>
              <w:t>Revenues from the related party represented 0.3% of total net revenues of the Group for the year ended December 31, 2018.</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520" w:type="dxa"/>
            <w:vAlign w:val="bottom"/>
          </w:tcPr>
          <w:p>
            <w:pPr>
              <w:spacing w:after="0"/>
              <w:rPr>
                <w:sz w:val="20"/>
                <w:szCs w:val="20"/>
                <w:color w:val="auto"/>
              </w:rPr>
            </w:pPr>
            <w:r>
              <w:rPr>
                <w:rFonts w:ascii="Arial" w:cs="Arial" w:eastAsia="Arial" w:hAnsi="Arial"/>
                <w:sz w:val="17"/>
                <w:szCs w:val="17"/>
                <w:color w:val="auto"/>
              </w:rPr>
              <w:t>(b)</w:t>
            </w:r>
          </w:p>
        </w:tc>
        <w:tc>
          <w:tcPr>
            <w:tcW w:w="9200" w:type="dxa"/>
            <w:vAlign w:val="bottom"/>
            <w:gridSpan w:val="4"/>
          </w:tcPr>
          <w:p>
            <w:pPr>
              <w:ind w:left="300"/>
              <w:spacing w:after="0"/>
              <w:rPr>
                <w:sz w:val="20"/>
                <w:szCs w:val="20"/>
                <w:color w:val="auto"/>
              </w:rPr>
            </w:pPr>
            <w:r>
              <w:rPr>
                <w:rFonts w:ascii="Arial" w:cs="Arial" w:eastAsia="Arial" w:hAnsi="Arial"/>
                <w:sz w:val="17"/>
                <w:szCs w:val="17"/>
                <w:color w:val="auto"/>
              </w:rPr>
              <w:t>The Group had the following balance with the related party as of December 31, 2018:</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0"/>
        </w:trPr>
        <w:tc>
          <w:tcPr>
            <w:tcW w:w="9720" w:type="dxa"/>
            <w:vAlign w:val="bottom"/>
            <w:gridSpan w:val="5"/>
          </w:tcPr>
          <w:p>
            <w:pPr>
              <w:ind w:left="80"/>
              <w:spacing w:after="0"/>
              <w:rPr>
                <w:sz w:val="20"/>
                <w:szCs w:val="20"/>
                <w:color w:val="auto"/>
              </w:rPr>
            </w:pPr>
            <w:r>
              <w:rPr>
                <w:rFonts w:ascii="Arial" w:cs="Arial" w:eastAsia="Arial" w:hAnsi="Arial"/>
                <w:sz w:val="17"/>
                <w:szCs w:val="17"/>
                <w:color w:val="auto"/>
              </w:rPr>
              <w:t>Accounts receivable from Aladdin Fintech Company Limited</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350</w:t>
            </w:r>
          </w:p>
        </w:tc>
        <w:tc>
          <w:tcPr>
            <w:tcW w:w="8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836"/>
        <w:spacing w:after="0" w:line="239" w:lineRule="auto"/>
        <w:rPr>
          <w:sz w:val="20"/>
          <w:szCs w:val="20"/>
          <w:color w:val="auto"/>
        </w:rPr>
      </w:pPr>
      <w:r>
        <w:rPr>
          <w:rFonts w:ascii="Arial" w:cs="Arial" w:eastAsia="Arial" w:hAnsi="Arial"/>
          <w:sz w:val="17"/>
          <w:szCs w:val="17"/>
          <w:color w:val="auto"/>
        </w:rPr>
        <w:t>As of December 31, 2018, the balance with the related party related to outstanding receivables of platform development fee income, license fee income and maintenance services income, which represented 0.5% of the Group’s total accounts receivable. The balance has been fully repaid to the Company during the year ended 31st December 2019.</w:t>
      </w:r>
    </w:p>
    <w:p>
      <w:pPr>
        <w:spacing w:after="0" w:line="353"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2" w:right="339" w:bottom="1440" w:gutter="0" w:footer="0" w:header="0"/>
          <w:type w:val="continuous"/>
        </w:sectPr>
      </w:pPr>
    </w:p>
    <w:bookmarkStart w:id="214" w:name="page215"/>
    <w:bookmarkEnd w:id="214"/>
    <w:p>
      <w:pPr>
        <w:ind w:left="8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40" w:hanging="836"/>
        <w:spacing w:after="0"/>
        <w:tabs>
          <w:tab w:leader="none" w:pos="840"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Segments</w:t>
      </w:r>
    </w:p>
    <w:p>
      <w:pPr>
        <w:spacing w:after="0" w:line="187" w:lineRule="exact"/>
        <w:rPr>
          <w:rFonts w:ascii="Arial" w:cs="Arial" w:eastAsia="Arial" w:hAnsi="Arial"/>
          <w:sz w:val="17"/>
          <w:szCs w:val="17"/>
          <w:b w:val="1"/>
          <w:bCs w:val="1"/>
          <w:color w:val="auto"/>
        </w:rPr>
      </w:pPr>
    </w:p>
    <w:p>
      <w:pPr>
        <w:jc w:val="both"/>
        <w:ind w:left="84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Effective in the first quarter of 2019, the Group changed its segment disclosure to separately report the financial results of its Enterprise Solutions business in light of the acquisition of Changyi on January 1, 2019. This segment primarily reflects the results of the Group’s SaaS products offering, which is conducted through Changyi Group, a group of companies acquired on January 1, 2019. At the same time, the Group named its pre-existing online marketing service business as Marketing Solution business. Therefore, the Group now reports two operating segments: 1) Marketing Solutions, and 2) Enterprise Solutions.</w:t>
      </w:r>
    </w:p>
    <w:p>
      <w:pPr>
        <w:spacing w:after="0" w:line="138" w:lineRule="exact"/>
        <w:rPr>
          <w:rFonts w:ascii="Arial" w:cs="Arial" w:eastAsia="Arial" w:hAnsi="Arial"/>
          <w:sz w:val="17"/>
          <w:szCs w:val="17"/>
          <w:b w:val="1"/>
          <w:bCs w:val="1"/>
          <w:color w:val="auto"/>
        </w:rPr>
      </w:pPr>
    </w:p>
    <w:p>
      <w:pPr>
        <w:jc w:val="both"/>
        <w:ind w:left="84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table below provides a summary of the Group’s breakdown of net revenues by type of good or service and operating segment results for the years ended December 31, 2017, 2018 and 2019.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2017, 2018 and 2019.</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3260" w:type="dxa"/>
            <w:vAlign w:val="bottom"/>
            <w:gridSpan w:val="5"/>
          </w:tcPr>
          <w:p>
            <w:pPr>
              <w:ind w:left="860"/>
              <w:spacing w:after="0"/>
              <w:rPr>
                <w:sz w:val="20"/>
                <w:szCs w:val="20"/>
                <w:color w:val="auto"/>
              </w:rPr>
            </w:pPr>
            <w:r>
              <w:rPr>
                <w:rFonts w:ascii="Arial" w:cs="Arial" w:eastAsia="Arial" w:hAnsi="Arial"/>
                <w:sz w:val="17"/>
                <w:szCs w:val="17"/>
                <w:color w:val="auto"/>
                <w:w w:val="90"/>
              </w:rPr>
              <w:t>For the years ended December 31,</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19"/>
                <w:szCs w:val="19"/>
                <w:color w:val="auto"/>
              </w:rPr>
            </w:pPr>
          </w:p>
        </w:tc>
        <w:tc>
          <w:tcPr>
            <w:tcW w:w="1220" w:type="dxa"/>
            <w:vAlign w:val="bottom"/>
          </w:tcPr>
          <w:p>
            <w:pPr>
              <w:jc w:val="right"/>
              <w:ind w:right="353"/>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200" w:type="dxa"/>
            <w:vAlign w:val="bottom"/>
          </w:tcPr>
          <w:p>
            <w:pPr>
              <w:jc w:val="right"/>
              <w:ind w:right="333"/>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73"/>
              <w:spacing w:after="0"/>
              <w:rPr>
                <w:sz w:val="20"/>
                <w:szCs w:val="20"/>
                <w:color w:val="auto"/>
              </w:rPr>
            </w:pPr>
            <w:r>
              <w:rPr>
                <w:rFonts w:ascii="Arial" w:cs="Arial" w:eastAsia="Arial" w:hAnsi="Arial"/>
                <w:sz w:val="17"/>
                <w:szCs w:val="17"/>
                <w:color w:val="auto"/>
                <w:w w:val="95"/>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revenues: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Marketing Solutions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 Sales agent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8,311</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8,671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 Cost-plus</w:t>
            </w:r>
          </w:p>
        </w:tc>
        <w:tc>
          <w:tcPr>
            <w:tcW w:w="1220" w:type="dxa"/>
            <w:vAlign w:val="bottom"/>
          </w:tcPr>
          <w:p>
            <w:pPr>
              <w:jc w:val="right"/>
              <w:spacing w:after="0"/>
              <w:rPr>
                <w:sz w:val="20"/>
                <w:szCs w:val="20"/>
                <w:color w:val="auto"/>
              </w:rPr>
            </w:pPr>
            <w:r>
              <w:rPr>
                <w:rFonts w:ascii="Arial" w:cs="Arial" w:eastAsia="Arial" w:hAnsi="Arial"/>
                <w:sz w:val="17"/>
                <w:szCs w:val="17"/>
                <w:color w:val="auto"/>
              </w:rPr>
              <w:t>10,788</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12,192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 Specified actions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106,159</w:t>
            </w:r>
          </w:p>
        </w:tc>
        <w:tc>
          <w:tcPr>
            <w:tcW w:w="2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139,154</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165,263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125,258</w:t>
            </w:r>
          </w:p>
        </w:tc>
        <w:tc>
          <w:tcPr>
            <w:tcW w:w="22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160,017</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188,972</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Enterprise Solutions</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SaaS products offering</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125,258</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160,017</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199,408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7"/>
                <w:szCs w:val="17"/>
                <w:b w:val="1"/>
                <w:bCs w:val="1"/>
                <w:color w:val="auto"/>
              </w:rPr>
              <w:t>Cost of revenues:</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Marketing Solutions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 Sales agent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(2,654)</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 Cost-plus</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 Specified actions</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(93,079)</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(120,897)</w:t>
            </w:r>
          </w:p>
        </w:tc>
        <w:tc>
          <w:tcPr>
            <w:tcW w:w="3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(139,976)</w:t>
            </w:r>
          </w:p>
        </w:tc>
        <w:tc>
          <w:tcPr>
            <w:tcW w:w="0" w:type="dxa"/>
            <w:vAlign w:val="bottom"/>
          </w:tcPr>
          <w:p>
            <w:pPr>
              <w:spacing w:after="0"/>
              <w:rPr>
                <w:sz w:val="1"/>
                <w:szCs w:val="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(95,733)</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(120,897)</w:t>
            </w:r>
          </w:p>
        </w:tc>
        <w:tc>
          <w:tcPr>
            <w:tcW w:w="3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(139,976)</w:t>
            </w:r>
          </w:p>
        </w:tc>
        <w:tc>
          <w:tcPr>
            <w:tcW w:w="0" w:type="dxa"/>
            <w:vAlign w:val="bottom"/>
          </w:tcPr>
          <w:p>
            <w:pPr>
              <w:spacing w:after="0"/>
              <w:rPr>
                <w:sz w:val="1"/>
                <w:szCs w:val="1"/>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7"/>
                <w:szCs w:val="17"/>
                <w:color w:val="auto"/>
              </w:rPr>
              <w:t>Enterprise Solutions</w:t>
            </w: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 SaaS products offering</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(2,727)</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140" w:type="dxa"/>
            <w:vAlign w:val="bottom"/>
          </w:tcPr>
          <w:p>
            <w:pPr>
              <w:spacing w:after="0"/>
              <w:rPr>
                <w:sz w:val="22"/>
                <w:szCs w:val="22"/>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(95,733)</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(120,897)</w:t>
            </w:r>
          </w:p>
        </w:tc>
        <w:tc>
          <w:tcPr>
            <w:tcW w:w="38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(142,703)</w:t>
            </w:r>
          </w:p>
        </w:tc>
        <w:tc>
          <w:tcPr>
            <w:tcW w:w="0" w:type="dxa"/>
            <w:vAlign w:val="bottom"/>
          </w:tcPr>
          <w:p>
            <w:pPr>
              <w:spacing w:after="0"/>
              <w:rPr>
                <w:sz w:val="1"/>
                <w:szCs w:val="1"/>
                <w:color w:val="auto"/>
              </w:rPr>
            </w:pPr>
          </w:p>
        </w:tc>
      </w:tr>
      <w:tr>
        <w:trPr>
          <w:trHeight w:val="200"/>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Gross profit:</w:t>
            </w:r>
          </w:p>
        </w:tc>
        <w:tc>
          <w:tcPr>
            <w:tcW w:w="12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Marketing Solutions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 Sales agent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5,657</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8,671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Arial" w:cs="Arial" w:eastAsia="Arial" w:hAnsi="Arial"/>
                <w:sz w:val="17"/>
                <w:szCs w:val="17"/>
                <w:color w:val="auto"/>
              </w:rPr>
              <w:t>- Cost-plus</w:t>
            </w:r>
          </w:p>
        </w:tc>
        <w:tc>
          <w:tcPr>
            <w:tcW w:w="1220" w:type="dxa"/>
            <w:vAlign w:val="bottom"/>
          </w:tcPr>
          <w:p>
            <w:pPr>
              <w:jc w:val="right"/>
              <w:spacing w:after="0"/>
              <w:rPr>
                <w:sz w:val="20"/>
                <w:szCs w:val="20"/>
                <w:color w:val="auto"/>
              </w:rPr>
            </w:pPr>
            <w:r>
              <w:rPr>
                <w:rFonts w:ascii="Arial" w:cs="Arial" w:eastAsia="Arial" w:hAnsi="Arial"/>
                <w:sz w:val="17"/>
                <w:szCs w:val="17"/>
                <w:color w:val="auto"/>
              </w:rPr>
              <w:t>10,788</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12,192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 Specified actions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13,080</w:t>
            </w:r>
          </w:p>
        </w:tc>
        <w:tc>
          <w:tcPr>
            <w:tcW w:w="2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18,257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25,287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29,525</w:t>
            </w:r>
          </w:p>
        </w:tc>
        <w:tc>
          <w:tcPr>
            <w:tcW w:w="22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39,120</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48,996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Enterprise Solutions</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SaaS products offering</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29,525</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39,120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56,705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40" w:right="200"/>
        <w:spacing w:after="0" w:line="286" w:lineRule="auto"/>
        <w:rPr>
          <w:sz w:val="20"/>
          <w:szCs w:val="20"/>
          <w:color w:val="auto"/>
        </w:rPr>
      </w:pPr>
      <w:r>
        <w:rPr>
          <w:rFonts w:ascii="Arial" w:cs="Arial" w:eastAsia="Arial" w:hAnsi="Arial"/>
          <w:sz w:val="17"/>
          <w:szCs w:val="17"/>
          <w:color w:val="auto"/>
        </w:rPr>
        <w:t>The Group currently does not allocate assets to all of its segments, as its CODM does not use such information to allocate resources or evaluate the performance of the operating segments.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53910"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189" w:lineRule="exact"/>
        <w:rPr>
          <w:sz w:val="20"/>
          <w:szCs w:val="20"/>
          <w:color w:val="auto"/>
        </w:rPr>
      </w:pPr>
    </w:p>
    <w:p>
      <w:pPr>
        <w:ind w:left="836" w:hanging="836"/>
        <w:spacing w:after="0"/>
        <w:tabs>
          <w:tab w:leader="none" w:pos="836"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Segments (Continued)</w:t>
      </w:r>
    </w:p>
    <w:p>
      <w:pPr>
        <w:spacing w:after="0" w:line="174" w:lineRule="exact"/>
        <w:rPr>
          <w:rFonts w:ascii="Arial" w:cs="Arial" w:eastAsia="Arial" w:hAnsi="Arial"/>
          <w:sz w:val="17"/>
          <w:szCs w:val="17"/>
          <w:b w:val="1"/>
          <w:bCs w:val="1"/>
          <w:color w:val="auto"/>
        </w:rPr>
      </w:pPr>
    </w:p>
    <w:p>
      <w:pPr>
        <w:ind w:left="836"/>
        <w:spacing w:after="0"/>
        <w:rPr>
          <w:rFonts w:ascii="Arial" w:cs="Arial" w:eastAsia="Arial" w:hAnsi="Arial"/>
          <w:sz w:val="17"/>
          <w:szCs w:val="17"/>
          <w:b w:val="1"/>
          <w:bCs w:val="1"/>
          <w:color w:val="auto"/>
        </w:rPr>
      </w:pPr>
      <w:r>
        <w:rPr>
          <w:rFonts w:ascii="Arial" w:cs="Arial" w:eastAsia="Arial" w:hAnsi="Arial"/>
          <w:sz w:val="17"/>
          <w:szCs w:val="17"/>
          <w:color w:val="auto"/>
        </w:rPr>
        <w:t>Revenue generated for the respective countries are summarized as follows:</w:t>
      </w:r>
    </w:p>
    <w:p>
      <w:pPr>
        <w:spacing w:after="0" w:line="208" w:lineRule="exact"/>
        <w:rPr>
          <w:sz w:val="20"/>
          <w:szCs w:val="20"/>
          <w:color w:val="auto"/>
        </w:rPr>
      </w:pPr>
    </w:p>
    <w:tbl>
      <w:tblPr>
        <w:tblLayout w:type="fixed"/>
        <w:tblInd w:w="836" w:type="dxa"/>
        <w:tblCellMar>
          <w:top w:w="0" w:type="dxa"/>
          <w:left w:w="0" w:type="dxa"/>
          <w:bottom w:w="0" w:type="dxa"/>
          <w:right w:w="0" w:type="dxa"/>
        </w:tblCellMar>
      </w:tblPr>
      <w:tr>
        <w:trPr>
          <w:trHeight w:val="221"/>
        </w:trPr>
        <w:tc>
          <w:tcPr>
            <w:tcW w:w="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500" w:type="dxa"/>
            <w:vAlign w:val="bottom"/>
            <w:gridSpan w:val="7"/>
          </w:tcPr>
          <w:p>
            <w:pPr>
              <w:ind w:left="860"/>
              <w:spacing w:after="0"/>
              <w:rPr>
                <w:sz w:val="20"/>
                <w:szCs w:val="20"/>
                <w:color w:val="auto"/>
              </w:rPr>
            </w:pPr>
            <w:r>
              <w:rPr>
                <w:rFonts w:ascii="Arial" w:cs="Arial" w:eastAsia="Arial" w:hAnsi="Arial"/>
                <w:sz w:val="17"/>
                <w:szCs w:val="17"/>
                <w:color w:val="auto"/>
                <w:w w:val="99"/>
              </w:rPr>
              <w:t>For the years ended December 31,</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PRC</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105,380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141,926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175,970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Hong Kong</w:t>
            </w:r>
          </w:p>
        </w:tc>
        <w:tc>
          <w:tcPr>
            <w:tcW w:w="1220" w:type="dxa"/>
            <w:vAlign w:val="bottom"/>
          </w:tcPr>
          <w:p>
            <w:pPr>
              <w:jc w:val="right"/>
              <w:spacing w:after="0"/>
              <w:rPr>
                <w:sz w:val="20"/>
                <w:szCs w:val="20"/>
                <w:color w:val="auto"/>
              </w:rPr>
            </w:pPr>
            <w:r>
              <w:rPr>
                <w:rFonts w:ascii="Arial" w:cs="Arial" w:eastAsia="Arial" w:hAnsi="Arial"/>
                <w:sz w:val="17"/>
                <w:szCs w:val="17"/>
                <w:color w:val="auto"/>
              </w:rPr>
              <w:t>18,287</w:t>
            </w: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17,004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Others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1,591</w:t>
            </w:r>
          </w:p>
        </w:tc>
        <w:tc>
          <w:tcPr>
            <w:tcW w:w="220" w:type="dxa"/>
            <w:vAlign w:val="bottom"/>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1,087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125,258</w:t>
            </w:r>
          </w:p>
        </w:tc>
        <w:tc>
          <w:tcPr>
            <w:tcW w:w="22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160,017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199,408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7"/>
                <w:szCs w:val="17"/>
                <w:color w:val="auto"/>
              </w:rPr>
              <w:t>The Group’s long-lived assets are located in the following countries:</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2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4"/>
          </w:tcPr>
          <w:p>
            <w:pPr>
              <w:ind w:left="600"/>
              <w:spacing w:after="0"/>
              <w:rPr>
                <w:sz w:val="20"/>
                <w:szCs w:val="20"/>
                <w:color w:val="auto"/>
              </w:rPr>
            </w:pPr>
            <w:r>
              <w:rPr>
                <w:rFonts w:ascii="Arial" w:cs="Arial" w:eastAsia="Arial" w:hAnsi="Arial"/>
                <w:sz w:val="17"/>
                <w:szCs w:val="17"/>
                <w:color w:val="auto"/>
                <w:w w:val="94"/>
              </w:rPr>
              <w:t>As of December 31,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PRC</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231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Hong Kong</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7"/>
                <w:szCs w:val="17"/>
                <w:color w:val="auto"/>
              </w:rPr>
              <w:t>Others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329</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836" w:right="8000" w:hanging="836"/>
        <w:spacing w:after="0" w:line="387" w:lineRule="auto"/>
        <w:tabs>
          <w:tab w:leader="none" w:pos="836"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Litigation</w:t>
      </w: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In the ordinary course of the business, the Group is subject to periodic legal or administrative proceedings. As of December 31, 2018 and 2019, the Group is not a party to any legal or administrative proceedings which will have a material adverse effect on the Group’s business, financial position, results of operations and cash flows.</w:t>
      </w:r>
    </w:p>
    <w:p>
      <w:pPr>
        <w:spacing w:after="0" w:line="179" w:lineRule="exact"/>
        <w:rPr>
          <w:rFonts w:ascii="Arial" w:cs="Arial" w:eastAsia="Arial" w:hAnsi="Arial"/>
          <w:sz w:val="17"/>
          <w:szCs w:val="17"/>
          <w:b w:val="1"/>
          <w:bCs w:val="1"/>
          <w:color w:val="auto"/>
        </w:rPr>
      </w:pPr>
    </w:p>
    <w:p>
      <w:pPr>
        <w:ind w:left="836" w:hanging="836"/>
        <w:spacing w:after="0"/>
        <w:tabs>
          <w:tab w:leader="none" w:pos="836"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39" w:lineRule="exact"/>
        <w:rPr>
          <w:rFonts w:ascii="Arial" w:cs="Arial" w:eastAsia="Arial" w:hAnsi="Arial"/>
          <w:sz w:val="17"/>
          <w:szCs w:val="17"/>
          <w:b w:val="1"/>
          <w:bCs w:val="1"/>
          <w:color w:val="auto"/>
        </w:rPr>
      </w:pPr>
    </w:p>
    <w:p>
      <w:pPr>
        <w:jc w:val="both"/>
        <w:ind w:left="836"/>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Group evaluated subsequent events from December 31, 2019 through the date when the consolidated financial statements were issued, and concluded that no subsequent events have occurred that would require recognition or disclose in the consolidated financial statements other than discussed below.</w:t>
      </w:r>
    </w:p>
    <w:p>
      <w:pPr>
        <w:spacing w:after="0" w:line="185" w:lineRule="exact"/>
        <w:rPr>
          <w:rFonts w:ascii="Arial" w:cs="Arial" w:eastAsia="Arial" w:hAnsi="Arial"/>
          <w:sz w:val="17"/>
          <w:szCs w:val="17"/>
          <w:b w:val="1"/>
          <w:bCs w:val="1"/>
          <w:color w:val="auto"/>
        </w:rPr>
      </w:pPr>
    </w:p>
    <w:p>
      <w:pPr>
        <w:jc w:val="both"/>
        <w:ind w:left="1656" w:hanging="823"/>
        <w:spacing w:after="0" w:line="281" w:lineRule="auto"/>
        <w:tabs>
          <w:tab w:leader="none" w:pos="1656" w:val="left"/>
        </w:tabs>
        <w:numPr>
          <w:ilvl w:val="1"/>
          <w:numId w:val="248"/>
        </w:numPr>
        <w:rPr>
          <w:rFonts w:ascii="Arial" w:cs="Arial" w:eastAsia="Arial" w:hAnsi="Arial"/>
          <w:sz w:val="16"/>
          <w:szCs w:val="16"/>
          <w:color w:val="auto"/>
        </w:rPr>
      </w:pPr>
      <w:r>
        <w:rPr>
          <w:rFonts w:ascii="Arial" w:cs="Arial" w:eastAsia="Arial" w:hAnsi="Arial"/>
          <w:sz w:val="16"/>
          <w:szCs w:val="16"/>
          <w:color w:val="auto"/>
        </w:rPr>
        <w:t>On February 18, 2020, the Group has announced a potential acquisition of 80% equity interest of Optimal Power Limited (“Optimal Power”), a wholly-owned entity of Creative Big Limited (“Creative Big”), both incorporated under the laws of the British Virgin Islands at a total consideration of US$28,000. Creative Big has secured a network of premium media licensing assets in countries including Singapore, Greater China (including Hong Kong), Australia, India, Indonesia, The Philippines and Malaysia and as part of the transaction, Creative Big would inject the selected media licensing assets into Optimal Power. As of the date of these consolidated financial statements, the transaction has not been completed as certain closing conditions of the acquisition remain outstanding.</w:t>
      </w:r>
    </w:p>
    <w:p>
      <w:pPr>
        <w:spacing w:after="0" w:line="177" w:lineRule="exact"/>
        <w:rPr>
          <w:rFonts w:ascii="Arial" w:cs="Arial" w:eastAsia="Arial" w:hAnsi="Arial"/>
          <w:sz w:val="16"/>
          <w:szCs w:val="16"/>
          <w:color w:val="auto"/>
        </w:rPr>
      </w:pPr>
    </w:p>
    <w:p>
      <w:pPr>
        <w:jc w:val="both"/>
        <w:ind w:left="1656" w:hanging="823"/>
        <w:spacing w:after="0" w:line="270" w:lineRule="auto"/>
        <w:tabs>
          <w:tab w:leader="none" w:pos="1656" w:val="left"/>
        </w:tabs>
        <w:numPr>
          <w:ilvl w:val="1"/>
          <w:numId w:val="248"/>
        </w:numPr>
        <w:rPr>
          <w:rFonts w:ascii="Arial" w:cs="Arial" w:eastAsia="Arial" w:hAnsi="Arial"/>
          <w:sz w:val="17"/>
          <w:szCs w:val="17"/>
          <w:color w:val="auto"/>
        </w:rPr>
      </w:pPr>
      <w:r>
        <w:rPr>
          <w:rFonts w:ascii="Arial" w:cs="Arial" w:eastAsia="Arial" w:hAnsi="Arial"/>
          <w:sz w:val="17"/>
          <w:szCs w:val="17"/>
          <w:color w:val="auto"/>
        </w:rPr>
        <w:t>On January 15, 2020, the board of directors of the Company authorized a new share repurchase program (the “2020 Share Repurchase Program”) whereby the Company may purchase its own ADSs with an aggregate value of up to US$10,000 over the 12-month period ending on December 29, 2020.</w:t>
      </w:r>
    </w:p>
    <w:p>
      <w:pPr>
        <w:spacing w:after="0" w:line="172" w:lineRule="exact"/>
        <w:rPr>
          <w:rFonts w:ascii="Arial" w:cs="Arial" w:eastAsia="Arial" w:hAnsi="Arial"/>
          <w:sz w:val="17"/>
          <w:szCs w:val="17"/>
          <w:color w:val="auto"/>
        </w:rPr>
      </w:pPr>
    </w:p>
    <w:p>
      <w:pPr>
        <w:ind w:left="5536" w:hanging="104"/>
        <w:spacing w:after="0"/>
        <w:tabs>
          <w:tab w:leader="none" w:pos="5536" w:val="left"/>
        </w:tabs>
        <w:numPr>
          <w:ilvl w:val="2"/>
          <w:numId w:val="248"/>
        </w:numPr>
        <w:rPr>
          <w:rFonts w:ascii="Arial" w:cs="Arial" w:eastAsia="Arial" w:hAnsi="Arial"/>
          <w:sz w:val="17"/>
          <w:szCs w:val="17"/>
          <w:color w:val="auto"/>
        </w:rPr>
      </w:pPr>
      <w:r>
        <w:rPr>
          <w:rFonts w:ascii="Arial" w:cs="Arial" w:eastAsia="Arial" w:hAnsi="Arial"/>
          <w:sz w:val="17"/>
          <w:szCs w:val="17"/>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216" w:name="page217"/>
    <w:bookmarkEnd w:id="216"/>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(Continued)</w:t>
      </w:r>
    </w:p>
    <w:p>
      <w:pPr>
        <w:spacing w:after="0" w:line="239" w:lineRule="exact"/>
        <w:rPr>
          <w:rFonts w:ascii="Arial" w:cs="Arial" w:eastAsia="Arial" w:hAnsi="Arial"/>
          <w:sz w:val="17"/>
          <w:szCs w:val="17"/>
          <w:b w:val="1"/>
          <w:bCs w:val="1"/>
          <w:color w:val="auto"/>
        </w:rPr>
      </w:pPr>
    </w:p>
    <w:p>
      <w:pPr>
        <w:jc w:val="both"/>
        <w:ind w:left="1656" w:hanging="823"/>
        <w:spacing w:after="0" w:line="283" w:lineRule="auto"/>
        <w:tabs>
          <w:tab w:leader="none" w:pos="165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On January 23, 2020, the Company issued US$3,450 of zero-coupon convertible notes at US$4,002 (the "January 2020 Notes"). The January 2020 Notes mature on September 12, 2023 and are non-interest bearing, unless the January 2020 Notes are redeemed or repaid upon the occurrence of events of default or relevant events as defined in the agreement whereby an interest of 5% per annum would be charged. On February 3, 2020, the holder of January 2020 Notes has elected to convert the January 2020 Notes into Class A ordinary shares, par value US$0.001 per share, of the Company at a price of US$3.17 per share.</w:t>
      </w:r>
    </w:p>
    <w:p>
      <w:pPr>
        <w:spacing w:after="0" w:line="125" w:lineRule="exact"/>
        <w:rPr>
          <w:rFonts w:ascii="Arial" w:cs="Arial" w:eastAsia="Arial" w:hAnsi="Arial"/>
          <w:sz w:val="16"/>
          <w:szCs w:val="16"/>
          <w:color w:val="auto"/>
        </w:rPr>
      </w:pPr>
    </w:p>
    <w:p>
      <w:pPr>
        <w:jc w:val="both"/>
        <w:ind w:left="1656" w:hanging="823"/>
        <w:spacing w:after="0" w:line="283" w:lineRule="auto"/>
        <w:tabs>
          <w:tab w:leader="none" w:pos="165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On February 17, 2020, the Company has entered into an agreement to issue US$13,100 of zero-coupon convertible notes at US$15,196 (the "February 2020 Notes") on or before June 16, 2020 upon payment of the consideration by the investor. The February 2020 Notes mature on September 12, 2023 and are non-interest bearing, unless the January 2020 Notes are redeemed or repaid upon the occurrence of events of default or relevant events as defined in the agreement whereby an interest of 5% per annum would be charged. As of the date of these consolidated financial statements, the February 2020 Notes have not been issued.</w:t>
      </w:r>
    </w:p>
    <w:p>
      <w:pPr>
        <w:spacing w:after="0" w:line="177" w:lineRule="exact"/>
        <w:rPr>
          <w:rFonts w:ascii="Arial" w:cs="Arial" w:eastAsia="Arial" w:hAnsi="Arial"/>
          <w:sz w:val="16"/>
          <w:szCs w:val="16"/>
          <w:color w:val="auto"/>
        </w:rPr>
      </w:pPr>
    </w:p>
    <w:p>
      <w:pPr>
        <w:jc w:val="both"/>
        <w:ind w:left="1656" w:hanging="823"/>
        <w:spacing w:after="0" w:line="275" w:lineRule="auto"/>
        <w:tabs>
          <w:tab w:leader="none" w:pos="165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In December 2019, a novel strain of coronavirus, later named COVID-19, was reported. In March 2020, the World Health Organization declared coronavirus COVID-19 a global pandemic. This outbreak has led to temporary closure of the Group’s offices in the PRC in February 2020 with a significant portion of the Group’s employees working from home. The offices have been later re-opened, the Group has adopted and implemented health protocols allowing only half of the employees to work onsite. The Group's business operates as usual under this discretionary working arrangement during the period. This contagious disease outbreak, which has continued to spread, and any related adverse public health developments, have adversely affected workforces, customers, economies, and financial markets globally, likely leading to an economic downturn. It has also disrupted the normal operations of many businesses. This outbreak could decrease corporate's spending on advertising services, adversely affect demand for the Group's Marketing Solutions and Enterprises Solutions services and harm the Group's business and results of operations. While the disruption is currently expected to be temporary, there is uncertainty around the duration of these disruptions or the possibility of other effects on the Group’s business. While the Group has not noted significant negative impact to its business, results of operations and financial condition in the first quarter of 2020, the Group's business, financial condition and results of operations may be adversely affected by the coronavirus outbreak in the near term, which are uncertain and cannot be predicted, including new information which may emerge concerning the severity of COVID-19 and the actions to contain COVID-19 or treat its impact, among others.</w:t>
      </w:r>
    </w:p>
    <w:p>
      <w:pPr>
        <w:spacing w:after="0" w:line="170" w:lineRule="exact"/>
        <w:rPr>
          <w:rFonts w:ascii="Arial" w:cs="Arial" w:eastAsia="Arial" w:hAnsi="Arial"/>
          <w:sz w:val="16"/>
          <w:szCs w:val="16"/>
          <w:color w:val="auto"/>
        </w:rPr>
      </w:pPr>
    </w:p>
    <w:p>
      <w:pPr>
        <w:ind w:left="5536" w:hanging="104"/>
        <w:spacing w:after="0"/>
        <w:tabs>
          <w:tab w:leader="none" w:pos="5536" w:val="left"/>
        </w:tabs>
        <w:numPr>
          <w:ilvl w:val="2"/>
          <w:numId w:val="249"/>
        </w:numPr>
        <w:rPr>
          <w:rFonts w:ascii="Arial" w:cs="Arial" w:eastAsia="Arial" w:hAnsi="Arial"/>
          <w:sz w:val="17"/>
          <w:szCs w:val="17"/>
          <w:color w:val="auto"/>
        </w:rPr>
      </w:pPr>
      <w:r>
        <w:rPr>
          <w:rFonts w:ascii="Arial" w:cs="Arial" w:eastAsia="Arial" w:hAnsi="Arial"/>
          <w:sz w:val="17"/>
          <w:szCs w:val="17"/>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217" w:name="page218"/>
    <w:bookmarkEnd w:id="217"/>
    <w:p>
      <w:pPr>
        <w:ind w:left="836"/>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ind w:left="836"/>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ind w:left="836"/>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ind w:left="836" w:hanging="836"/>
        <w:spacing w:after="0"/>
        <w:tabs>
          <w:tab w:leader="none" w:pos="836"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net assets</w:t>
      </w:r>
    </w:p>
    <w:p>
      <w:pPr>
        <w:spacing w:after="0" w:line="187" w:lineRule="exact"/>
        <w:rPr>
          <w:rFonts w:ascii="Arial" w:cs="Arial" w:eastAsia="Arial" w:hAnsi="Arial"/>
          <w:sz w:val="17"/>
          <w:szCs w:val="17"/>
          <w:b w:val="1"/>
          <w:bCs w:val="1"/>
          <w:color w:val="auto"/>
        </w:rPr>
      </w:pPr>
    </w:p>
    <w:p>
      <w:pPr>
        <w:jc w:val="both"/>
        <w:ind w:left="836"/>
        <w:spacing w:after="0" w:line="276" w:lineRule="auto"/>
        <w:rPr>
          <w:rFonts w:ascii="Arial" w:cs="Arial" w:eastAsia="Arial" w:hAnsi="Arial"/>
          <w:sz w:val="17"/>
          <w:szCs w:val="17"/>
          <w:b w:val="1"/>
          <w:bCs w:val="1"/>
          <w:color w:val="auto"/>
        </w:rPr>
      </w:pPr>
      <w:r>
        <w:rPr>
          <w:rFonts w:ascii="Arial" w:cs="Arial" w:eastAsia="Arial" w:hAnsi="Arial"/>
          <w:sz w:val="16"/>
          <w:szCs w:val="16"/>
          <w:color w:val="auto"/>
        </w:rPr>
        <w:t>Relevant PRC laws and regulations permit payments of dividends by the Group’s subsidiary, VIE and its subsidiaries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subsidiaries, VIE and its subsidiaries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subsidiaries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subsidiaries, VIE and its subsidiaries to satisfy any obligations of the Company.</w:t>
      </w:r>
    </w:p>
    <w:p>
      <w:pPr>
        <w:spacing w:after="0" w:line="144" w:lineRule="exact"/>
        <w:rPr>
          <w:rFonts w:ascii="Arial" w:cs="Arial" w:eastAsia="Arial" w:hAnsi="Arial"/>
          <w:sz w:val="17"/>
          <w:szCs w:val="17"/>
          <w:b w:val="1"/>
          <w:bCs w:val="1"/>
          <w:color w:val="auto"/>
        </w:rPr>
      </w:pPr>
    </w:p>
    <w:p>
      <w:pPr>
        <w:jc w:val="both"/>
        <w:ind w:left="836"/>
        <w:spacing w:after="0" w:line="295" w:lineRule="auto"/>
        <w:rPr>
          <w:rFonts w:ascii="Arial" w:cs="Arial" w:eastAsia="Arial" w:hAnsi="Arial"/>
          <w:sz w:val="17"/>
          <w:szCs w:val="17"/>
          <w:b w:val="1"/>
          <w:bCs w:val="1"/>
          <w:color w:val="auto"/>
        </w:rPr>
      </w:pPr>
      <w:r>
        <w:rPr>
          <w:rFonts w:ascii="Arial" w:cs="Arial" w:eastAsia="Arial" w:hAnsi="Arial"/>
          <w:sz w:val="16"/>
          <w:szCs w:val="16"/>
          <w:color w:val="auto"/>
        </w:rPr>
        <w:t>As of December 31, 2018 and 2019, the total restricted net assets of the Company’s subsidiaries and OptAim VIE incorporated in the PRC and subjected to restriction amounted to approximately US$65,659 and US$60,411, respectively. Except for the above there is no other restriction on the use of proceeds generated by the Company’s subsidiaries, VIE and VIE’s subsidiaries to satisfy any obligations of the Company.</w:t>
      </w:r>
    </w:p>
    <w:p>
      <w:pPr>
        <w:spacing w:after="0" w:line="154" w:lineRule="exact"/>
        <w:rPr>
          <w:rFonts w:ascii="Arial" w:cs="Arial" w:eastAsia="Arial" w:hAnsi="Arial"/>
          <w:sz w:val="17"/>
          <w:szCs w:val="17"/>
          <w:b w:val="1"/>
          <w:bCs w:val="1"/>
          <w:color w:val="auto"/>
        </w:rPr>
      </w:pPr>
    </w:p>
    <w:p>
      <w:pPr>
        <w:ind w:left="5536" w:hanging="104"/>
        <w:spacing w:after="0"/>
        <w:tabs>
          <w:tab w:leader="none" w:pos="5536" w:val="left"/>
        </w:tabs>
        <w:numPr>
          <w:ilvl w:val="1"/>
          <w:numId w:val="250"/>
        </w:numPr>
        <w:rPr>
          <w:rFonts w:ascii="Arial" w:cs="Arial" w:eastAsia="Arial" w:hAnsi="Arial"/>
          <w:sz w:val="17"/>
          <w:szCs w:val="17"/>
          <w:color w:val="auto"/>
        </w:rPr>
      </w:pPr>
      <w:r>
        <w:rPr>
          <w:rFonts w:ascii="Arial" w:cs="Arial" w:eastAsia="Arial" w:hAnsi="Arial"/>
          <w:sz w:val="17"/>
          <w:szCs w:val="17"/>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53910"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36"/>
          </w:cols>
          <w:pgMar w:left="324" w:top="121" w:right="33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(US$’000, except share data and per share data, or otherwise noted)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 CONDENSED FINANCIAL STATEMENTS OF PARENT COMPANY</w:t>
      </w:r>
    </w:p>
    <w:p>
      <w:pPr>
        <w:spacing w:after="0" w:line="14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subsidiaries together exceed 25% of consolidated net assets as of the end of the most recently completed fiscal year.</w:t>
      </w:r>
    </w:p>
    <w:p>
      <w:pPr>
        <w:spacing w:after="0" w:line="132"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12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of December 31, 2018 and 2019, there were no material commitments or contingencies, significant provisions for long-term obligations or guarantees of the Company, except for those which have been separately disclosed in the consolidated financial statements, if any.</w:t>
      </w:r>
    </w:p>
    <w:p>
      <w:pPr>
        <w:spacing w:after="0" w:line="131"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Inter-company charges, share-based compensation and other miscellaneous expenses for the years ended December 31, 2017, 2018 and 2019, which were previously recognized at the parent company level, had been pushed down to the WFOE/VIE level given the majority of services were provided to the WFOE/VIE entities.</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condensed financial statements of the parent company should be read in conjunction with the Company’s consolidated financial statements and the accompanying notes thereto. For purposes of these condensed financial statements, the Company’s wholly owned and majority owned subsidiaries are recorded based upon its proportionate share of the subsidiaries’ net assets (similar to presenting them on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81915</wp:posOffset>
            </wp:positionV>
            <wp:extent cx="7153910"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0400"/>
          </w:cols>
          <w:pgMar w:left="1160" w:top="121" w:right="3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27"/>
        </w:trPr>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2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CONDENSED BALANCE SHEETS</w:t>
            </w:r>
          </w:p>
        </w:tc>
        <w:tc>
          <w:tcPr>
            <w:tcW w:w="2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AS OF DECEMBER 31, 2018 AND 2019</w:t>
            </w: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7"/>
                <w:szCs w:val="17"/>
                <w:color w:val="auto"/>
                <w:w w:val="97"/>
              </w:rPr>
              <w:t>(US$’000, except share data and per share data, or otherwise noted)</w:t>
            </w:r>
          </w:p>
        </w:tc>
        <w:tc>
          <w:tcPr>
            <w:tcW w:w="2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00" w:type="dxa"/>
            <w:vAlign w:val="bottom"/>
            <w:gridSpan w:val="3"/>
          </w:tcPr>
          <w:p>
            <w:pPr>
              <w:ind w:left="1000"/>
              <w:spacing w:after="0"/>
              <w:rPr>
                <w:sz w:val="20"/>
                <w:szCs w:val="20"/>
                <w:color w:val="auto"/>
              </w:rPr>
            </w:pPr>
            <w:r>
              <w:rPr>
                <w:rFonts w:ascii="Arial" w:cs="Arial" w:eastAsia="Arial" w:hAnsi="Arial"/>
                <w:sz w:val="17"/>
                <w:szCs w:val="17"/>
                <w:color w:val="auto"/>
              </w:rPr>
              <w:t>As of December 31,</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26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4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2,132</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20,459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7"/>
                <w:szCs w:val="17"/>
                <w:color w:val="auto"/>
              </w:rPr>
              <w:t>Time deposits</w:t>
            </w: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4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7"/>
                <w:szCs w:val="17"/>
                <w:color w:val="auto"/>
              </w:rPr>
              <w:t>Amounts due from subsidiaries and VIEs</w:t>
            </w: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98,829</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84,831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color w:val="auto"/>
              </w:rPr>
              <w:t>Other current assets</w:t>
            </w:r>
          </w:p>
        </w:tc>
        <w:tc>
          <w:tcPr>
            <w:tcW w:w="268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929</w:t>
            </w:r>
          </w:p>
        </w:tc>
        <w:tc>
          <w:tcPr>
            <w:tcW w:w="2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Total current assets</w:t>
            </w: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101,890</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109,747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40" w:type="dxa"/>
            <w:vAlign w:val="bottom"/>
            <w:tcBorders>
              <w:top w:val="single" w:sz="8" w:color="CFF0FC"/>
            </w:tcBorders>
            <w:shd w:val="clear" w:color="auto" w:fill="CFF0FC"/>
          </w:tcPr>
          <w:p>
            <w:pPr>
              <w:spacing w:after="0"/>
              <w:rPr>
                <w:sz w:val="18"/>
                <w:szCs w:val="18"/>
                <w:color w:val="auto"/>
              </w:rPr>
            </w:pPr>
          </w:p>
        </w:tc>
        <w:tc>
          <w:tcPr>
            <w:tcW w:w="26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Non-current assets</w:t>
            </w:r>
          </w:p>
        </w:tc>
        <w:tc>
          <w:tcPr>
            <w:tcW w:w="2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4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269</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7"/>
                <w:szCs w:val="17"/>
                <w:color w:val="auto"/>
              </w:rPr>
              <w:t>Investments in subsidiaries and VIEs</w:t>
            </w: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40,759</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42,783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color w:val="auto"/>
              </w:rPr>
              <w:t>Long-term investments</w:t>
            </w:r>
          </w:p>
        </w:tc>
        <w:tc>
          <w:tcPr>
            <w:tcW w:w="4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503</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7"/>
                <w:szCs w:val="17"/>
                <w:color w:val="auto"/>
              </w:rPr>
              <w:t>Investment in an equity investee</w:t>
            </w: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non-current assets</w:t>
            </w:r>
          </w:p>
        </w:tc>
        <w:tc>
          <w:tcPr>
            <w:tcW w:w="268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41,531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44,645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 assets</w:t>
            </w:r>
          </w:p>
        </w:tc>
        <w:tc>
          <w:tcPr>
            <w:tcW w:w="4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143,421</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154,392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6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color w:val="auto"/>
              </w:rPr>
              <w:t>Accrued liabilities and other current liabilities</w:t>
            </w:r>
          </w:p>
        </w:tc>
        <w:tc>
          <w:tcPr>
            <w:tcW w:w="4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2,586</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7"/>
                <w:szCs w:val="17"/>
                <w:color w:val="auto"/>
              </w:rPr>
              <w:t>Convertible notes at fair value</w:t>
            </w: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34,837</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49,008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current liabilities</w:t>
            </w:r>
          </w:p>
        </w:tc>
        <w:tc>
          <w:tcPr>
            <w:tcW w:w="26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37,423</w:t>
            </w: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51,842</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Non-current liability</w:t>
            </w:r>
          </w:p>
        </w:tc>
        <w:tc>
          <w:tcPr>
            <w:tcW w:w="26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673</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non-current liability</w:t>
            </w:r>
          </w:p>
        </w:tc>
        <w:tc>
          <w:tcPr>
            <w:tcW w:w="26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673</w:t>
            </w:r>
          </w:p>
        </w:tc>
        <w:tc>
          <w:tcPr>
            <w:tcW w:w="2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449</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 liabilities</w:t>
            </w:r>
          </w:p>
        </w:tc>
        <w:tc>
          <w:tcPr>
            <w:tcW w:w="4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38,096</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52,291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Commitments and contingencies</w:t>
            </w:r>
          </w:p>
        </w:tc>
        <w:tc>
          <w:tcPr>
            <w:tcW w:w="4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Shareholders’ equity</w:t>
            </w:r>
          </w:p>
        </w:tc>
        <w:tc>
          <w:tcPr>
            <w:tcW w:w="26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tcPr>
          <w:p>
            <w:pPr>
              <w:ind w:left="220"/>
              <w:spacing w:after="0"/>
              <w:rPr>
                <w:sz w:val="20"/>
                <w:szCs w:val="20"/>
                <w:color w:val="auto"/>
              </w:rPr>
            </w:pPr>
            <w:r>
              <w:rPr>
                <w:rFonts w:ascii="Arial" w:cs="Arial" w:eastAsia="Arial" w:hAnsi="Arial"/>
                <w:sz w:val="17"/>
                <w:szCs w:val="17"/>
                <w:color w:val="auto"/>
              </w:rPr>
              <w:t>Ordinary shares</w:t>
            </w: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Treasury shares</w:t>
            </w:r>
          </w:p>
        </w:tc>
        <w:tc>
          <w:tcPr>
            <w:tcW w:w="450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(576)</w:t>
            </w:r>
          </w:p>
        </w:tc>
        <w:tc>
          <w:tcPr>
            <w:tcW w:w="7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Other shareholders’ equity</w:t>
            </w:r>
          </w:p>
        </w:tc>
        <w:tc>
          <w:tcPr>
            <w:tcW w:w="26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105,873</w:t>
            </w:r>
          </w:p>
        </w:tc>
        <w:tc>
          <w:tcPr>
            <w:tcW w:w="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106,930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shareholders’ equity</w:t>
            </w:r>
          </w:p>
        </w:tc>
        <w:tc>
          <w:tcPr>
            <w:tcW w:w="26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105,325</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102,101</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2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60" w:type="dxa"/>
            <w:vAlign w:val="bottom"/>
            <w:gridSpan w:val="2"/>
            <w:vMerge w:val="continue"/>
          </w:tcPr>
          <w:p>
            <w:pPr>
              <w:spacing w:after="0"/>
              <w:rPr>
                <w:sz w:val="17"/>
                <w:szCs w:val="17"/>
                <w:color w:val="auto"/>
              </w:rPr>
            </w:pPr>
          </w:p>
        </w:tc>
        <w:tc>
          <w:tcPr>
            <w:tcW w:w="4240" w:type="dxa"/>
            <w:vAlign w:val="bottom"/>
            <w:gridSpan w:val="2"/>
          </w:tcPr>
          <w:p>
            <w:pPr>
              <w:jc w:val="right"/>
              <w:spacing w:after="0"/>
              <w:rPr>
                <w:sz w:val="20"/>
                <w:szCs w:val="20"/>
                <w:color w:val="auto"/>
              </w:rPr>
            </w:pPr>
            <w:r>
              <w:rPr>
                <w:rFonts w:ascii="Arial" w:cs="Arial" w:eastAsia="Arial" w:hAnsi="Arial"/>
                <w:sz w:val="17"/>
                <w:szCs w:val="17"/>
                <w:color w:val="auto"/>
              </w:rPr>
              <w:t>143,421</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154,392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80" w:type="dxa"/>
            <w:vAlign w:val="bottom"/>
            <w:vMerge w:val="restart"/>
          </w:tcPr>
          <w:p>
            <w:pPr>
              <w:jc w:val="right"/>
              <w:ind w:right="1833"/>
              <w:spacing w:after="0"/>
              <w:rPr>
                <w:sz w:val="20"/>
                <w:szCs w:val="20"/>
                <w:color w:val="auto"/>
              </w:rPr>
            </w:pPr>
            <w:r>
              <w:rPr>
                <w:rFonts w:ascii="Arial" w:cs="Arial" w:eastAsia="Arial" w:hAnsi="Arial"/>
                <w:sz w:val="17"/>
                <w:szCs w:val="17"/>
                <w:color w:val="auto"/>
              </w:rPr>
              <w:t>-83-</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43" w:right="31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27"/>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rPr>
              <w:t>CONDENSED STATEMENTS OF COMPREHENSIVE LOSS</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rPr>
              <w:t>FOR THE YEARS ENDED DECEMBER 31, 2017, 2018 AND 2019</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(US$’000, except share data and per share data, or otherwise noted)</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40" w:type="dxa"/>
            <w:vAlign w:val="bottom"/>
            <w:gridSpan w:val="5"/>
          </w:tcPr>
          <w:p>
            <w:pPr>
              <w:ind w:left="1020"/>
              <w:spacing w:after="0"/>
              <w:rPr>
                <w:sz w:val="20"/>
                <w:szCs w:val="20"/>
                <w:color w:val="auto"/>
              </w:rPr>
            </w:pPr>
            <w:r>
              <w:rPr>
                <w:rFonts w:ascii="Arial" w:cs="Arial" w:eastAsia="Arial" w:hAnsi="Arial"/>
                <w:sz w:val="17"/>
                <w:szCs w:val="17"/>
                <w:color w:val="auto"/>
                <w:w w:val="98"/>
              </w:rPr>
              <w:t>For the years ended 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2017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2018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expenses</w:t>
            </w:r>
          </w:p>
        </w:tc>
        <w:tc>
          <w:tcPr>
            <w:tcW w:w="14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General and administrative expenses</w:t>
            </w:r>
          </w:p>
        </w:tc>
        <w:tc>
          <w:tcPr>
            <w:tcW w:w="3040" w:type="dxa"/>
            <w:vAlign w:val="bottom"/>
            <w:gridSpan w:val="3"/>
          </w:tcPr>
          <w:p>
            <w:pPr>
              <w:jc w:val="right"/>
              <w:ind w:right="200"/>
              <w:spacing w:after="0"/>
              <w:rPr>
                <w:sz w:val="20"/>
                <w:szCs w:val="20"/>
                <w:color w:val="auto"/>
              </w:rPr>
            </w:pPr>
            <w:r>
              <w:rPr>
                <w:rFonts w:ascii="Arial" w:cs="Arial" w:eastAsia="Arial" w:hAnsi="Arial"/>
                <w:sz w:val="17"/>
                <w:szCs w:val="17"/>
                <w:color w:val="auto"/>
              </w:rPr>
              <w:t>(6,928)</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(27,643)</w:t>
            </w:r>
          </w:p>
        </w:tc>
        <w:tc>
          <w:tcPr>
            <w:tcW w:w="5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(12,064)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Total operating expenses</w:t>
            </w:r>
          </w:p>
        </w:tc>
        <w:tc>
          <w:tcPr>
            <w:tcW w:w="14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vMerge w:val="continue"/>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(6,928)</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(27,643)</w:t>
            </w:r>
          </w:p>
        </w:tc>
        <w:tc>
          <w:tcPr>
            <w:tcW w:w="5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loss</w:t>
            </w:r>
          </w:p>
        </w:tc>
        <w:tc>
          <w:tcPr>
            <w:tcW w:w="30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(6,928)</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(27,643)</w:t>
            </w: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Other (losses)/gains, net</w:t>
            </w:r>
          </w:p>
        </w:tc>
        <w:tc>
          <w:tcPr>
            <w:tcW w:w="3040" w:type="dxa"/>
            <w:vAlign w:val="bottom"/>
            <w:gridSpan w:val="3"/>
          </w:tcPr>
          <w:p>
            <w:pPr>
              <w:jc w:val="right"/>
              <w:ind w:right="200"/>
              <w:spacing w:after="0"/>
              <w:rPr>
                <w:sz w:val="20"/>
                <w:szCs w:val="20"/>
                <w:color w:val="auto"/>
              </w:rPr>
            </w:pPr>
            <w:r>
              <w:rPr>
                <w:rFonts w:ascii="Arial" w:cs="Arial" w:eastAsia="Arial" w:hAnsi="Arial"/>
                <w:sz w:val="17"/>
                <w:szCs w:val="17"/>
                <w:color w:val="auto"/>
              </w:rPr>
              <w:t>(116)</w:t>
            </w:r>
          </w:p>
        </w:tc>
        <w:tc>
          <w:tcPr>
            <w:tcW w:w="1300" w:type="dxa"/>
            <w:vAlign w:val="bottom"/>
          </w:tcPr>
          <w:p>
            <w:pPr>
              <w:jc w:val="right"/>
              <w:spacing w:after="0"/>
              <w:rPr>
                <w:sz w:val="20"/>
                <w:szCs w:val="20"/>
                <w:color w:val="auto"/>
              </w:rPr>
            </w:pPr>
            <w:r>
              <w:rPr>
                <w:rFonts w:ascii="Arial" w:cs="Arial" w:eastAsia="Arial" w:hAnsi="Arial"/>
                <w:sz w:val="17"/>
                <w:szCs w:val="17"/>
                <w:color w:val="auto"/>
              </w:rPr>
              <w:t>403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Fair value losses on derivative liabilities</w:t>
            </w:r>
          </w:p>
        </w:tc>
        <w:tc>
          <w:tcPr>
            <w:tcW w:w="30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(10,190)</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Fair value (losses)/gains on convertible notes</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(4,837)</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Share of (losses)/profits from subsidiaries and VIEs</w:t>
            </w:r>
          </w:p>
        </w:tc>
        <w:tc>
          <w:tcPr>
            <w:tcW w:w="14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(7,385)</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(264)</w:t>
            </w: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before income tax expense</w:t>
            </w:r>
          </w:p>
        </w:tc>
        <w:tc>
          <w:tcPr>
            <w:tcW w:w="1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(24,619)</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(32,341)</w:t>
            </w:r>
          </w:p>
        </w:tc>
        <w:tc>
          <w:tcPr>
            <w:tcW w:w="5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(9,127)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Share of loss from an equity investee</w:t>
            </w:r>
          </w:p>
        </w:tc>
        <w:tc>
          <w:tcPr>
            <w:tcW w:w="2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Income tax expense</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(68)</w:t>
            </w:r>
          </w:p>
        </w:tc>
        <w:tc>
          <w:tcPr>
            <w:tcW w:w="5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Net loss attributable to iClick Interactive Asia Group Limited</w:t>
            </w:r>
          </w:p>
        </w:tc>
        <w:tc>
          <w:tcPr>
            <w:tcW w:w="14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vMerge w:val="continue"/>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(24,619)</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(32,409)</w:t>
            </w:r>
          </w:p>
        </w:tc>
        <w:tc>
          <w:tcPr>
            <w:tcW w:w="5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gridSpan w:val="2"/>
          </w:tcPr>
          <w:p>
            <w:pPr>
              <w:spacing w:after="0"/>
              <w:rPr>
                <w:sz w:val="20"/>
                <w:szCs w:val="20"/>
                <w:color w:val="auto"/>
              </w:rPr>
            </w:pPr>
            <w:r>
              <w:rPr>
                <w:rFonts w:ascii="Arial" w:cs="Arial" w:eastAsia="Arial" w:hAnsi="Arial"/>
                <w:sz w:val="17"/>
                <w:szCs w:val="17"/>
                <w:color w:val="auto"/>
              </w:rPr>
              <w:t>Accretion to convertible redeemable preferred shares redemption</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7"/>
                <w:szCs w:val="17"/>
                <w:color w:val="auto"/>
              </w:rPr>
              <w:t>value</w:t>
            </w:r>
          </w:p>
        </w:tc>
        <w:tc>
          <w:tcPr>
            <w:tcW w:w="3040" w:type="dxa"/>
            <w:vAlign w:val="bottom"/>
            <w:gridSpan w:val="3"/>
          </w:tcPr>
          <w:p>
            <w:pPr>
              <w:jc w:val="right"/>
              <w:ind w:right="200"/>
              <w:spacing w:after="0"/>
              <w:rPr>
                <w:sz w:val="20"/>
                <w:szCs w:val="20"/>
                <w:color w:val="auto"/>
              </w:rPr>
            </w:pPr>
            <w:r>
              <w:rPr>
                <w:rFonts w:ascii="Arial" w:cs="Arial" w:eastAsia="Arial" w:hAnsi="Arial"/>
                <w:sz w:val="17"/>
                <w:szCs w:val="17"/>
                <w:color w:val="auto"/>
              </w:rPr>
              <w:t>(1,662)</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Accretion to redeemable ordinary shares redemption value</w:t>
            </w:r>
          </w:p>
        </w:tc>
        <w:tc>
          <w:tcPr>
            <w:tcW w:w="30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(3,650)</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rPr>
              <w:t>Net loss attributable to iClick Interactive Asia Group Limited’s</w:t>
            </w:r>
          </w:p>
        </w:tc>
        <w:tc>
          <w:tcPr>
            <w:tcW w:w="148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200" w:type="dxa"/>
            <w:vAlign w:val="bottom"/>
          </w:tcPr>
          <w:p>
            <w:pPr>
              <w:ind w:left="120"/>
              <w:spacing w:after="0"/>
              <w:rPr>
                <w:sz w:val="20"/>
                <w:szCs w:val="20"/>
                <w:color w:val="auto"/>
              </w:rPr>
            </w:pPr>
            <w:r>
              <w:rPr>
                <w:rFonts w:ascii="Arial" w:cs="Arial" w:eastAsia="Arial" w:hAnsi="Arial"/>
                <w:sz w:val="17"/>
                <w:szCs w:val="17"/>
                <w:b w:val="1"/>
                <w:bCs w:val="1"/>
                <w:color w:val="auto"/>
              </w:rPr>
              <w:t>ordinary shareholders</w:t>
            </w:r>
          </w:p>
        </w:tc>
        <w:tc>
          <w:tcPr>
            <w:tcW w:w="3040" w:type="dxa"/>
            <w:vAlign w:val="bottom"/>
            <w:gridSpan w:val="3"/>
          </w:tcPr>
          <w:p>
            <w:pPr>
              <w:jc w:val="right"/>
              <w:ind w:right="200"/>
              <w:spacing w:after="0"/>
              <w:rPr>
                <w:sz w:val="20"/>
                <w:szCs w:val="20"/>
                <w:color w:val="auto"/>
              </w:rPr>
            </w:pPr>
            <w:r>
              <w:rPr>
                <w:rFonts w:ascii="Arial" w:cs="Arial" w:eastAsia="Arial" w:hAnsi="Arial"/>
                <w:sz w:val="17"/>
                <w:szCs w:val="17"/>
                <w:color w:val="auto"/>
              </w:rPr>
              <w:t>(29,931)</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(32,409)</w:t>
            </w:r>
          </w:p>
        </w:tc>
        <w:tc>
          <w:tcPr>
            <w:tcW w:w="52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(9,603)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0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Net loss attributable to iClick Interactive Asia Group Limited</w:t>
            </w:r>
          </w:p>
        </w:tc>
        <w:tc>
          <w:tcPr>
            <w:tcW w:w="3040" w:type="dxa"/>
            <w:vAlign w:val="bottom"/>
            <w:gridSpan w:val="3"/>
          </w:tcPr>
          <w:p>
            <w:pPr>
              <w:jc w:val="right"/>
              <w:ind w:right="200"/>
              <w:spacing w:after="0"/>
              <w:rPr>
                <w:sz w:val="20"/>
                <w:szCs w:val="20"/>
                <w:color w:val="auto"/>
              </w:rPr>
            </w:pPr>
            <w:r>
              <w:rPr>
                <w:rFonts w:ascii="Arial" w:cs="Arial" w:eastAsia="Arial" w:hAnsi="Arial"/>
                <w:sz w:val="17"/>
                <w:szCs w:val="17"/>
                <w:color w:val="auto"/>
              </w:rPr>
              <w:t>(24,619)</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(32,409)</w:t>
            </w:r>
          </w:p>
        </w:tc>
        <w:tc>
          <w:tcPr>
            <w:tcW w:w="5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(9,603)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w:t>
            </w:r>
          </w:p>
        </w:tc>
        <w:tc>
          <w:tcPr>
            <w:tcW w:w="14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Foreign currency translation adjustment, net of tax</w:t>
            </w:r>
          </w:p>
        </w:tc>
        <w:tc>
          <w:tcPr>
            <w:tcW w:w="3040" w:type="dxa"/>
            <w:vAlign w:val="bottom"/>
            <w:gridSpan w:val="3"/>
          </w:tcPr>
          <w:p>
            <w:pPr>
              <w:jc w:val="right"/>
              <w:ind w:right="200"/>
              <w:spacing w:after="0"/>
              <w:rPr>
                <w:sz w:val="20"/>
                <w:szCs w:val="20"/>
                <w:color w:val="auto"/>
              </w:rPr>
            </w:pPr>
            <w:r>
              <w:rPr>
                <w:rFonts w:ascii="Arial" w:cs="Arial" w:eastAsia="Arial" w:hAnsi="Arial"/>
                <w:sz w:val="17"/>
                <w:szCs w:val="17"/>
                <w:color w:val="auto"/>
              </w:rPr>
              <w:t>(79)</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(2,547)</w:t>
            </w:r>
          </w:p>
        </w:tc>
        <w:tc>
          <w:tcPr>
            <w:tcW w:w="5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w w:val="99"/>
              </w:rPr>
              <w:t>Comprehensive loss attributable to iClick Interactive Asia Group</w:t>
            </w:r>
          </w:p>
        </w:tc>
        <w:tc>
          <w:tcPr>
            <w:tcW w:w="148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Limited</w:t>
            </w:r>
          </w:p>
        </w:tc>
        <w:tc>
          <w:tcPr>
            <w:tcW w:w="30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(24,698)</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(34,956)</w:t>
            </w: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CFF0FC"/>
            </w:tcBorders>
            <w:vMerge w:val="restart"/>
          </w:tcPr>
          <w:p>
            <w:pPr>
              <w:jc w:val="right"/>
              <w:ind w:right="793"/>
              <w:spacing w:after="0"/>
              <w:rPr>
                <w:sz w:val="20"/>
                <w:szCs w:val="20"/>
                <w:color w:val="auto"/>
              </w:rPr>
            </w:pPr>
            <w:r>
              <w:rPr>
                <w:rFonts w:ascii="Arial" w:cs="Arial" w:eastAsia="Arial" w:hAnsi="Arial"/>
                <w:sz w:val="17"/>
                <w:szCs w:val="17"/>
                <w:color w:val="auto"/>
              </w:rPr>
              <w:t>-84-</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43" w:right="31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27"/>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rPr>
              <w:t>iCLICK INTERACTIVE ASIA GROUP LIMITED</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rPr>
              <w:t>CONDENSED STATEMENTS OF CASH FLOWS</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spacing w:after="0"/>
              <w:rPr>
                <w:sz w:val="20"/>
                <w:szCs w:val="20"/>
                <w:color w:val="auto"/>
              </w:rPr>
            </w:pPr>
            <w:r>
              <w:rPr>
                <w:rFonts w:ascii="Arial" w:cs="Arial" w:eastAsia="Arial" w:hAnsi="Arial"/>
                <w:sz w:val="17"/>
                <w:szCs w:val="17"/>
                <w:b w:val="1"/>
                <w:bCs w:val="1"/>
                <w:color w:val="auto"/>
              </w:rPr>
              <w:t>FOR THE YEARS ENDED DECEMBER 31, 2017, 2018 AND 2019</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(US$’000, except share data and per share data, or otherwise noted)</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40" w:type="dxa"/>
            <w:vAlign w:val="bottom"/>
            <w:gridSpan w:val="5"/>
          </w:tcPr>
          <w:p>
            <w:pPr>
              <w:ind w:left="1020"/>
              <w:spacing w:after="0"/>
              <w:rPr>
                <w:sz w:val="20"/>
                <w:szCs w:val="20"/>
                <w:color w:val="auto"/>
              </w:rPr>
            </w:pPr>
            <w:r>
              <w:rPr>
                <w:rFonts w:ascii="Arial" w:cs="Arial" w:eastAsia="Arial" w:hAnsi="Arial"/>
                <w:sz w:val="17"/>
                <w:szCs w:val="17"/>
                <w:color w:val="auto"/>
                <w:w w:val="98"/>
              </w:rPr>
              <w:t>For the years ended 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2017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2018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Net cash (used in)/provided by operating activities</w:t>
            </w:r>
          </w:p>
        </w:tc>
        <w:tc>
          <w:tcPr>
            <w:tcW w:w="3040" w:type="dxa"/>
            <w:vAlign w:val="bottom"/>
            <w:gridSpan w:val="3"/>
          </w:tcPr>
          <w:p>
            <w:pPr>
              <w:jc w:val="right"/>
              <w:ind w:right="200"/>
              <w:spacing w:after="0"/>
              <w:rPr>
                <w:sz w:val="20"/>
                <w:szCs w:val="20"/>
                <w:color w:val="auto"/>
              </w:rPr>
            </w:pPr>
            <w:r>
              <w:rPr>
                <w:rFonts w:ascii="Arial" w:cs="Arial" w:eastAsia="Arial" w:hAnsi="Arial"/>
                <w:sz w:val="17"/>
                <w:szCs w:val="17"/>
                <w:color w:val="auto"/>
              </w:rPr>
              <w:t>(34,030)</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(32,234)</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Increase in long-term investments</w:t>
            </w:r>
          </w:p>
        </w:tc>
        <w:tc>
          <w:tcPr>
            <w:tcW w:w="2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(503)</w:t>
            </w: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Investment in an equity investee</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Increase in time deposits</w:t>
            </w:r>
          </w:p>
        </w:tc>
        <w:tc>
          <w:tcPr>
            <w:tcW w:w="14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1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(503)</w:t>
            </w:r>
          </w:p>
        </w:tc>
        <w:tc>
          <w:tcPr>
            <w:tcW w:w="5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(1,867)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Proceeds from exercise of share options</w:t>
            </w:r>
          </w:p>
        </w:tc>
        <w:tc>
          <w:tcPr>
            <w:tcW w:w="2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656</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gridSpan w:val="2"/>
          </w:tcPr>
          <w:p>
            <w:pPr>
              <w:spacing w:after="0"/>
              <w:rPr>
                <w:sz w:val="20"/>
                <w:szCs w:val="20"/>
                <w:color w:val="auto"/>
              </w:rPr>
            </w:pPr>
            <w:r>
              <w:rPr>
                <w:rFonts w:ascii="Arial" w:cs="Arial" w:eastAsia="Arial" w:hAnsi="Arial"/>
                <w:sz w:val="17"/>
                <w:szCs w:val="17"/>
                <w:color w:val="auto"/>
              </w:rPr>
              <w:t>Proceeds from issuance of convertible notes, net of</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7"/>
                <w:szCs w:val="17"/>
                <w:color w:val="auto"/>
              </w:rPr>
              <w:t>transaction expenses</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27,810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Redemption of convertible notes</w:t>
            </w:r>
          </w:p>
        </w:tc>
        <w:tc>
          <w:tcPr>
            <w:tcW w:w="27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(11,265)</w:t>
            </w: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7"/>
                <w:szCs w:val="17"/>
                <w:color w:val="auto"/>
              </w:rPr>
              <w:t>Repurchase of ordinary shares</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(37)</w:t>
            </w:r>
          </w:p>
        </w:tc>
        <w:tc>
          <w:tcPr>
            <w:tcW w:w="5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(4,414)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Net proceeds from issuance of ordinary shares upon IPO</w:t>
            </w:r>
          </w:p>
        </w:tc>
        <w:tc>
          <w:tcPr>
            <w:tcW w:w="148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28,405</w:t>
            </w:r>
          </w:p>
        </w:tc>
        <w:tc>
          <w:tcPr>
            <w:tcW w:w="2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spacing w:after="0"/>
              <w:rPr>
                <w:sz w:val="20"/>
                <w:szCs w:val="20"/>
                <w:color w:val="auto"/>
              </w:rPr>
            </w:pPr>
            <w:r>
              <w:rPr>
                <w:rFonts w:ascii="Arial" w:cs="Arial" w:eastAsia="Arial" w:hAnsi="Arial"/>
                <w:sz w:val="17"/>
                <w:szCs w:val="17"/>
                <w:color w:val="auto"/>
              </w:rPr>
              <w:t>Net cash provided by financing activities</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28,465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28,429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b w:val="1"/>
                <w:bCs w:val="1"/>
                <w:color w:val="auto"/>
              </w:rPr>
              <w:t>Net (decrease)/increase in cash and cash equivalents and</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0" w:type="dxa"/>
            <w:vAlign w:val="bottom"/>
          </w:tcPr>
          <w:p>
            <w:pPr>
              <w:ind w:left="120"/>
              <w:spacing w:after="0"/>
              <w:rPr>
                <w:sz w:val="20"/>
                <w:szCs w:val="20"/>
                <w:color w:val="auto"/>
              </w:rPr>
            </w:pPr>
            <w:r>
              <w:rPr>
                <w:rFonts w:ascii="Arial" w:cs="Arial" w:eastAsia="Arial" w:hAnsi="Arial"/>
                <w:sz w:val="17"/>
                <w:szCs w:val="17"/>
                <w:b w:val="1"/>
                <w:bCs w:val="1"/>
                <w:color w:val="auto"/>
              </w:rPr>
              <w:t>restricted cash</w:t>
            </w:r>
          </w:p>
        </w:tc>
        <w:tc>
          <w:tcPr>
            <w:tcW w:w="3040" w:type="dxa"/>
            <w:vAlign w:val="bottom"/>
            <w:gridSpan w:val="3"/>
          </w:tcPr>
          <w:p>
            <w:pPr>
              <w:jc w:val="right"/>
              <w:ind w:right="200"/>
              <w:spacing w:after="0"/>
              <w:rPr>
                <w:sz w:val="20"/>
                <w:szCs w:val="20"/>
                <w:color w:val="auto"/>
              </w:rPr>
            </w:pPr>
            <w:r>
              <w:rPr>
                <w:rFonts w:ascii="Arial" w:cs="Arial" w:eastAsia="Arial" w:hAnsi="Arial"/>
                <w:sz w:val="17"/>
                <w:szCs w:val="17"/>
                <w:color w:val="auto"/>
              </w:rPr>
              <w:t>(5,565)</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(4,308)</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80" w:type="dxa"/>
            <w:vAlign w:val="bottom"/>
            <w:vMerge w:val="restart"/>
          </w:tcPr>
          <w:p>
            <w:pPr>
              <w:jc w:val="right"/>
              <w:ind w:right="793"/>
              <w:spacing w:after="0"/>
              <w:rPr>
                <w:sz w:val="20"/>
                <w:szCs w:val="20"/>
                <w:color w:val="auto"/>
              </w:rPr>
            </w:pPr>
            <w:r>
              <w:rPr>
                <w:rFonts w:ascii="Arial" w:cs="Arial" w:eastAsia="Arial" w:hAnsi="Arial"/>
                <w:sz w:val="17"/>
                <w:szCs w:val="17"/>
                <w:color w:val="auto"/>
              </w:rPr>
              <w:t>-85-</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2"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7"/>
          <w:szCs w:val="17"/>
          <w:b w:val="1"/>
          <w:bCs w:val="1"/>
          <w:color w:val="auto"/>
        </w:rPr>
        <w:t>Exhibit 2.4</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Rights of Each Class of Securities Registered under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12 of the Securities Exchange Act of 1934</w:t>
      </w:r>
    </w:p>
    <w:p>
      <w:pPr>
        <w:spacing w:after="0" w:line="208" w:lineRule="exact"/>
        <w:rPr>
          <w:sz w:val="20"/>
          <w:szCs w:val="20"/>
          <w:color w:val="auto"/>
        </w:rPr>
      </w:pPr>
    </w:p>
    <w:p>
      <w:pPr>
        <w:ind w:right="120" w:firstLine="729"/>
        <w:spacing w:after="0" w:line="298" w:lineRule="auto"/>
        <w:rPr>
          <w:sz w:val="20"/>
          <w:szCs w:val="20"/>
          <w:color w:val="auto"/>
        </w:rPr>
      </w:pPr>
      <w:r>
        <w:rPr>
          <w:rFonts w:ascii="Arial" w:cs="Arial" w:eastAsia="Arial" w:hAnsi="Arial"/>
          <w:sz w:val="15"/>
          <w:szCs w:val="15"/>
          <w:color w:val="auto"/>
        </w:rPr>
        <w:t>American Depositary Shares (“ADSs”), two representing one Class A ordinary share, of iClick Interactive Asia Group Limited (“our company”) are listed on the NASDAQ Global Market and the shares are registered under Section 12(b) of the Exchange Act. This exhibit contains a description of the rights of</w:t>
      </w:r>
    </w:p>
    <w:p>
      <w:pPr>
        <w:ind w:right="40" w:firstLine="4"/>
        <w:spacing w:after="0" w:line="271" w:lineRule="auto"/>
        <w:tabs>
          <w:tab w:leader="none" w:pos="20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holders of ordinary shares and (ii) ADS holders. Shares underlying the ADSs are held by JPMorgan Chase Bank, N.A., as depositary, and holders of ADSs will not be treated as holders of the ordinary shares.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Ordinary Shares (Items 9.A.3, 9.A.5, 9.A.6, 10.B.3, 10.B.4, 10.B.6, 10.B.7, 10.B.8, 10.B.9 and 10.B.10 of Form 20-F)</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1" w:lineRule="exact"/>
        <w:rPr>
          <w:sz w:val="20"/>
          <w:szCs w:val="20"/>
          <w:color w:val="auto"/>
        </w:rPr>
      </w:pPr>
    </w:p>
    <w:p>
      <w:pPr>
        <w:ind w:right="20" w:firstLine="729"/>
        <w:spacing w:after="0" w:line="286" w:lineRule="auto"/>
        <w:rPr>
          <w:sz w:val="20"/>
          <w:szCs w:val="20"/>
          <w:color w:val="auto"/>
        </w:rPr>
      </w:pPr>
      <w:r>
        <w:rPr>
          <w:rFonts w:ascii="Arial" w:cs="Arial" w:eastAsia="Arial" w:hAnsi="Arial"/>
          <w:sz w:val="17"/>
          <w:szCs w:val="17"/>
          <w:color w:val="auto"/>
        </w:rPr>
        <w:t>Our ordinary shares are issued in registered form and are issued when registered in our register of members. Our shareholders who are non-residents of the Cayman Islands may freely hold and vote their shares.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Preemptive Rights</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shareholders of our company do not have preemptive right.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of Ordinary Shares</w:t>
      </w:r>
    </w:p>
    <w:p>
      <w:pPr>
        <w:spacing w:after="0" w:line="221" w:lineRule="exact"/>
        <w:rPr>
          <w:sz w:val="20"/>
          <w:szCs w:val="20"/>
          <w:color w:val="auto"/>
        </w:rPr>
      </w:pPr>
    </w:p>
    <w:p>
      <w:pPr>
        <w:ind w:right="60" w:firstLine="729"/>
        <w:spacing w:after="0" w:line="286" w:lineRule="auto"/>
        <w:rPr>
          <w:sz w:val="20"/>
          <w:szCs w:val="20"/>
          <w:color w:val="auto"/>
        </w:rPr>
      </w:pPr>
      <w:r>
        <w:rPr>
          <w:rFonts w:ascii="Arial" w:cs="Arial" w:eastAsia="Arial" w:hAnsi="Arial"/>
          <w:sz w:val="17"/>
          <w:szCs w:val="17"/>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59" w:lineRule="exact"/>
        <w:rPr>
          <w:sz w:val="20"/>
          <w:szCs w:val="20"/>
          <w:color w:val="auto"/>
        </w:rPr>
      </w:pPr>
    </w:p>
    <w:p>
      <w:pPr>
        <w:ind w:right="200" w:firstLine="729"/>
        <w:spacing w:after="0" w:line="286" w:lineRule="auto"/>
        <w:rPr>
          <w:sz w:val="20"/>
          <w:szCs w:val="20"/>
          <w:color w:val="auto"/>
        </w:rPr>
      </w:pPr>
      <w:r>
        <w:rPr>
          <w:rFonts w:ascii="Arial" w:cs="Arial" w:eastAsia="Arial" w:hAnsi="Arial"/>
          <w:sz w:val="17"/>
          <w:szCs w:val="17"/>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59" w:lineRule="exact"/>
        <w:rPr>
          <w:sz w:val="20"/>
          <w:szCs w:val="20"/>
          <w:color w:val="auto"/>
        </w:rPr>
      </w:pPr>
    </w:p>
    <w:p>
      <w:pPr>
        <w:ind w:left="1100" w:right="160" w:hanging="367"/>
        <w:spacing w:after="0" w:line="286" w:lineRule="auto"/>
        <w:tabs>
          <w:tab w:leader="none" w:pos="11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58" w:lineRule="exact"/>
        <w:rPr>
          <w:rFonts w:ascii="Arial" w:cs="Arial" w:eastAsia="Arial" w:hAnsi="Arial"/>
          <w:sz w:val="17"/>
          <w:szCs w:val="17"/>
          <w:color w:val="auto"/>
        </w:rPr>
      </w:pPr>
    </w:p>
    <w:p>
      <w:pPr>
        <w:ind w:left="1100" w:hanging="367"/>
        <w:spacing w:after="0"/>
        <w:tabs>
          <w:tab w:leader="none" w:pos="11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instrument of transfer is in respect of only one class of shares;</w:t>
      </w:r>
    </w:p>
    <w:p>
      <w:pPr>
        <w:spacing w:after="0" w:line="220" w:lineRule="exact"/>
        <w:rPr>
          <w:rFonts w:ascii="Arial" w:cs="Arial" w:eastAsia="Arial" w:hAnsi="Arial"/>
          <w:sz w:val="17"/>
          <w:szCs w:val="17"/>
          <w:color w:val="auto"/>
        </w:rPr>
      </w:pPr>
    </w:p>
    <w:p>
      <w:pPr>
        <w:ind w:left="1100" w:hanging="367"/>
        <w:spacing w:after="0"/>
        <w:tabs>
          <w:tab w:leader="none" w:pos="11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instrument of transfer is properly stamped, if required;</w:t>
      </w:r>
    </w:p>
    <w:p>
      <w:pPr>
        <w:spacing w:after="0" w:line="220" w:lineRule="exact"/>
        <w:rPr>
          <w:rFonts w:ascii="Arial" w:cs="Arial" w:eastAsia="Arial" w:hAnsi="Arial"/>
          <w:sz w:val="17"/>
          <w:szCs w:val="17"/>
          <w:color w:val="auto"/>
        </w:rPr>
      </w:pPr>
    </w:p>
    <w:p>
      <w:pPr>
        <w:ind w:left="1100" w:hanging="367"/>
        <w:spacing w:after="0"/>
        <w:tabs>
          <w:tab w:leader="none" w:pos="110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232" w:lineRule="exact"/>
        <w:rPr>
          <w:rFonts w:ascii="Arial" w:cs="Arial" w:eastAsia="Arial" w:hAnsi="Arial"/>
          <w:sz w:val="16"/>
          <w:szCs w:val="16"/>
          <w:color w:val="auto"/>
        </w:rPr>
      </w:pPr>
    </w:p>
    <w:p>
      <w:pPr>
        <w:ind w:left="1100" w:right="200" w:hanging="367"/>
        <w:spacing w:after="0" w:line="286" w:lineRule="auto"/>
        <w:tabs>
          <w:tab w:leader="none" w:pos="11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 fee of such maximum sum as the NASDAQ may determine to be payable or such lesser sum as our directors may from time to time require is paid to us in respect thereof.</w:t>
      </w:r>
    </w:p>
    <w:p>
      <w:pPr>
        <w:spacing w:after="0" w:line="159" w:lineRule="exact"/>
        <w:rPr>
          <w:sz w:val="20"/>
          <w:szCs w:val="20"/>
          <w:color w:val="auto"/>
        </w:rPr>
      </w:pPr>
    </w:p>
    <w:p>
      <w:pPr>
        <w:ind w:right="180" w:firstLine="729"/>
        <w:spacing w:after="0" w:line="286" w:lineRule="auto"/>
        <w:rPr>
          <w:sz w:val="20"/>
          <w:szCs w:val="20"/>
          <w:color w:val="auto"/>
        </w:rPr>
      </w:pPr>
      <w:r>
        <w:rPr>
          <w:rFonts w:ascii="Arial" w:cs="Arial" w:eastAsia="Arial" w:hAnsi="Arial"/>
          <w:sz w:val="17"/>
          <w:szCs w:val="17"/>
          <w:color w:val="auto"/>
        </w:rPr>
        <w:t>If our directors refuse to register a transfer they shall, within three months after the date on which the instrument of transfer was lodged, send to each of the transferor and the transferee notice of such refusal.</w:t>
      </w:r>
    </w:p>
    <w:p>
      <w:pPr>
        <w:spacing w:after="0" w:line="159" w:lineRule="exact"/>
        <w:rPr>
          <w:sz w:val="20"/>
          <w:szCs w:val="20"/>
          <w:color w:val="auto"/>
        </w:rPr>
      </w:pPr>
    </w:p>
    <w:p>
      <w:pPr>
        <w:jc w:val="both"/>
        <w:ind w:right="200" w:firstLine="729"/>
        <w:spacing w:after="0" w:line="270" w:lineRule="auto"/>
        <w:rPr>
          <w:sz w:val="20"/>
          <w:szCs w:val="20"/>
          <w:color w:val="auto"/>
        </w:rPr>
      </w:pPr>
      <w:r>
        <w:rPr>
          <w:rFonts w:ascii="Arial" w:cs="Arial" w:eastAsia="Arial" w:hAnsi="Arial"/>
          <w:sz w:val="17"/>
          <w:szCs w:val="17"/>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or Qualifications</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rights of our shareholders are not materially limited or qualified.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rights</w:t>
      </w:r>
    </w:p>
    <w:p>
      <w:pPr>
        <w:spacing w:after="0" w:line="221" w:lineRule="exact"/>
        <w:rPr>
          <w:sz w:val="20"/>
          <w:szCs w:val="20"/>
          <w:color w:val="auto"/>
        </w:rPr>
      </w:pPr>
    </w:p>
    <w:p>
      <w:pPr>
        <w:ind w:right="40" w:firstLine="729"/>
        <w:spacing w:after="0" w:line="287" w:lineRule="auto"/>
        <w:rPr>
          <w:sz w:val="20"/>
          <w:szCs w:val="20"/>
          <w:color w:val="auto"/>
        </w:rPr>
      </w:pPr>
      <w:r>
        <w:rPr>
          <w:rFonts w:ascii="Arial" w:cs="Arial" w:eastAsia="Arial" w:hAnsi="Arial"/>
          <w:sz w:val="16"/>
          <w:szCs w:val="16"/>
          <w:color w:val="auto"/>
        </w:rPr>
        <w:t>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1" w:lineRule="exact"/>
        <w:rPr>
          <w:sz w:val="20"/>
          <w:szCs w:val="20"/>
          <w:color w:val="auto"/>
        </w:rPr>
      </w:pPr>
    </w:p>
    <w:p>
      <w:pPr>
        <w:ind w:right="80" w:firstLine="729"/>
        <w:spacing w:after="0" w:line="287" w:lineRule="auto"/>
        <w:rPr>
          <w:sz w:val="20"/>
          <w:szCs w:val="20"/>
          <w:color w:val="auto"/>
        </w:rPr>
      </w:pPr>
      <w:r>
        <w:rPr>
          <w:rFonts w:ascii="Arial" w:cs="Arial" w:eastAsia="Arial" w:hAnsi="Arial"/>
          <w:sz w:val="16"/>
          <w:szCs w:val="16"/>
          <w:color w:val="auto"/>
        </w:rPr>
        <w:t>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61" w:lineRule="exact"/>
        <w:rPr>
          <w:sz w:val="20"/>
          <w:szCs w:val="20"/>
          <w:color w:val="auto"/>
        </w:rPr>
      </w:pPr>
    </w:p>
    <w:p>
      <w:pPr>
        <w:ind w:right="20" w:firstLine="729"/>
        <w:spacing w:after="0" w:line="265" w:lineRule="auto"/>
        <w:rPr>
          <w:sz w:val="20"/>
          <w:szCs w:val="20"/>
          <w:color w:val="auto"/>
        </w:rPr>
      </w:pPr>
      <w:r>
        <w:rPr>
          <w:rFonts w:ascii="Arial" w:cs="Arial" w:eastAsia="Arial" w:hAnsi="Arial"/>
          <w:sz w:val="17"/>
          <w:szCs w:val="17"/>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591185</wp:posOffset>
            </wp:positionV>
            <wp:extent cx="7153910"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223" w:name="page224"/>
    <w:bookmarkEnd w:id="223"/>
    <w:p>
      <w:pPr>
        <w:ind w:right="160" w:firstLine="750"/>
        <w:spacing w:after="0" w:line="287"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61" w:lineRule="exact"/>
        <w:rPr>
          <w:sz w:val="20"/>
          <w:szCs w:val="20"/>
          <w:color w:val="auto"/>
        </w:rPr>
      </w:pPr>
    </w:p>
    <w:p>
      <w:pPr>
        <w:ind w:right="40" w:firstLine="750"/>
        <w:spacing w:after="0" w:line="279"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ninth amended and restated memorandum and articles of association. An ordinary resolution will be required for important matters including appointment or removal of the chairman of the board of directors, or removal of any directors (other than “for cause”), among others.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221" w:lineRule="exact"/>
        <w:rPr>
          <w:sz w:val="20"/>
          <w:szCs w:val="20"/>
          <w:color w:val="auto"/>
        </w:rPr>
      </w:pPr>
    </w:p>
    <w:p>
      <w:pPr>
        <w:ind w:right="20" w:firstLine="750"/>
        <w:spacing w:after="0" w:line="295" w:lineRule="auto"/>
        <w:rPr>
          <w:sz w:val="20"/>
          <w:szCs w:val="20"/>
          <w:color w:val="auto"/>
        </w:rPr>
      </w:pPr>
      <w:r>
        <w:rPr>
          <w:rFonts w:ascii="Arial" w:cs="Arial" w:eastAsia="Arial" w:hAnsi="Arial"/>
          <w:sz w:val="16"/>
          <w:szCs w:val="16"/>
          <w:color w:val="auto"/>
        </w:rPr>
        <w:t>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Repurchase and Surrender of Ordinary Shares</w:t>
      </w:r>
    </w:p>
    <w:p>
      <w:pPr>
        <w:spacing w:after="0" w:line="221" w:lineRule="exact"/>
        <w:rPr>
          <w:sz w:val="20"/>
          <w:szCs w:val="20"/>
          <w:color w:val="auto"/>
        </w:rPr>
      </w:pPr>
    </w:p>
    <w:p>
      <w:pPr>
        <w:ind w:right="40" w:firstLine="750"/>
        <w:spacing w:after="0" w:line="277" w:lineRule="auto"/>
        <w:rPr>
          <w:sz w:val="20"/>
          <w:szCs w:val="20"/>
          <w:color w:val="auto"/>
        </w:rPr>
      </w:pPr>
      <w:r>
        <w:rPr>
          <w:rFonts w:ascii="Arial" w:cs="Arial" w:eastAsia="Arial" w:hAnsi="Arial"/>
          <w:sz w:val="16"/>
          <w:szCs w:val="16"/>
          <w:color w:val="auto"/>
        </w:rPr>
        <w:t>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Sinking Fund</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ordinary shares are not subject to sinking fund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Calls on Shares and Forfeiture of Shares</w:t>
      </w:r>
    </w:p>
    <w:p>
      <w:pPr>
        <w:spacing w:after="0" w:line="221" w:lineRule="exact"/>
        <w:rPr>
          <w:sz w:val="20"/>
          <w:szCs w:val="20"/>
          <w:color w:val="auto"/>
        </w:rPr>
      </w:pPr>
    </w:p>
    <w:p>
      <w:pPr>
        <w:ind w:right="120" w:firstLine="750"/>
        <w:spacing w:after="0" w:line="356" w:lineRule="auto"/>
        <w:rPr>
          <w:sz w:val="20"/>
          <w:szCs w:val="20"/>
          <w:color w:val="auto"/>
        </w:rPr>
      </w:pPr>
      <w:r>
        <w:rPr>
          <w:rFonts w:ascii="Arial" w:cs="Arial" w:eastAsia="Arial" w:hAnsi="Arial"/>
          <w:sz w:val="15"/>
          <w:szCs w:val="15"/>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Variations of Rights of Shares</w:t>
      </w:r>
    </w:p>
    <w:p>
      <w:pPr>
        <w:spacing w:after="0" w:line="221" w:lineRule="exact"/>
        <w:rPr>
          <w:sz w:val="20"/>
          <w:szCs w:val="20"/>
          <w:color w:val="auto"/>
        </w:rPr>
      </w:pPr>
    </w:p>
    <w:p>
      <w:pPr>
        <w:ind w:right="80" w:firstLine="750"/>
        <w:spacing w:after="0" w:line="263" w:lineRule="auto"/>
        <w:rPr>
          <w:sz w:val="20"/>
          <w:szCs w:val="20"/>
          <w:color w:val="auto"/>
        </w:rPr>
      </w:pPr>
      <w:r>
        <w:rPr>
          <w:rFonts w:ascii="Arial" w:cs="Arial" w:eastAsia="Arial" w:hAnsi="Arial"/>
          <w:sz w:val="17"/>
          <w:szCs w:val="17"/>
          <w:color w:val="auto"/>
        </w:rPr>
        <w:t xml:space="preserve">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such existing class of shares.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the Right to Own Shares</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There are no limitations on the right to own our shares.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Shareholder Ownership</w:t>
      </w:r>
    </w:p>
    <w:p>
      <w:pPr>
        <w:spacing w:after="0" w:line="221" w:lineRule="exact"/>
        <w:rPr>
          <w:sz w:val="20"/>
          <w:szCs w:val="20"/>
          <w:color w:val="auto"/>
        </w:rPr>
      </w:pPr>
    </w:p>
    <w:p>
      <w:pPr>
        <w:ind w:right="220" w:firstLine="750"/>
        <w:spacing w:after="0" w:line="286" w:lineRule="auto"/>
        <w:rPr>
          <w:sz w:val="20"/>
          <w:szCs w:val="20"/>
          <w:color w:val="auto"/>
        </w:rPr>
      </w:pPr>
      <w:r>
        <w:rPr>
          <w:rFonts w:ascii="Arial" w:cs="Arial" w:eastAsia="Arial" w:hAnsi="Arial"/>
          <w:sz w:val="17"/>
          <w:szCs w:val="17"/>
          <w:color w:val="auto"/>
        </w:rPr>
        <w:t>There are no provisions in our ninth amended and restated memorandum and articles of association governing the ownership threshold above which shareholder ownership must be disclosed.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Differences in Corporate Law</w:t>
      </w:r>
    </w:p>
    <w:p>
      <w:pPr>
        <w:spacing w:after="0" w:line="221" w:lineRule="exact"/>
        <w:rPr>
          <w:sz w:val="20"/>
          <w:szCs w:val="20"/>
          <w:color w:val="auto"/>
        </w:rPr>
      </w:pPr>
    </w:p>
    <w:p>
      <w:pPr>
        <w:ind w:firstLine="750"/>
        <w:spacing w:after="0" w:line="287"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316230</wp:posOffset>
            </wp:positionV>
            <wp:extent cx="7153910"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24" w:name="page225"/>
    <w:bookmarkEnd w:id="224"/>
    <w:p>
      <w:pPr>
        <w:ind w:firstLine="750"/>
        <w:spacing w:after="0" w:line="295" w:lineRule="auto"/>
        <w:rPr>
          <w:sz w:val="20"/>
          <w:szCs w:val="20"/>
          <w:color w:val="auto"/>
        </w:rPr>
      </w:pPr>
      <w:r>
        <w:rPr>
          <w:rFonts w:ascii="Arial" w:cs="Arial" w:eastAsia="Arial" w:hAnsi="Arial"/>
          <w:sz w:val="15"/>
          <w:szCs w:val="15"/>
          <w:i w:val="1"/>
          <w:iCs w:val="1"/>
          <w:color w:val="auto"/>
        </w:rPr>
        <w:t xml:space="preserve">Mergers and Similar Arrangements. </w:t>
      </w:r>
      <w:r>
        <w:rPr>
          <w:rFonts w:ascii="Arial" w:cs="Arial" w:eastAsia="Arial" w:hAnsi="Arial"/>
          <w:sz w:val="15"/>
          <w:szCs w:val="15"/>
          <w:color w:val="auto"/>
        </w:rPr>
        <w:t>The Companies Law permits mergers and consolidations between Cayman Islands companies and between</w:t>
      </w:r>
      <w:r>
        <w:rPr>
          <w:rFonts w:ascii="Arial" w:cs="Arial" w:eastAsia="Arial" w:hAnsi="Arial"/>
          <w:sz w:val="15"/>
          <w:szCs w:val="15"/>
          <w:i w:val="1"/>
          <w:iCs w:val="1"/>
          <w:color w:val="auto"/>
        </w:rPr>
        <w:t xml:space="preserve"> </w:t>
      </w:r>
      <w:r>
        <w:rPr>
          <w:rFonts w:ascii="Arial" w:cs="Arial" w:eastAsia="Arial" w:hAnsi="Arial"/>
          <w:sz w:val="15"/>
          <w:szCs w:val="15"/>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2" w:lineRule="exact"/>
        <w:rPr>
          <w:sz w:val="20"/>
          <w:szCs w:val="20"/>
          <w:color w:val="auto"/>
        </w:rPr>
      </w:pPr>
    </w:p>
    <w:p>
      <w:pPr>
        <w:ind w:right="60" w:firstLine="750"/>
        <w:spacing w:after="0" w:line="261"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82" w:lineRule="exact"/>
        <w:rPr>
          <w:sz w:val="20"/>
          <w:szCs w:val="20"/>
          <w:color w:val="auto"/>
        </w:rPr>
      </w:pPr>
    </w:p>
    <w:p>
      <w:pPr>
        <w:ind w:left="1100" w:hanging="354"/>
        <w:spacing w:after="0"/>
        <w:tabs>
          <w:tab w:leader="none" w:pos="11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statutory provisions as to the required majority vote have been met;</w:t>
      </w:r>
    </w:p>
    <w:p>
      <w:pPr>
        <w:spacing w:after="0" w:line="220" w:lineRule="exact"/>
        <w:rPr>
          <w:rFonts w:ascii="Arial" w:cs="Arial" w:eastAsia="Arial" w:hAnsi="Arial"/>
          <w:sz w:val="17"/>
          <w:szCs w:val="17"/>
          <w:color w:val="auto"/>
        </w:rPr>
      </w:pPr>
    </w:p>
    <w:p>
      <w:pPr>
        <w:ind w:left="1100" w:right="240" w:hanging="354"/>
        <w:spacing w:after="0" w:line="286" w:lineRule="auto"/>
        <w:tabs>
          <w:tab w:leader="none" w:pos="11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shareholders have been fairly represented at the meeting in question and the statutory majority are acting bona fide without coercion of the minority to promote interests adverse to those of the class;</w:t>
      </w:r>
    </w:p>
    <w:p>
      <w:pPr>
        <w:spacing w:after="0" w:line="158" w:lineRule="exact"/>
        <w:rPr>
          <w:rFonts w:ascii="Arial" w:cs="Arial" w:eastAsia="Arial" w:hAnsi="Arial"/>
          <w:sz w:val="17"/>
          <w:szCs w:val="17"/>
          <w:color w:val="auto"/>
        </w:rPr>
      </w:pPr>
    </w:p>
    <w:p>
      <w:pPr>
        <w:ind w:left="1100" w:hanging="354"/>
        <w:spacing w:after="0"/>
        <w:tabs>
          <w:tab w:leader="none" w:pos="11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32" w:lineRule="exact"/>
        <w:rPr>
          <w:rFonts w:ascii="Arial" w:cs="Arial" w:eastAsia="Arial" w:hAnsi="Arial"/>
          <w:sz w:val="16"/>
          <w:szCs w:val="16"/>
          <w:color w:val="auto"/>
        </w:rPr>
      </w:pPr>
    </w:p>
    <w:p>
      <w:pPr>
        <w:ind w:left="1100" w:hanging="354"/>
        <w:spacing w:after="0"/>
        <w:tabs>
          <w:tab w:leader="none" w:pos="110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arrangement is not one that would more properly be sanctioned under some other provision of the Companies Law.</w:t>
      </w:r>
    </w:p>
    <w:p>
      <w:pPr>
        <w:spacing w:after="0" w:line="221" w:lineRule="exact"/>
        <w:rPr>
          <w:sz w:val="20"/>
          <w:szCs w:val="20"/>
          <w:color w:val="auto"/>
        </w:rPr>
      </w:pPr>
    </w:p>
    <w:p>
      <w:pPr>
        <w:ind w:right="40" w:firstLine="750"/>
        <w:spacing w:after="0" w:line="265" w:lineRule="auto"/>
        <w:rPr>
          <w:sz w:val="20"/>
          <w:szCs w:val="20"/>
          <w:color w:val="auto"/>
        </w:rPr>
      </w:pPr>
      <w:r>
        <w:rPr>
          <w:rFonts w:ascii="Arial" w:cs="Arial" w:eastAsia="Arial" w:hAnsi="Arial"/>
          <w:sz w:val="17"/>
          <w:szCs w:val="17"/>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77" w:lineRule="exact"/>
        <w:rPr>
          <w:sz w:val="20"/>
          <w:szCs w:val="20"/>
          <w:color w:val="auto"/>
        </w:rPr>
      </w:pPr>
    </w:p>
    <w:p>
      <w:pPr>
        <w:jc w:val="both"/>
        <w:ind w:right="180" w:firstLine="750"/>
        <w:spacing w:after="0" w:line="270" w:lineRule="auto"/>
        <w:rPr>
          <w:sz w:val="20"/>
          <w:szCs w:val="20"/>
          <w:color w:val="auto"/>
        </w:rPr>
      </w:pPr>
      <w:r>
        <w:rPr>
          <w:rFonts w:ascii="Arial" w:cs="Arial" w:eastAsia="Arial" w:hAnsi="Arial"/>
          <w:sz w:val="17"/>
          <w:szCs w:val="17"/>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3" w:lineRule="exact"/>
        <w:rPr>
          <w:sz w:val="20"/>
          <w:szCs w:val="20"/>
          <w:color w:val="auto"/>
        </w:rPr>
      </w:pPr>
    </w:p>
    <w:p>
      <w:pPr>
        <w:ind w:firstLine="750"/>
        <w:spacing w:after="0" w:line="263" w:lineRule="auto"/>
        <w:rPr>
          <w:sz w:val="20"/>
          <w:szCs w:val="20"/>
          <w:color w:val="auto"/>
        </w:rPr>
      </w:pPr>
      <w:r>
        <w:rPr>
          <w:rFonts w:ascii="Arial" w:cs="Arial" w:eastAsia="Arial" w:hAnsi="Arial"/>
          <w:sz w:val="17"/>
          <w:szCs w:val="17"/>
          <w:i w:val="1"/>
          <w:iCs w:val="1"/>
          <w:color w:val="auto"/>
        </w:rPr>
        <w:t>Shareholders’ Suits</w:t>
      </w:r>
      <w:r>
        <w:rPr>
          <w:rFonts w:ascii="Arial" w:cs="Arial" w:eastAsia="Arial" w:hAnsi="Arial"/>
          <w:sz w:val="17"/>
          <w:szCs w:val="17"/>
          <w:color w:val="auto"/>
        </w:rPr>
        <w:t>. In principle, we will normally be the proper plaintiff to sue for a wrong done to us as a company and a derivative action may</w:t>
      </w:r>
      <w:r>
        <w:rPr>
          <w:rFonts w:ascii="Arial" w:cs="Arial" w:eastAsia="Arial" w:hAnsi="Arial"/>
          <w:sz w:val="17"/>
          <w:szCs w:val="17"/>
          <w:i w:val="1"/>
          <w:iCs w:val="1"/>
          <w:color w:val="auto"/>
        </w:rPr>
        <w:t xml:space="preserve"> </w:t>
      </w:r>
      <w:r>
        <w:rPr>
          <w:rFonts w:ascii="Arial" w:cs="Arial" w:eastAsia="Arial" w:hAnsi="Arial"/>
          <w:sz w:val="17"/>
          <w:szCs w:val="17"/>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178" w:lineRule="exact"/>
        <w:rPr>
          <w:sz w:val="20"/>
          <w:szCs w:val="20"/>
          <w:color w:val="auto"/>
        </w:rPr>
      </w:pPr>
    </w:p>
    <w:p>
      <w:pPr>
        <w:ind w:left="1100" w:hanging="354"/>
        <w:spacing w:after="0"/>
        <w:tabs>
          <w:tab w:leader="none" w:pos="11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an act which is </w:t>
      </w:r>
      <w:r>
        <w:rPr>
          <w:rFonts w:ascii="Arial" w:cs="Arial" w:eastAsia="Arial" w:hAnsi="Arial"/>
          <w:sz w:val="17"/>
          <w:szCs w:val="17"/>
          <w:i w:val="1"/>
          <w:iCs w:val="1"/>
          <w:color w:val="auto"/>
        </w:rPr>
        <w:t>ultra vires</w:t>
      </w:r>
      <w:r>
        <w:rPr>
          <w:rFonts w:ascii="Arial" w:cs="Arial" w:eastAsia="Arial" w:hAnsi="Arial"/>
          <w:sz w:val="17"/>
          <w:szCs w:val="17"/>
          <w:color w:val="auto"/>
        </w:rPr>
        <w:t xml:space="preserve"> the company or illegal, which is therefore incapable of ratification by the shareholders,</w:t>
      </w:r>
    </w:p>
    <w:p>
      <w:pPr>
        <w:spacing w:after="0" w:line="220" w:lineRule="exact"/>
        <w:rPr>
          <w:rFonts w:ascii="Arial" w:cs="Arial" w:eastAsia="Arial" w:hAnsi="Arial"/>
          <w:sz w:val="17"/>
          <w:szCs w:val="17"/>
          <w:color w:val="auto"/>
        </w:rPr>
      </w:pPr>
    </w:p>
    <w:p>
      <w:pPr>
        <w:ind w:left="1100" w:hanging="354"/>
        <w:spacing w:after="0"/>
        <w:tabs>
          <w:tab w:leader="none" w:pos="11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an act which constitutes a fraud against the minority where the wrongdoers are themselves in control of the company, or</w:t>
      </w:r>
    </w:p>
    <w:p>
      <w:pPr>
        <w:spacing w:after="0" w:line="220" w:lineRule="exact"/>
        <w:rPr>
          <w:rFonts w:ascii="Arial" w:cs="Arial" w:eastAsia="Arial" w:hAnsi="Arial"/>
          <w:sz w:val="17"/>
          <w:szCs w:val="17"/>
          <w:color w:val="auto"/>
        </w:rPr>
      </w:pPr>
    </w:p>
    <w:p>
      <w:pPr>
        <w:ind w:left="1100" w:hanging="354"/>
        <w:spacing w:after="0"/>
        <w:tabs>
          <w:tab w:leader="none" w:pos="11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221" w:lineRule="exact"/>
        <w:rPr>
          <w:sz w:val="20"/>
          <w:szCs w:val="20"/>
          <w:color w:val="auto"/>
        </w:rPr>
      </w:pPr>
    </w:p>
    <w:p>
      <w:pPr>
        <w:ind w:right="220" w:firstLine="750"/>
        <w:spacing w:after="0" w:line="281" w:lineRule="auto"/>
        <w:rPr>
          <w:sz w:val="20"/>
          <w:szCs w:val="20"/>
          <w:color w:val="auto"/>
        </w:rPr>
      </w:pPr>
      <w:r>
        <w:rPr>
          <w:rFonts w:ascii="Arial" w:cs="Arial" w:eastAsia="Arial" w:hAnsi="Arial"/>
          <w:sz w:val="16"/>
          <w:szCs w:val="16"/>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ninth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65" w:lineRule="exact"/>
        <w:rPr>
          <w:sz w:val="20"/>
          <w:szCs w:val="20"/>
          <w:color w:val="auto"/>
        </w:rPr>
      </w:pPr>
    </w:p>
    <w:p>
      <w:pPr>
        <w:ind w:right="680" w:firstLine="750"/>
        <w:spacing w:after="0" w:line="286" w:lineRule="auto"/>
        <w:rPr>
          <w:sz w:val="20"/>
          <w:szCs w:val="20"/>
          <w:color w:val="auto"/>
        </w:rPr>
      </w:pPr>
      <w:r>
        <w:rPr>
          <w:rFonts w:ascii="Arial" w:cs="Arial" w:eastAsia="Arial" w:hAnsi="Arial"/>
          <w:sz w:val="17"/>
          <w:szCs w:val="17"/>
          <w:color w:val="auto"/>
        </w:rPr>
        <w:t>In addition, we will enter into indemnification agreements with our directors and executive officers that provide such persons with additional indemnification beyond that provided in our ninth amended and restated memorandum and articles of association.</w:t>
      </w:r>
    </w:p>
    <w:p>
      <w:pPr>
        <w:spacing w:after="0" w:line="159" w:lineRule="exact"/>
        <w:rPr>
          <w:sz w:val="20"/>
          <w:szCs w:val="20"/>
          <w:color w:val="auto"/>
        </w:rPr>
      </w:pPr>
    </w:p>
    <w:p>
      <w:pPr>
        <w:jc w:val="both"/>
        <w:ind w:right="60" w:firstLine="750"/>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7153910"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225" w:name="page226"/>
    <w:bookmarkEnd w:id="225"/>
    <w:p>
      <w:pPr>
        <w:ind w:right="80" w:firstLine="750"/>
        <w:spacing w:after="0" w:line="276"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4" w:lineRule="exact"/>
        <w:rPr>
          <w:sz w:val="20"/>
          <w:szCs w:val="20"/>
          <w:color w:val="auto"/>
        </w:rPr>
      </w:pPr>
    </w:p>
    <w:p>
      <w:pPr>
        <w:ind w:right="40" w:firstLine="750"/>
        <w:spacing w:after="0" w:line="300" w:lineRule="auto"/>
        <w:rPr>
          <w:sz w:val="20"/>
          <w:szCs w:val="20"/>
          <w:color w:val="auto"/>
        </w:rPr>
      </w:pPr>
      <w:r>
        <w:rPr>
          <w:rFonts w:ascii="Arial" w:cs="Arial" w:eastAsia="Arial" w:hAnsi="Arial"/>
          <w:sz w:val="15"/>
          <w:szCs w:val="15"/>
          <w:color w:val="auto"/>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56" w:lineRule="exact"/>
        <w:rPr>
          <w:sz w:val="20"/>
          <w:szCs w:val="20"/>
          <w:color w:val="auto"/>
        </w:rPr>
      </w:pPr>
    </w:p>
    <w:p>
      <w:pPr>
        <w:ind w:right="60" w:firstLine="750"/>
        <w:spacing w:after="0" w:line="265" w:lineRule="auto"/>
        <w:rPr>
          <w:sz w:val="20"/>
          <w:szCs w:val="20"/>
          <w:color w:val="auto"/>
        </w:rPr>
      </w:pPr>
      <w:r>
        <w:rPr>
          <w:rFonts w:ascii="Arial" w:cs="Arial" w:eastAsia="Arial" w:hAnsi="Arial"/>
          <w:sz w:val="17"/>
          <w:szCs w:val="17"/>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by amendment to its certificate of incorporation. Cayman Islands law and our ninth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7" w:lineRule="exact"/>
        <w:rPr>
          <w:sz w:val="20"/>
          <w:szCs w:val="20"/>
          <w:color w:val="auto"/>
        </w:rPr>
      </w:pPr>
    </w:p>
    <w:p>
      <w:pPr>
        <w:ind w:right="60" w:firstLine="750"/>
        <w:spacing w:after="0" w:line="270"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3" w:lineRule="exact"/>
        <w:rPr>
          <w:sz w:val="20"/>
          <w:szCs w:val="20"/>
          <w:color w:val="auto"/>
        </w:rPr>
      </w:pPr>
    </w:p>
    <w:p>
      <w:pPr>
        <w:ind w:firstLine="750"/>
        <w:spacing w:after="0" w:line="261"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ninth amended and restated articles of association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ind w:firstLine="750"/>
        <w:spacing w:after="0" w:line="265" w:lineRule="auto"/>
        <w:rPr>
          <w:sz w:val="20"/>
          <w:szCs w:val="20"/>
          <w:color w:val="auto"/>
        </w:rPr>
      </w:pPr>
      <w:r>
        <w:rPr>
          <w:rFonts w:ascii="Arial" w:cs="Arial" w:eastAsia="Arial" w:hAnsi="Arial"/>
          <w:sz w:val="17"/>
          <w:szCs w:val="17"/>
          <w:i w:val="1"/>
          <w:iCs w:val="1"/>
          <w:color w:val="auto"/>
        </w:rPr>
        <w:t xml:space="preserve">Removal of Directors. </w:t>
      </w:r>
      <w:r>
        <w:rPr>
          <w:rFonts w:ascii="Arial" w:cs="Arial" w:eastAsia="Arial" w:hAnsi="Arial"/>
          <w:sz w:val="17"/>
          <w:szCs w:val="17"/>
          <w:color w:val="auto"/>
        </w:rPr>
        <w:t>Under the Delaware General Corporation Law, a director of a corporation with a classified board may be removed only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with the approval of a majority of the outstanding shares entitled to vote, unless the certificate of incorporation provides otherwise. Under our ninth amended and restated articles of association, directors may be removed with or without cause, by an ordinary resolution of our shareholders with or without cause or by our directors for cause.</w:t>
      </w:r>
    </w:p>
    <w:p>
      <w:pPr>
        <w:spacing w:after="0" w:line="177" w:lineRule="exact"/>
        <w:rPr>
          <w:sz w:val="20"/>
          <w:szCs w:val="20"/>
          <w:color w:val="auto"/>
        </w:rPr>
      </w:pPr>
    </w:p>
    <w:p>
      <w:pPr>
        <w:ind w:right="100" w:firstLine="750"/>
        <w:spacing w:after="0" w:line="299" w:lineRule="auto"/>
        <w:rPr>
          <w:sz w:val="20"/>
          <w:szCs w:val="20"/>
          <w:color w:val="auto"/>
        </w:rPr>
      </w:pPr>
      <w:r>
        <w:rPr>
          <w:rFonts w:ascii="Arial" w:cs="Arial" w:eastAsia="Arial" w:hAnsi="Arial"/>
          <w:sz w:val="15"/>
          <w:szCs w:val="15"/>
          <w:i w:val="1"/>
          <w:iCs w:val="1"/>
          <w:color w:val="auto"/>
        </w:rPr>
        <w:t xml:space="preserve">Transactions with Interested Shareholders. </w:t>
      </w:r>
      <w:r>
        <w:rPr>
          <w:rFonts w:ascii="Arial" w:cs="Arial" w:eastAsia="Arial" w:hAnsi="Arial"/>
          <w:sz w:val="15"/>
          <w:szCs w:val="15"/>
          <w:color w:val="auto"/>
        </w:rPr>
        <w:t>The Delaware General Corporation Law contains a business combination statute applicable to Delaware</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54" w:lineRule="exact"/>
        <w:rPr>
          <w:sz w:val="20"/>
          <w:szCs w:val="20"/>
          <w:color w:val="auto"/>
        </w:rPr>
      </w:pPr>
    </w:p>
    <w:p>
      <w:pPr>
        <w:jc w:val="both"/>
        <w:ind w:right="160" w:firstLine="750"/>
        <w:spacing w:after="0" w:line="265"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77" w:lineRule="exact"/>
        <w:rPr>
          <w:sz w:val="20"/>
          <w:szCs w:val="20"/>
          <w:color w:val="auto"/>
        </w:rPr>
      </w:pPr>
    </w:p>
    <w:p>
      <w:pPr>
        <w:ind w:right="160" w:firstLine="750"/>
        <w:spacing w:after="0" w:line="265" w:lineRule="auto"/>
        <w:rPr>
          <w:sz w:val="20"/>
          <w:szCs w:val="20"/>
          <w:color w:val="auto"/>
        </w:rPr>
      </w:pPr>
      <w:r>
        <w:rPr>
          <w:rFonts w:ascii="Arial" w:cs="Arial" w:eastAsia="Arial" w:hAnsi="Arial"/>
          <w:sz w:val="17"/>
          <w:szCs w:val="17"/>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77" w:lineRule="exact"/>
        <w:rPr>
          <w:sz w:val="20"/>
          <w:szCs w:val="20"/>
          <w:color w:val="auto"/>
        </w:rPr>
      </w:pPr>
    </w:p>
    <w:p>
      <w:pPr>
        <w:ind w:right="120" w:firstLine="750"/>
        <w:spacing w:after="0" w:line="263"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ninth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7153910"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26" w:name="page227"/>
    <w:bookmarkEnd w:id="226"/>
    <w:p>
      <w:pPr>
        <w:ind w:firstLine="750"/>
        <w:spacing w:after="0" w:line="263" w:lineRule="auto"/>
        <w:rPr>
          <w:sz w:val="20"/>
          <w:szCs w:val="20"/>
          <w:color w:val="auto"/>
        </w:rPr>
      </w:pPr>
      <w:r>
        <w:rPr>
          <w:rFonts w:ascii="Arial" w:cs="Arial" w:eastAsia="Arial" w:hAnsi="Arial"/>
          <w:sz w:val="17"/>
          <w:szCs w:val="17"/>
          <w:i w:val="1"/>
          <w:iCs w:val="1"/>
          <w:color w:val="auto"/>
        </w:rPr>
        <w:t xml:space="preserve">Variation of Rights of Shares. </w:t>
      </w:r>
      <w:r>
        <w:rPr>
          <w:rFonts w:ascii="Arial" w:cs="Arial" w:eastAsia="Arial" w:hAnsi="Arial"/>
          <w:sz w:val="17"/>
          <w:szCs w:val="17"/>
          <w:color w:val="auto"/>
        </w:rPr>
        <w:t>Under the Delaware General Corporation Law, a corporation may vary the rights of a class of shares with the approval of</w:t>
      </w:r>
      <w:r>
        <w:rPr>
          <w:rFonts w:ascii="Arial" w:cs="Arial" w:eastAsia="Arial" w:hAnsi="Arial"/>
          <w:sz w:val="17"/>
          <w:szCs w:val="17"/>
          <w:i w:val="1"/>
          <w:iCs w:val="1"/>
          <w:color w:val="auto"/>
        </w:rPr>
        <w:t xml:space="preserve"> </w:t>
      </w:r>
      <w:r>
        <w:rPr>
          <w:rFonts w:ascii="Arial" w:cs="Arial" w:eastAsia="Arial" w:hAnsi="Arial"/>
          <w:sz w:val="17"/>
          <w:szCs w:val="17"/>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178" w:lineRule="exact"/>
        <w:rPr>
          <w:sz w:val="20"/>
          <w:szCs w:val="20"/>
          <w:color w:val="auto"/>
        </w:rPr>
      </w:pPr>
    </w:p>
    <w:p>
      <w:pPr>
        <w:jc w:val="both"/>
        <w:ind w:right="100" w:firstLine="750"/>
        <w:spacing w:after="0" w:line="295" w:lineRule="auto"/>
        <w:rPr>
          <w:sz w:val="20"/>
          <w:szCs w:val="20"/>
          <w:color w:val="auto"/>
        </w:rPr>
      </w:pPr>
      <w:r>
        <w:rPr>
          <w:rFonts w:ascii="Arial" w:cs="Arial" w:eastAsia="Arial" w:hAnsi="Arial"/>
          <w:sz w:val="16"/>
          <w:szCs w:val="16"/>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54" w:lineRule="exact"/>
        <w:rPr>
          <w:sz w:val="20"/>
          <w:szCs w:val="20"/>
          <w:color w:val="auto"/>
        </w:rPr>
      </w:pPr>
    </w:p>
    <w:p>
      <w:pPr>
        <w:ind w:right="80" w:firstLine="750"/>
        <w:spacing w:after="0" w:line="265" w:lineRule="auto"/>
        <w:rPr>
          <w:sz w:val="20"/>
          <w:szCs w:val="20"/>
          <w:color w:val="auto"/>
        </w:rPr>
      </w:pPr>
      <w:r>
        <w:rPr>
          <w:rFonts w:ascii="Arial" w:cs="Arial" w:eastAsia="Arial" w:hAnsi="Arial"/>
          <w:sz w:val="17"/>
          <w:szCs w:val="17"/>
          <w:i w:val="1"/>
          <w:iCs w:val="1"/>
          <w:color w:val="auto"/>
        </w:rPr>
        <w:t xml:space="preserve">Rights of Non-resident or Foreign Shareholders. </w:t>
      </w:r>
      <w:r>
        <w:rPr>
          <w:rFonts w:ascii="Arial" w:cs="Arial" w:eastAsia="Arial" w:hAnsi="Arial"/>
          <w:sz w:val="17"/>
          <w:szCs w:val="17"/>
          <w:color w:val="auto"/>
        </w:rPr>
        <w:t>There are no limitations imposed by our post-offering amended and restated memorandum and</w:t>
      </w:r>
      <w:r>
        <w:rPr>
          <w:rFonts w:ascii="Arial" w:cs="Arial" w:eastAsia="Arial" w:hAnsi="Arial"/>
          <w:sz w:val="17"/>
          <w:szCs w:val="17"/>
          <w:i w:val="1"/>
          <w:iCs w:val="1"/>
          <w:color w:val="auto"/>
        </w:rPr>
        <w:t xml:space="preserve"> </w:t>
      </w:r>
      <w:r>
        <w:rPr>
          <w:rFonts w:ascii="Arial" w:cs="Arial" w:eastAsia="Arial" w:hAnsi="Arial"/>
          <w:sz w:val="17"/>
          <w:szCs w:val="17"/>
          <w:color w:val="auto"/>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Debt Securities, Warrants and Rights and Other Securities (Items 9.A.7, 12.A, 12.B and 12.C of Form 20-F)</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American Depositary Shares (Items 12.D.1 and 12.D.2 of Form 20-F)</w:t>
      </w:r>
    </w:p>
    <w:p>
      <w:pPr>
        <w:spacing w:after="0" w:line="227" w:lineRule="exact"/>
        <w:rPr>
          <w:sz w:val="20"/>
          <w:szCs w:val="20"/>
          <w:color w:val="auto"/>
        </w:rPr>
      </w:pPr>
    </w:p>
    <w:p>
      <w:pPr>
        <w:ind w:right="20" w:firstLine="750"/>
        <w:spacing w:after="0" w:line="281" w:lineRule="auto"/>
        <w:rPr>
          <w:sz w:val="20"/>
          <w:szCs w:val="20"/>
          <w:color w:val="auto"/>
        </w:rPr>
      </w:pPr>
      <w:r>
        <w:rPr>
          <w:rFonts w:ascii="Arial" w:cs="Arial" w:eastAsia="Arial" w:hAnsi="Arial"/>
          <w:sz w:val="16"/>
          <w:szCs w:val="16"/>
          <w:color w:val="auto"/>
        </w:rPr>
        <w:t>JPMorgan Chase Bank, N.A. (“JPMorgan”), as depositary, registers and delivers ADSs. Each ADS will represent an ownership interest in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depositary’s office is located at 383 Madison Avenue, Floor 11, New York, NY 10179.</w:t>
      </w:r>
    </w:p>
    <w:p>
      <w:pPr>
        <w:spacing w:after="0" w:line="221" w:lineRule="exact"/>
        <w:rPr>
          <w:sz w:val="20"/>
          <w:szCs w:val="20"/>
          <w:color w:val="auto"/>
        </w:rPr>
      </w:pPr>
    </w:p>
    <w:p>
      <w:pPr>
        <w:ind w:right="60" w:firstLine="750"/>
        <w:spacing w:after="0" w:line="287" w:lineRule="auto"/>
        <w:rPr>
          <w:sz w:val="20"/>
          <w:szCs w:val="20"/>
          <w:color w:val="auto"/>
        </w:rPr>
      </w:pPr>
      <w:r>
        <w:rPr>
          <w:rFonts w:ascii="Arial" w:cs="Arial" w:eastAsia="Arial" w:hAnsi="Arial"/>
          <w:sz w:val="16"/>
          <w:szCs w:val="16"/>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61" w:lineRule="exact"/>
        <w:rPr>
          <w:sz w:val="20"/>
          <w:szCs w:val="20"/>
          <w:color w:val="auto"/>
        </w:rPr>
      </w:pPr>
    </w:p>
    <w:p>
      <w:pPr>
        <w:ind w:firstLine="750"/>
        <w:spacing w:after="0" w:line="297" w:lineRule="auto"/>
        <w:rPr>
          <w:sz w:val="20"/>
          <w:szCs w:val="20"/>
          <w:color w:val="auto"/>
        </w:rPr>
      </w:pPr>
      <w:r>
        <w:rPr>
          <w:rFonts w:ascii="Arial" w:cs="Arial" w:eastAsia="Arial" w:hAnsi="Arial"/>
          <w:sz w:val="15"/>
          <w:szCs w:val="15"/>
          <w:color w:val="auto"/>
        </w:rPr>
        <w:t>As an ADR holder,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60" w:lineRule="exact"/>
        <w:rPr>
          <w:sz w:val="20"/>
          <w:szCs w:val="20"/>
          <w:color w:val="auto"/>
        </w:rPr>
      </w:pPr>
    </w:p>
    <w:p>
      <w:pPr>
        <w:ind w:right="20" w:firstLine="750"/>
        <w:spacing w:after="0" w:line="260" w:lineRule="auto"/>
        <w:rPr>
          <w:sz w:val="20"/>
          <w:szCs w:val="20"/>
          <w:color w:val="auto"/>
        </w:rPr>
      </w:pPr>
      <w:r>
        <w:rPr>
          <w:rFonts w:ascii="Arial" w:cs="Arial" w:eastAsia="Arial" w:hAnsi="Arial"/>
          <w:sz w:val="17"/>
          <w:szCs w:val="17"/>
          <w:color w:val="auto"/>
        </w:rPr>
        <w:t xml:space="preserve">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incorporated in this annual report by reference to Exhibit 4.3 of our Registration Statement on Form F-1/A (file No. 333-221034) filed with the Securities and Exchange Commission on December 1, 2017.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w:t>
      </w:r>
      <w:r>
        <w:rPr>
          <w:rFonts w:ascii="Arial" w:cs="Arial" w:eastAsia="Arial" w:hAnsi="Arial"/>
          <w:sz w:val="17"/>
          <w:szCs w:val="17"/>
          <w:u w:val="single" w:color="auto"/>
          <w:color w:val="0563C1"/>
        </w:rPr>
        <w:t>http://www.sec.gov</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Dividends and Other Distributions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will I receive dividends and other distributions on the shares underlying my ADSs?</w:t>
      </w:r>
    </w:p>
    <w:p>
      <w:pPr>
        <w:spacing w:after="0" w:line="221" w:lineRule="exact"/>
        <w:rPr>
          <w:sz w:val="20"/>
          <w:szCs w:val="20"/>
          <w:color w:val="auto"/>
        </w:rPr>
      </w:pPr>
    </w:p>
    <w:p>
      <w:pPr>
        <w:ind w:right="20" w:firstLine="750"/>
        <w:spacing w:after="0" w:line="281" w:lineRule="auto"/>
        <w:rPr>
          <w:sz w:val="20"/>
          <w:szCs w:val="20"/>
          <w:color w:val="auto"/>
        </w:rPr>
      </w:pPr>
      <w:r>
        <w:rPr>
          <w:rFonts w:ascii="Arial" w:cs="Arial" w:eastAsia="Arial" w:hAnsi="Arial"/>
          <w:sz w:val="16"/>
          <w:szCs w:val="16"/>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318770</wp:posOffset>
            </wp:positionV>
            <wp:extent cx="7153910"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27" w:name="page228"/>
    <w:bookmarkEnd w:id="227"/>
    <w:p>
      <w:pPr>
        <w:jc w:val="center"/>
        <w:ind w:right="-39"/>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221" w:lineRule="exact"/>
        <w:rPr>
          <w:sz w:val="20"/>
          <w:szCs w:val="20"/>
          <w:color w:val="auto"/>
        </w:rPr>
      </w:pPr>
    </w:p>
    <w:p>
      <w:pPr>
        <w:ind w:left="1100" w:right="20" w:hanging="354"/>
        <w:spacing w:after="0" w:line="295" w:lineRule="auto"/>
        <w:tabs>
          <w:tab w:leader="none" w:pos="1100" w:val="left"/>
        </w:tabs>
        <w:numPr>
          <w:ilvl w:val="0"/>
          <w:numId w:val="255"/>
        </w:numPr>
        <w:rPr>
          <w:rFonts w:ascii="Arial" w:cs="Arial" w:eastAsia="Arial" w:hAnsi="Arial"/>
          <w:sz w:val="15"/>
          <w:szCs w:val="15"/>
          <w:color w:val="auto"/>
        </w:rPr>
      </w:pPr>
      <w:r>
        <w:rPr>
          <w:rFonts w:ascii="Arial" w:cs="Arial" w:eastAsia="Arial" w:hAnsi="Arial"/>
          <w:sz w:val="15"/>
          <w:szCs w:val="15"/>
          <w:i w:val="1"/>
          <w:iCs w:val="1"/>
          <w:color w:val="auto"/>
        </w:rPr>
        <w:t>Cash</w:t>
      </w:r>
      <w:r>
        <w:rPr>
          <w:rFonts w:ascii="Arial" w:cs="Arial" w:eastAsia="Arial" w:hAnsi="Arial"/>
          <w:sz w:val="15"/>
          <w:szCs w:val="15"/>
          <w:color w:val="auto"/>
        </w:rPr>
        <w:t>. The depositary will distribute any U.S. dollars available to it resulting from a cash dividend or other cash distribution or the net proceeds of</w:t>
      </w:r>
      <w:r>
        <w:rPr>
          <w:rFonts w:ascii="Arial" w:cs="Arial" w:eastAsia="Arial" w:hAnsi="Arial"/>
          <w:sz w:val="15"/>
          <w:szCs w:val="15"/>
          <w:i w:val="1"/>
          <w:iCs w:val="1"/>
          <w:color w:val="auto"/>
        </w:rPr>
        <w:t xml:space="preserve"> </w:t>
      </w:r>
      <w:r>
        <w:rPr>
          <w:rFonts w:ascii="Arial" w:cs="Arial" w:eastAsia="Arial" w:hAnsi="Arial"/>
          <w:sz w:val="15"/>
          <w:szCs w:val="15"/>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w:t>
      </w:r>
    </w:p>
    <w:p>
      <w:pPr>
        <w:ind w:left="1100" w:right="20" w:firstLine="10"/>
        <w:spacing w:after="0" w:line="277" w:lineRule="auto"/>
        <w:tabs>
          <w:tab w:leader="none" w:pos="1403" w:val="left"/>
        </w:tabs>
        <w:numPr>
          <w:ilvl w:val="1"/>
          <w:numId w:val="255"/>
        </w:numPr>
        <w:rPr>
          <w:rFonts w:ascii="Arial" w:cs="Arial" w:eastAsia="Arial" w:hAnsi="Arial"/>
          <w:sz w:val="16"/>
          <w:szCs w:val="16"/>
          <w:color w:val="auto"/>
        </w:rPr>
      </w:pPr>
      <w:r>
        <w:rPr>
          <w:rFonts w:ascii="Arial" w:cs="Arial" w:eastAsia="Arial" w:hAnsi="Arial"/>
          <w:sz w:val="16"/>
          <w:szCs w:val="16"/>
          <w:color w:val="auto"/>
        </w:rPr>
        <w:t>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170" w:lineRule="exact"/>
        <w:rPr>
          <w:rFonts w:ascii="Arial" w:cs="Arial" w:eastAsia="Arial" w:hAnsi="Arial"/>
          <w:sz w:val="16"/>
          <w:szCs w:val="16"/>
          <w:color w:val="auto"/>
        </w:rPr>
      </w:pPr>
    </w:p>
    <w:p>
      <w:pPr>
        <w:ind w:left="1100" w:right="140" w:hanging="354"/>
        <w:spacing w:after="0" w:line="270" w:lineRule="auto"/>
        <w:tabs>
          <w:tab w:leader="none" w:pos="1100" w:val="left"/>
        </w:tabs>
        <w:numPr>
          <w:ilvl w:val="0"/>
          <w:numId w:val="255"/>
        </w:numPr>
        <w:rPr>
          <w:rFonts w:ascii="Arial" w:cs="Arial" w:eastAsia="Arial" w:hAnsi="Arial"/>
          <w:sz w:val="17"/>
          <w:szCs w:val="17"/>
          <w:color w:val="auto"/>
        </w:rPr>
      </w:pPr>
      <w:r>
        <w:rPr>
          <w:rFonts w:ascii="Arial" w:cs="Arial" w:eastAsia="Arial" w:hAnsi="Arial"/>
          <w:sz w:val="17"/>
          <w:szCs w:val="17"/>
          <w:i w:val="1"/>
          <w:iCs w:val="1"/>
          <w:color w:val="auto"/>
        </w:rPr>
        <w:t>Shares</w:t>
      </w:r>
      <w:r>
        <w:rPr>
          <w:rFonts w:ascii="Arial" w:cs="Arial" w:eastAsia="Arial" w:hAnsi="Arial"/>
          <w:sz w:val="17"/>
          <w:szCs w:val="17"/>
          <w:color w:val="auto"/>
        </w:rPr>
        <w:t>. In the case of a distribution in shares, the depositary will issue additional ADRs to evidence the number of ADSs representing such</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Only whole ADSs will be issued. Any shares which would result in fractional ADSs will be sold and the net proceeds will be distributed in the same manner as cash to the ADR holders entitled thereto.</w:t>
      </w:r>
    </w:p>
    <w:p>
      <w:pPr>
        <w:spacing w:after="0" w:line="172" w:lineRule="exact"/>
        <w:rPr>
          <w:rFonts w:ascii="Arial" w:cs="Arial" w:eastAsia="Arial" w:hAnsi="Arial"/>
          <w:sz w:val="17"/>
          <w:szCs w:val="17"/>
          <w:color w:val="auto"/>
        </w:rPr>
      </w:pPr>
    </w:p>
    <w:p>
      <w:pPr>
        <w:jc w:val="both"/>
        <w:ind w:left="1100" w:right="240" w:hanging="354"/>
        <w:spacing w:after="0" w:line="323" w:lineRule="auto"/>
        <w:tabs>
          <w:tab w:leader="none" w:pos="1100" w:val="left"/>
        </w:tabs>
        <w:numPr>
          <w:ilvl w:val="0"/>
          <w:numId w:val="255"/>
        </w:numPr>
        <w:rPr>
          <w:rFonts w:ascii="Arial" w:cs="Arial" w:eastAsia="Arial" w:hAnsi="Arial"/>
          <w:sz w:val="15"/>
          <w:szCs w:val="15"/>
          <w:color w:val="auto"/>
        </w:rPr>
      </w:pPr>
      <w:r>
        <w:rPr>
          <w:rFonts w:ascii="Arial" w:cs="Arial" w:eastAsia="Arial" w:hAnsi="Arial"/>
          <w:sz w:val="15"/>
          <w:szCs w:val="15"/>
          <w:i w:val="1"/>
          <w:iCs w:val="1"/>
          <w:color w:val="auto"/>
        </w:rPr>
        <w:t>Rights to receive additional shares</w:t>
      </w:r>
      <w:r>
        <w:rPr>
          <w:rFonts w:ascii="Arial" w:cs="Arial" w:eastAsia="Arial" w:hAnsi="Arial"/>
          <w:sz w:val="15"/>
          <w:szCs w:val="15"/>
          <w:color w:val="auto"/>
        </w:rPr>
        <w:t>. In the case of a distribution of rights to subscribe for additional shares or other rights, if we timely provide</w:t>
      </w:r>
      <w:r>
        <w:rPr>
          <w:rFonts w:ascii="Arial" w:cs="Arial" w:eastAsia="Arial" w:hAnsi="Arial"/>
          <w:sz w:val="15"/>
          <w:szCs w:val="15"/>
          <w:i w:val="1"/>
          <w:iCs w:val="1"/>
          <w:color w:val="auto"/>
        </w:rPr>
        <w:t xml:space="preserve"> </w:t>
      </w:r>
      <w:r>
        <w:rPr>
          <w:rFonts w:ascii="Arial" w:cs="Arial" w:eastAsia="Arial" w:hAnsi="Arial"/>
          <w:sz w:val="15"/>
          <w:szCs w:val="15"/>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36" w:lineRule="exact"/>
        <w:rPr>
          <w:rFonts w:ascii="Arial" w:cs="Arial" w:eastAsia="Arial" w:hAnsi="Arial"/>
          <w:sz w:val="15"/>
          <w:szCs w:val="15"/>
          <w:color w:val="auto"/>
        </w:rPr>
      </w:pPr>
    </w:p>
    <w:p>
      <w:pPr>
        <w:ind w:left="1680" w:hanging="466"/>
        <w:spacing w:after="0"/>
        <w:tabs>
          <w:tab w:leader="none" w:pos="168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sell such rights if practicable and distribute the net proceeds in the same manner as cash to the ADR holders entitled thereto; or</w:t>
      </w:r>
    </w:p>
    <w:p>
      <w:pPr>
        <w:spacing w:after="0" w:line="232" w:lineRule="exact"/>
        <w:rPr>
          <w:rFonts w:ascii="Arial" w:cs="Arial" w:eastAsia="Arial" w:hAnsi="Arial"/>
          <w:sz w:val="16"/>
          <w:szCs w:val="16"/>
          <w:color w:val="auto"/>
        </w:rPr>
      </w:pPr>
    </w:p>
    <w:p>
      <w:pPr>
        <w:ind w:left="1680" w:right="100" w:hanging="466"/>
        <w:spacing w:after="0" w:line="319" w:lineRule="auto"/>
        <w:tabs>
          <w:tab w:leader="none" w:pos="1680" w:val="left"/>
        </w:tabs>
        <w:numPr>
          <w:ilvl w:val="2"/>
          <w:numId w:val="256"/>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35" w:lineRule="exact"/>
        <w:rPr>
          <w:rFonts w:ascii="Arial" w:cs="Arial" w:eastAsia="Arial" w:hAnsi="Arial"/>
          <w:sz w:val="16"/>
          <w:szCs w:val="16"/>
          <w:color w:val="auto"/>
        </w:rPr>
      </w:pPr>
    </w:p>
    <w:p>
      <w:pPr>
        <w:ind w:left="1100" w:right="20" w:hanging="354"/>
        <w:spacing w:after="0" w:line="265" w:lineRule="auto"/>
        <w:tabs>
          <w:tab w:leader="none" w:pos="1100" w:val="left"/>
        </w:tabs>
        <w:numPr>
          <w:ilvl w:val="0"/>
          <w:numId w:val="256"/>
        </w:numPr>
        <w:rPr>
          <w:rFonts w:ascii="Arial" w:cs="Arial" w:eastAsia="Arial" w:hAnsi="Arial"/>
          <w:sz w:val="17"/>
          <w:szCs w:val="17"/>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In the case of a distribution of securities or property other than those described above, the depositary may either (i) distribute</w:t>
      </w:r>
      <w:r>
        <w:rPr>
          <w:rFonts w:ascii="Arial" w:cs="Arial" w:eastAsia="Arial" w:hAnsi="Arial"/>
          <w:sz w:val="17"/>
          <w:szCs w:val="17"/>
          <w:i w:val="1"/>
          <w:iCs w:val="1"/>
          <w:color w:val="auto"/>
        </w:rPr>
        <w:t xml:space="preserve"> </w:t>
      </w:r>
      <w:r>
        <w:rPr>
          <w:rFonts w:ascii="Arial" w:cs="Arial" w:eastAsia="Arial" w:hAnsi="Arial"/>
          <w:sz w:val="17"/>
          <w:szCs w:val="17"/>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77" w:lineRule="exact"/>
        <w:rPr>
          <w:sz w:val="20"/>
          <w:szCs w:val="20"/>
          <w:color w:val="auto"/>
        </w:rPr>
      </w:pPr>
    </w:p>
    <w:p>
      <w:pPr>
        <w:ind w:firstLine="750"/>
        <w:spacing w:after="0" w:line="265" w:lineRule="auto"/>
        <w:rPr>
          <w:sz w:val="20"/>
          <w:szCs w:val="20"/>
          <w:color w:val="auto"/>
        </w:rPr>
      </w:pPr>
      <w:r>
        <w:rPr>
          <w:rFonts w:ascii="Arial" w:cs="Arial" w:eastAsia="Arial" w:hAnsi="Arial"/>
          <w:sz w:val="17"/>
          <w:szCs w:val="17"/>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77" w:lineRule="exact"/>
        <w:rPr>
          <w:sz w:val="20"/>
          <w:szCs w:val="20"/>
          <w:color w:val="auto"/>
        </w:rPr>
      </w:pPr>
    </w:p>
    <w:p>
      <w:pPr>
        <w:ind w:right="400" w:firstLine="750"/>
        <w:spacing w:after="0" w:line="286" w:lineRule="auto"/>
        <w:rPr>
          <w:sz w:val="20"/>
          <w:szCs w:val="20"/>
          <w:color w:val="auto"/>
        </w:rPr>
      </w:pPr>
      <w:r>
        <w:rPr>
          <w:rFonts w:ascii="Arial" w:cs="Arial" w:eastAsia="Arial" w:hAnsi="Arial"/>
          <w:sz w:val="17"/>
          <w:szCs w:val="17"/>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depositary is not responsible if it fails to determine that any distribution or action is lawful or reasonably practicable.</w:t>
      </w:r>
    </w:p>
    <w:p>
      <w:pPr>
        <w:spacing w:after="0" w:line="221" w:lineRule="exact"/>
        <w:rPr>
          <w:sz w:val="20"/>
          <w:szCs w:val="20"/>
          <w:color w:val="auto"/>
        </w:rPr>
      </w:pPr>
    </w:p>
    <w:p>
      <w:pPr>
        <w:ind w:right="20" w:firstLine="750"/>
        <w:spacing w:after="0" w:line="287" w:lineRule="auto"/>
        <w:rPr>
          <w:sz w:val="20"/>
          <w:szCs w:val="20"/>
          <w:color w:val="auto"/>
        </w:rPr>
      </w:pPr>
      <w:r>
        <w:rPr>
          <w:rFonts w:ascii="Arial" w:cs="Arial" w:eastAsia="Arial" w:hAnsi="Arial"/>
          <w:sz w:val="16"/>
          <w:szCs w:val="16"/>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Deposit, Withdrawal and Cancellation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does the depositary issue ADSs?</w:t>
      </w:r>
    </w:p>
    <w:p>
      <w:pPr>
        <w:spacing w:after="0" w:line="221" w:lineRule="exact"/>
        <w:rPr>
          <w:sz w:val="20"/>
          <w:szCs w:val="20"/>
          <w:color w:val="auto"/>
        </w:rPr>
      </w:pPr>
    </w:p>
    <w:p>
      <w:pPr>
        <w:ind w:right="320" w:firstLine="750"/>
        <w:spacing w:after="0" w:line="286" w:lineRule="auto"/>
        <w:rPr>
          <w:sz w:val="20"/>
          <w:szCs w:val="20"/>
          <w:color w:val="auto"/>
        </w:rPr>
      </w:pPr>
      <w:r>
        <w:rPr>
          <w:rFonts w:ascii="Arial" w:cs="Arial" w:eastAsia="Arial" w:hAnsi="Arial"/>
          <w:sz w:val="17"/>
          <w:szCs w:val="17"/>
          <w:color w:val="auto"/>
        </w:rPr>
        <w:t>The depositary will issue ADSs if you or your broker deposit shares or evidence of rights to receive shares with the custodian and pay the fees and expenses owing to the depositary in connection with such issuance.</w:t>
      </w:r>
    </w:p>
    <w:p>
      <w:pPr>
        <w:spacing w:after="0" w:line="159" w:lineRule="exact"/>
        <w:rPr>
          <w:sz w:val="20"/>
          <w:szCs w:val="20"/>
          <w:color w:val="auto"/>
        </w:rPr>
      </w:pPr>
    </w:p>
    <w:p>
      <w:pPr>
        <w:ind w:right="320" w:firstLine="750"/>
        <w:spacing w:after="0" w:line="356" w:lineRule="auto"/>
        <w:rPr>
          <w:sz w:val="20"/>
          <w:szCs w:val="20"/>
          <w:color w:val="auto"/>
        </w:rPr>
      </w:pPr>
      <w:r>
        <w:rPr>
          <w:rFonts w:ascii="Arial" w:cs="Arial" w:eastAsia="Arial" w:hAnsi="Arial"/>
          <w:sz w:val="15"/>
          <w:szCs w:val="15"/>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13" w:lineRule="exact"/>
        <w:rPr>
          <w:sz w:val="20"/>
          <w:szCs w:val="20"/>
          <w:color w:val="auto"/>
        </w:rPr>
      </w:pPr>
    </w:p>
    <w:p>
      <w:pPr>
        <w:jc w:val="both"/>
        <w:ind w:right="100" w:firstLine="750"/>
        <w:spacing w:after="0" w:line="295" w:lineRule="auto"/>
        <w:rPr>
          <w:sz w:val="20"/>
          <w:szCs w:val="20"/>
          <w:color w:val="auto"/>
        </w:rPr>
      </w:pPr>
      <w:r>
        <w:rPr>
          <w:rFonts w:ascii="Arial" w:cs="Arial" w:eastAsia="Arial" w:hAnsi="Arial"/>
          <w:sz w:val="16"/>
          <w:szCs w:val="16"/>
          <w:color w:val="auto"/>
        </w:rPr>
        <w:t>The custodian will hold all deposited shares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54" w:lineRule="exact"/>
        <w:rPr>
          <w:sz w:val="20"/>
          <w:szCs w:val="20"/>
          <w:color w:val="auto"/>
        </w:rPr>
      </w:pPr>
    </w:p>
    <w:p>
      <w:pPr>
        <w:ind w:right="60" w:firstLine="750"/>
        <w:spacing w:after="0" w:line="261"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7153910"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28" w:name="page229"/>
    <w:bookmarkEnd w:id="228"/>
    <w:p>
      <w:pPr>
        <w:spacing w:after="0"/>
        <w:rPr>
          <w:sz w:val="20"/>
          <w:szCs w:val="20"/>
          <w:color w:val="auto"/>
        </w:rPr>
      </w:pPr>
      <w:r>
        <w:rPr>
          <w:rFonts w:ascii="Arial" w:cs="Arial" w:eastAsia="Arial" w:hAnsi="Arial"/>
          <w:sz w:val="17"/>
          <w:szCs w:val="17"/>
          <w:b w:val="1"/>
          <w:bCs w:val="1"/>
          <w:i w:val="1"/>
          <w:iCs w:val="1"/>
          <w:color w:val="auto"/>
        </w:rPr>
        <w:t>How do ADR holders cancel an ADS and obtain deposited securities?</w:t>
      </w:r>
    </w:p>
    <w:p>
      <w:pPr>
        <w:spacing w:after="0" w:line="221" w:lineRule="exact"/>
        <w:rPr>
          <w:sz w:val="20"/>
          <w:szCs w:val="20"/>
          <w:color w:val="auto"/>
        </w:rPr>
      </w:pPr>
    </w:p>
    <w:p>
      <w:pPr>
        <w:ind w:right="220" w:firstLine="750"/>
        <w:spacing w:after="0" w:line="265" w:lineRule="auto"/>
        <w:rPr>
          <w:sz w:val="20"/>
          <w:szCs w:val="20"/>
          <w:color w:val="auto"/>
        </w:rPr>
      </w:pPr>
      <w:r>
        <w:rPr>
          <w:rFonts w:ascii="Arial" w:cs="Arial" w:eastAsia="Arial" w:hAnsi="Arial"/>
          <w:sz w:val="17"/>
          <w:szCs w:val="17"/>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depositary may only restrict the withdrawal of deposited securities in connection with:</w:t>
      </w:r>
    </w:p>
    <w:p>
      <w:pPr>
        <w:spacing w:after="0" w:line="221" w:lineRule="exact"/>
        <w:rPr>
          <w:sz w:val="20"/>
          <w:szCs w:val="20"/>
          <w:color w:val="auto"/>
        </w:rPr>
      </w:pPr>
    </w:p>
    <w:p>
      <w:pPr>
        <w:ind w:left="1100" w:right="760" w:hanging="354"/>
        <w:spacing w:after="0" w:line="286" w:lineRule="auto"/>
        <w:tabs>
          <w:tab w:leader="none" w:pos="11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temporary delays caused by closing our transfer books or those of the depositary or the deposit of shares in connection with voting at a shareholders’ meeting, or the payment of dividends;</w:t>
      </w:r>
    </w:p>
    <w:p>
      <w:pPr>
        <w:spacing w:after="0" w:line="158" w:lineRule="exact"/>
        <w:rPr>
          <w:rFonts w:ascii="Arial" w:cs="Arial" w:eastAsia="Arial" w:hAnsi="Arial"/>
          <w:sz w:val="17"/>
          <w:szCs w:val="17"/>
          <w:color w:val="auto"/>
        </w:rPr>
      </w:pPr>
    </w:p>
    <w:p>
      <w:pPr>
        <w:ind w:left="1100" w:hanging="354"/>
        <w:spacing w:after="0"/>
        <w:tabs>
          <w:tab w:leader="none" w:pos="11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payment of fees, taxes and similar charges; or</w:t>
      </w:r>
    </w:p>
    <w:p>
      <w:pPr>
        <w:spacing w:after="0" w:line="220" w:lineRule="exact"/>
        <w:rPr>
          <w:rFonts w:ascii="Arial" w:cs="Arial" w:eastAsia="Arial" w:hAnsi="Arial"/>
          <w:sz w:val="17"/>
          <w:szCs w:val="17"/>
          <w:color w:val="auto"/>
        </w:rPr>
      </w:pPr>
    </w:p>
    <w:p>
      <w:pPr>
        <w:ind w:left="760" w:right="660" w:hanging="14"/>
        <w:spacing w:after="0" w:line="507" w:lineRule="auto"/>
        <w:tabs>
          <w:tab w:leader="none" w:pos="1116" w:val="left"/>
        </w:tabs>
        <w:numPr>
          <w:ilvl w:val="0"/>
          <w:numId w:val="257"/>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 This right of withdrawal may not be limited by any other provision of the deposit agreement.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Dates</w:t>
      </w:r>
    </w:p>
    <w:p>
      <w:pPr>
        <w:spacing w:after="0" w:line="227" w:lineRule="exact"/>
        <w:rPr>
          <w:sz w:val="20"/>
          <w:szCs w:val="20"/>
          <w:color w:val="auto"/>
        </w:rPr>
      </w:pPr>
    </w:p>
    <w:p>
      <w:pPr>
        <w:ind w:right="300" w:firstLine="750"/>
        <w:spacing w:after="0" w:line="319"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135" w:lineRule="exact"/>
        <w:rPr>
          <w:sz w:val="20"/>
          <w:szCs w:val="20"/>
          <w:color w:val="auto"/>
        </w:rPr>
      </w:pPr>
    </w:p>
    <w:p>
      <w:pPr>
        <w:ind w:left="1100" w:hanging="354"/>
        <w:spacing w:after="0"/>
        <w:tabs>
          <w:tab w:leader="none" w:pos="110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receive any distribution on or in respect of deposited securities,</w:t>
      </w:r>
    </w:p>
    <w:p>
      <w:pPr>
        <w:spacing w:after="0" w:line="220" w:lineRule="exact"/>
        <w:rPr>
          <w:rFonts w:ascii="Arial" w:cs="Arial" w:eastAsia="Arial" w:hAnsi="Arial"/>
          <w:sz w:val="17"/>
          <w:szCs w:val="17"/>
          <w:color w:val="auto"/>
        </w:rPr>
      </w:pPr>
    </w:p>
    <w:p>
      <w:pPr>
        <w:ind w:left="1100" w:hanging="354"/>
        <w:spacing w:after="0"/>
        <w:tabs>
          <w:tab w:leader="none" w:pos="110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give instructions for the exercise of voting rights at a meeting of holders of shares,</w:t>
      </w:r>
    </w:p>
    <w:p>
      <w:pPr>
        <w:spacing w:after="0" w:line="220" w:lineRule="exact"/>
        <w:rPr>
          <w:rFonts w:ascii="Arial" w:cs="Arial" w:eastAsia="Arial" w:hAnsi="Arial"/>
          <w:sz w:val="17"/>
          <w:szCs w:val="17"/>
          <w:color w:val="auto"/>
        </w:rPr>
      </w:pPr>
    </w:p>
    <w:p>
      <w:pPr>
        <w:ind w:left="1100" w:hanging="354"/>
        <w:spacing w:after="0"/>
        <w:tabs>
          <w:tab w:leader="none" w:pos="110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220" w:lineRule="exact"/>
        <w:rPr>
          <w:rFonts w:ascii="Arial" w:cs="Arial" w:eastAsia="Arial" w:hAnsi="Arial"/>
          <w:sz w:val="17"/>
          <w:szCs w:val="17"/>
          <w:color w:val="auto"/>
        </w:rPr>
      </w:pPr>
    </w:p>
    <w:p>
      <w:pPr>
        <w:ind w:left="1100" w:hanging="354"/>
        <w:spacing w:after="0"/>
        <w:tabs>
          <w:tab w:leader="none" w:pos="110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receive any notice or to act in respect of other matters,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all subject to the provisions of the deposit agreement.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I vote?</w:t>
      </w:r>
    </w:p>
    <w:p>
      <w:pPr>
        <w:spacing w:after="0" w:line="221" w:lineRule="exact"/>
        <w:rPr>
          <w:sz w:val="20"/>
          <w:szCs w:val="20"/>
          <w:color w:val="auto"/>
        </w:rPr>
      </w:pPr>
    </w:p>
    <w:p>
      <w:pPr>
        <w:ind w:firstLine="750"/>
        <w:spacing w:after="0" w:line="274"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w:t>
      </w:r>
    </w:p>
    <w:p>
      <w:pPr>
        <w:spacing w:after="0" w:line="3"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58" w:lineRule="exact"/>
        <w:rPr>
          <w:sz w:val="20"/>
          <w:szCs w:val="20"/>
          <w:color w:val="auto"/>
        </w:rPr>
      </w:pPr>
    </w:p>
    <w:p>
      <w:pPr>
        <w:ind w:right="80" w:firstLine="750"/>
        <w:spacing w:after="0" w:line="277" w:lineRule="auto"/>
        <w:rPr>
          <w:sz w:val="20"/>
          <w:szCs w:val="20"/>
          <w:color w:val="auto"/>
        </w:rPr>
      </w:pPr>
      <w:r>
        <w:rPr>
          <w:rFonts w:ascii="Arial" w:cs="Arial" w:eastAsia="Arial" w:hAnsi="Arial"/>
          <w:sz w:val="16"/>
          <w:szCs w:val="16"/>
          <w:color w:val="auto"/>
        </w:rPr>
        <w:t>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7153910"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229" w:name="page230"/>
    <w:bookmarkEnd w:id="229"/>
    <w:p>
      <w:pPr>
        <w:ind w:right="160" w:firstLine="750"/>
        <w:spacing w:after="0" w:line="281" w:lineRule="auto"/>
        <w:rPr>
          <w:sz w:val="20"/>
          <w:szCs w:val="20"/>
          <w:color w:val="auto"/>
        </w:rPr>
      </w:pPr>
      <w:r>
        <w:rPr>
          <w:rFonts w:ascii="Arial" w:cs="Arial" w:eastAsia="Arial" w:hAnsi="Arial"/>
          <w:sz w:val="16"/>
          <w:szCs w:val="16"/>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65" w:lineRule="exact"/>
        <w:rPr>
          <w:sz w:val="20"/>
          <w:szCs w:val="20"/>
          <w:color w:val="auto"/>
        </w:rPr>
      </w:pPr>
    </w:p>
    <w:p>
      <w:pPr>
        <w:ind w:right="160" w:firstLine="750"/>
        <w:spacing w:after="0" w:line="286" w:lineRule="auto"/>
        <w:rPr>
          <w:sz w:val="20"/>
          <w:szCs w:val="20"/>
          <w:color w:val="auto"/>
        </w:rPr>
      </w:pPr>
      <w:r>
        <w:rPr>
          <w:rFonts w:ascii="Arial" w:cs="Arial" w:eastAsia="Arial" w:hAnsi="Arial"/>
          <w:sz w:val="17"/>
          <w:szCs w:val="17"/>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Reports and Other Communications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Will ADR holders be able to view our reports?</w:t>
      </w:r>
    </w:p>
    <w:p>
      <w:pPr>
        <w:spacing w:after="0" w:line="221" w:lineRule="exact"/>
        <w:rPr>
          <w:sz w:val="20"/>
          <w:szCs w:val="20"/>
          <w:color w:val="auto"/>
        </w:rPr>
      </w:pPr>
    </w:p>
    <w:p>
      <w:pPr>
        <w:ind w:right="80" w:firstLine="750"/>
        <w:spacing w:after="0" w:line="270" w:lineRule="auto"/>
        <w:rPr>
          <w:sz w:val="20"/>
          <w:szCs w:val="20"/>
          <w:color w:val="auto"/>
        </w:rPr>
      </w:pPr>
      <w:r>
        <w:rPr>
          <w:rFonts w:ascii="Arial" w:cs="Arial" w:eastAsia="Arial" w:hAnsi="Arial"/>
          <w:sz w:val="17"/>
          <w:szCs w:val="17"/>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73" w:lineRule="exact"/>
        <w:rPr>
          <w:sz w:val="20"/>
          <w:szCs w:val="20"/>
          <w:color w:val="auto"/>
        </w:rPr>
      </w:pPr>
    </w:p>
    <w:p>
      <w:pPr>
        <w:ind w:right="680" w:firstLine="750"/>
        <w:spacing w:after="0" w:line="286" w:lineRule="auto"/>
        <w:rPr>
          <w:sz w:val="20"/>
          <w:szCs w:val="20"/>
          <w:color w:val="auto"/>
        </w:rPr>
      </w:pPr>
      <w:r>
        <w:rPr>
          <w:rFonts w:ascii="Arial" w:cs="Arial" w:eastAsia="Arial" w:hAnsi="Arial"/>
          <w:sz w:val="17"/>
          <w:szCs w:val="17"/>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 Recapitalizations and Mergers</w:t>
      </w:r>
    </w:p>
    <w:p>
      <w:pPr>
        <w:spacing w:after="0" w:line="227" w:lineRule="exact"/>
        <w:rPr>
          <w:sz w:val="20"/>
          <w:szCs w:val="20"/>
          <w:color w:val="auto"/>
        </w:rPr>
      </w:pPr>
    </w:p>
    <w:p>
      <w:pPr>
        <w:ind w:firstLine="750"/>
        <w:spacing w:after="0" w:line="265" w:lineRule="auto"/>
        <w:rPr>
          <w:sz w:val="20"/>
          <w:szCs w:val="20"/>
          <w:color w:val="auto"/>
        </w:rPr>
      </w:pPr>
      <w:r>
        <w:rPr>
          <w:rFonts w:ascii="Arial" w:cs="Arial" w:eastAsia="Arial" w:hAnsi="Arial"/>
          <w:sz w:val="17"/>
          <w:szCs w:val="17"/>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177" w:lineRule="exact"/>
        <w:rPr>
          <w:sz w:val="20"/>
          <w:szCs w:val="20"/>
          <w:color w:val="auto"/>
        </w:rPr>
      </w:pPr>
    </w:p>
    <w:p>
      <w:pPr>
        <w:ind w:left="1580" w:hanging="826"/>
        <w:spacing w:after="0"/>
        <w:tabs>
          <w:tab w:leader="none" w:pos="15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amend the form of ADR;</w:t>
      </w:r>
    </w:p>
    <w:p>
      <w:pPr>
        <w:spacing w:after="0" w:line="220" w:lineRule="exact"/>
        <w:rPr>
          <w:rFonts w:ascii="Arial" w:cs="Arial" w:eastAsia="Arial" w:hAnsi="Arial"/>
          <w:sz w:val="17"/>
          <w:szCs w:val="17"/>
          <w:color w:val="auto"/>
        </w:rPr>
      </w:pPr>
    </w:p>
    <w:p>
      <w:pPr>
        <w:ind w:left="1580" w:hanging="826"/>
        <w:spacing w:after="0"/>
        <w:tabs>
          <w:tab w:leader="none" w:pos="15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distribute additional or amended ADRs;</w:t>
      </w:r>
    </w:p>
    <w:p>
      <w:pPr>
        <w:spacing w:after="0" w:line="220" w:lineRule="exact"/>
        <w:rPr>
          <w:rFonts w:ascii="Arial" w:cs="Arial" w:eastAsia="Arial" w:hAnsi="Arial"/>
          <w:sz w:val="17"/>
          <w:szCs w:val="17"/>
          <w:color w:val="auto"/>
        </w:rPr>
      </w:pPr>
    </w:p>
    <w:p>
      <w:pPr>
        <w:ind w:left="1580" w:hanging="826"/>
        <w:spacing w:after="0"/>
        <w:tabs>
          <w:tab w:leader="none" w:pos="15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distribute cash, securities or other property it has received in connection with such actions;</w:t>
      </w:r>
    </w:p>
    <w:p>
      <w:pPr>
        <w:spacing w:after="0" w:line="220" w:lineRule="exact"/>
        <w:rPr>
          <w:rFonts w:ascii="Arial" w:cs="Arial" w:eastAsia="Arial" w:hAnsi="Arial"/>
          <w:sz w:val="17"/>
          <w:szCs w:val="17"/>
          <w:color w:val="auto"/>
        </w:rPr>
      </w:pPr>
    </w:p>
    <w:p>
      <w:pPr>
        <w:ind w:left="1580" w:hanging="826"/>
        <w:spacing w:after="0"/>
        <w:tabs>
          <w:tab w:leader="none" w:pos="15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sell any securities or property received and distribute the proceeds as cash; or</w:t>
      </w:r>
    </w:p>
    <w:p>
      <w:pPr>
        <w:spacing w:after="0" w:line="220" w:lineRule="exact"/>
        <w:rPr>
          <w:rFonts w:ascii="Arial" w:cs="Arial" w:eastAsia="Arial" w:hAnsi="Arial"/>
          <w:sz w:val="17"/>
          <w:szCs w:val="17"/>
          <w:color w:val="auto"/>
        </w:rPr>
      </w:pPr>
    </w:p>
    <w:p>
      <w:pPr>
        <w:ind w:left="1580" w:hanging="826"/>
        <w:spacing w:after="0"/>
        <w:tabs>
          <w:tab w:leader="none" w:pos="15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none of the above.</w:t>
      </w:r>
    </w:p>
    <w:p>
      <w:pPr>
        <w:spacing w:after="0" w:line="221" w:lineRule="exact"/>
        <w:rPr>
          <w:sz w:val="20"/>
          <w:szCs w:val="20"/>
          <w:color w:val="auto"/>
        </w:rPr>
      </w:pPr>
    </w:p>
    <w:p>
      <w:pPr>
        <w:ind w:right="40" w:firstLine="750"/>
        <w:spacing w:after="0" w:line="286" w:lineRule="auto"/>
        <w:rPr>
          <w:sz w:val="20"/>
          <w:szCs w:val="20"/>
          <w:color w:val="auto"/>
        </w:rPr>
      </w:pPr>
      <w:r>
        <w:rPr>
          <w:rFonts w:ascii="Arial" w:cs="Arial" w:eastAsia="Arial" w:hAnsi="Arial"/>
          <w:sz w:val="17"/>
          <w:szCs w:val="17"/>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Termination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may the deposit agreement be amended?</w:t>
      </w:r>
    </w:p>
    <w:p>
      <w:pPr>
        <w:spacing w:after="0" w:line="221" w:lineRule="exact"/>
        <w:rPr>
          <w:sz w:val="20"/>
          <w:szCs w:val="20"/>
          <w:color w:val="auto"/>
        </w:rPr>
      </w:pPr>
    </w:p>
    <w:p>
      <w:pPr>
        <w:ind w:firstLine="750"/>
        <w:spacing w:after="0" w:line="297" w:lineRule="auto"/>
        <w:rPr>
          <w:sz w:val="20"/>
          <w:szCs w:val="20"/>
          <w:color w:val="auto"/>
        </w:rPr>
      </w:pPr>
      <w:r>
        <w:rPr>
          <w:rFonts w:ascii="Arial" w:cs="Arial" w:eastAsia="Arial" w:hAnsi="Arial"/>
          <w:sz w:val="15"/>
          <w:szCs w:val="15"/>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may the deposit agreement be terminated?</w:t>
      </w:r>
    </w:p>
    <w:p>
      <w:pPr>
        <w:spacing w:after="0" w:line="221" w:lineRule="exact"/>
        <w:rPr>
          <w:sz w:val="20"/>
          <w:szCs w:val="20"/>
          <w:color w:val="auto"/>
        </w:rPr>
      </w:pPr>
    </w:p>
    <w:p>
      <w:pPr>
        <w:ind w:right="40" w:firstLine="750"/>
        <w:spacing w:after="0" w:line="279"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w:t>
      </w:r>
    </w:p>
    <w:p>
      <w:pPr>
        <w:spacing w:after="0" w:line="1" w:lineRule="exact"/>
        <w:rPr>
          <w:sz w:val="20"/>
          <w:szCs w:val="20"/>
          <w:color w:val="auto"/>
        </w:rPr>
      </w:pPr>
    </w:p>
    <w:p>
      <w:pPr>
        <w:ind w:firstLine="4"/>
        <w:spacing w:after="0" w:line="295" w:lineRule="auto"/>
        <w:tabs>
          <w:tab w:leader="none" w:pos="207" w:val="left"/>
        </w:tabs>
        <w:numPr>
          <w:ilvl w:val="0"/>
          <w:numId w:val="260"/>
        </w:numPr>
        <w:rPr>
          <w:rFonts w:ascii="Arial" w:cs="Arial" w:eastAsia="Arial" w:hAnsi="Arial"/>
          <w:sz w:val="15"/>
          <w:szCs w:val="15"/>
          <w:color w:val="auto"/>
        </w:rPr>
      </w:pPr>
      <w:r>
        <w:rPr>
          <w:rFonts w:ascii="Arial" w:cs="Arial" w:eastAsia="Arial" w:hAnsi="Arial"/>
          <w:sz w:val="15"/>
          <w:szCs w:val="15"/>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316865</wp:posOffset>
            </wp:positionV>
            <wp:extent cx="7153910"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160"/>
          </w:cols>
          <w:pgMar w:left="320" w:top="349" w:right="419" w:bottom="1440" w:gutter="0" w:footer="0" w:header="0"/>
        </w:sectPr>
      </w:pPr>
    </w:p>
    <w:bookmarkStart w:id="230" w:name="page231"/>
    <w:bookmarkEnd w:id="230"/>
    <w:p>
      <w:pPr>
        <w:ind w:right="40"/>
        <w:spacing w:after="0" w:line="297" w:lineRule="auto"/>
        <w:rPr>
          <w:sz w:val="20"/>
          <w:szCs w:val="20"/>
          <w:color w:val="auto"/>
        </w:rPr>
      </w:pPr>
      <w:r>
        <w:rPr>
          <w:rFonts w:ascii="Arial" w:cs="Arial" w:eastAsia="Arial" w:hAnsi="Arial"/>
          <w:sz w:val="15"/>
          <w:szCs w:val="15"/>
          <w:color w:val="auto"/>
        </w:rPr>
        <w:t>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Obligations and Liability to ADR holders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Limits on our obligations and the obligations of the depositary; limits on liability to ADR holders and holders of ADSs</w:t>
      </w:r>
    </w:p>
    <w:p>
      <w:pPr>
        <w:spacing w:after="0" w:line="221" w:lineRule="exact"/>
        <w:rPr>
          <w:sz w:val="20"/>
          <w:szCs w:val="20"/>
          <w:color w:val="auto"/>
        </w:rPr>
      </w:pPr>
    </w:p>
    <w:p>
      <w:pPr>
        <w:ind w:right="40" w:firstLine="750"/>
        <w:spacing w:after="0" w:line="319" w:lineRule="auto"/>
        <w:rPr>
          <w:sz w:val="20"/>
          <w:szCs w:val="20"/>
          <w:color w:val="auto"/>
        </w:rPr>
      </w:pPr>
      <w:r>
        <w:rPr>
          <w:rFonts w:ascii="Arial" w:cs="Arial" w:eastAsia="Arial" w:hAnsi="Arial"/>
          <w:sz w:val="16"/>
          <w:szCs w:val="16"/>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135" w:lineRule="exact"/>
        <w:rPr>
          <w:sz w:val="20"/>
          <w:szCs w:val="20"/>
          <w:color w:val="auto"/>
        </w:rPr>
      </w:pPr>
    </w:p>
    <w:p>
      <w:pPr>
        <w:ind w:left="1100" w:right="420" w:hanging="354"/>
        <w:spacing w:after="0" w:line="270" w:lineRule="auto"/>
        <w:tabs>
          <w:tab w:leader="none" w:pos="11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172" w:lineRule="exact"/>
        <w:rPr>
          <w:rFonts w:ascii="Arial" w:cs="Arial" w:eastAsia="Arial" w:hAnsi="Arial"/>
          <w:sz w:val="17"/>
          <w:szCs w:val="17"/>
          <w:color w:val="auto"/>
        </w:rPr>
      </w:pPr>
    </w:p>
    <w:p>
      <w:pPr>
        <w:ind w:left="1100" w:right="20" w:hanging="354"/>
        <w:spacing w:after="0" w:line="265" w:lineRule="auto"/>
        <w:tabs>
          <w:tab w:leader="none" w:pos="11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177" w:lineRule="exact"/>
        <w:rPr>
          <w:rFonts w:ascii="Arial" w:cs="Arial" w:eastAsia="Arial" w:hAnsi="Arial"/>
          <w:sz w:val="17"/>
          <w:szCs w:val="17"/>
          <w:color w:val="auto"/>
        </w:rPr>
      </w:pPr>
    </w:p>
    <w:p>
      <w:pPr>
        <w:ind w:left="1100" w:hanging="354"/>
        <w:spacing w:after="0"/>
        <w:tabs>
          <w:tab w:leader="none" w:pos="11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compliance with such regulations as the depositary may establish consistent with the deposit. agreement.</w:t>
      </w:r>
    </w:p>
    <w:p>
      <w:pPr>
        <w:spacing w:after="0" w:line="221" w:lineRule="exact"/>
        <w:rPr>
          <w:sz w:val="20"/>
          <w:szCs w:val="20"/>
          <w:color w:val="auto"/>
        </w:rPr>
      </w:pPr>
    </w:p>
    <w:p>
      <w:pPr>
        <w:ind w:right="20" w:firstLine="750"/>
        <w:spacing w:after="0" w:line="276"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spacing w:after="0" w:line="2" w:lineRule="exact"/>
        <w:rPr>
          <w:sz w:val="20"/>
          <w:szCs w:val="20"/>
          <w:color w:val="auto"/>
        </w:rPr>
      </w:pPr>
    </w:p>
    <w:p>
      <w:pPr>
        <w:ind w:firstLine="4"/>
        <w:spacing w:after="0" w:line="263" w:lineRule="auto"/>
        <w:tabs>
          <w:tab w:leader="none" w:pos="20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78" w:lineRule="exact"/>
        <w:rPr>
          <w:sz w:val="20"/>
          <w:szCs w:val="20"/>
          <w:color w:val="auto"/>
        </w:rPr>
      </w:pPr>
    </w:p>
    <w:p>
      <w:pPr>
        <w:ind w:right="140" w:firstLine="750"/>
        <w:spacing w:after="0" w:line="270" w:lineRule="auto"/>
        <w:rPr>
          <w:sz w:val="20"/>
          <w:szCs w:val="20"/>
          <w:color w:val="auto"/>
        </w:rPr>
      </w:pPr>
      <w:r>
        <w:rPr>
          <w:rFonts w:ascii="Arial" w:cs="Arial" w:eastAsia="Arial" w:hAnsi="Arial"/>
          <w:sz w:val="17"/>
          <w:szCs w:val="17"/>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173" w:lineRule="exact"/>
        <w:rPr>
          <w:sz w:val="20"/>
          <w:szCs w:val="20"/>
          <w:color w:val="auto"/>
        </w:rPr>
      </w:pPr>
    </w:p>
    <w:p>
      <w:pPr>
        <w:ind w:left="1100" w:right="80" w:hanging="354"/>
        <w:spacing w:after="0" w:line="259" w:lineRule="auto"/>
        <w:tabs>
          <w:tab w:leader="none" w:pos="11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85" w:lineRule="exact"/>
        <w:rPr>
          <w:rFonts w:ascii="Arial" w:cs="Arial" w:eastAsia="Arial" w:hAnsi="Arial"/>
          <w:sz w:val="17"/>
          <w:szCs w:val="17"/>
          <w:color w:val="auto"/>
        </w:rPr>
      </w:pPr>
    </w:p>
    <w:p>
      <w:pPr>
        <w:ind w:left="1100" w:right="20" w:hanging="354"/>
        <w:spacing w:after="0" w:line="286" w:lineRule="auto"/>
        <w:tabs>
          <w:tab w:leader="none" w:pos="11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it exercises or fails to exercise discretion under the deposit agreement or the ADRs including, without limitation, any failure to determine that any distribution or action may be lawful or reasonably practicable;</w:t>
      </w:r>
    </w:p>
    <w:p>
      <w:pPr>
        <w:spacing w:after="0" w:line="158" w:lineRule="exact"/>
        <w:rPr>
          <w:rFonts w:ascii="Arial" w:cs="Arial" w:eastAsia="Arial" w:hAnsi="Arial"/>
          <w:sz w:val="17"/>
          <w:szCs w:val="17"/>
          <w:color w:val="auto"/>
        </w:rPr>
      </w:pPr>
    </w:p>
    <w:p>
      <w:pPr>
        <w:ind w:left="1100" w:hanging="354"/>
        <w:spacing w:after="0"/>
        <w:tabs>
          <w:tab w:leader="none" w:pos="11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it performs its obligations under the deposit agreement and ADRs without gross negligence or willful misconduct;</w:t>
      </w:r>
    </w:p>
    <w:p>
      <w:pPr>
        <w:spacing w:after="0" w:line="220" w:lineRule="exact"/>
        <w:rPr>
          <w:rFonts w:ascii="Arial" w:cs="Arial" w:eastAsia="Arial" w:hAnsi="Arial"/>
          <w:sz w:val="17"/>
          <w:szCs w:val="17"/>
          <w:color w:val="auto"/>
        </w:rPr>
      </w:pPr>
    </w:p>
    <w:p>
      <w:pPr>
        <w:ind w:left="1100" w:right="260" w:hanging="354"/>
        <w:spacing w:after="0" w:line="270" w:lineRule="auto"/>
        <w:tabs>
          <w:tab w:leader="none" w:pos="11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172" w:lineRule="exact"/>
        <w:rPr>
          <w:rFonts w:ascii="Arial" w:cs="Arial" w:eastAsia="Arial" w:hAnsi="Arial"/>
          <w:sz w:val="17"/>
          <w:szCs w:val="17"/>
          <w:color w:val="auto"/>
        </w:rPr>
      </w:pPr>
    </w:p>
    <w:p>
      <w:pPr>
        <w:ind w:left="1100" w:right="280" w:hanging="354"/>
        <w:spacing w:after="0" w:line="286" w:lineRule="auto"/>
        <w:tabs>
          <w:tab w:leader="none" w:pos="11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it relies upon any written notice, request, direction, instruction or document believed by it to be genuine and to have been signed, presented or given by the proper party or parties.</w:t>
      </w:r>
    </w:p>
    <w:p>
      <w:pPr>
        <w:spacing w:after="0" w:line="159" w:lineRule="exact"/>
        <w:rPr>
          <w:sz w:val="20"/>
          <w:szCs w:val="20"/>
          <w:color w:val="auto"/>
        </w:rPr>
      </w:pPr>
    </w:p>
    <w:p>
      <w:pPr>
        <w:ind w:right="40" w:firstLine="750"/>
        <w:spacing w:after="0" w:line="297" w:lineRule="auto"/>
        <w:rPr>
          <w:sz w:val="20"/>
          <w:szCs w:val="20"/>
          <w:color w:val="auto"/>
        </w:rPr>
      </w:pPr>
      <w:r>
        <w:rPr>
          <w:rFonts w:ascii="Arial" w:cs="Arial" w:eastAsia="Arial" w:hAnsi="Arial"/>
          <w:sz w:val="15"/>
          <w:szCs w:val="15"/>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316230</wp:posOffset>
            </wp:positionV>
            <wp:extent cx="7153910"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31" w:name="page232"/>
    <w:bookmarkEnd w:id="231"/>
    <w:p>
      <w:pPr>
        <w:ind w:right="20"/>
        <w:spacing w:after="0" w:line="291" w:lineRule="auto"/>
        <w:rPr>
          <w:sz w:val="20"/>
          <w:szCs w:val="20"/>
          <w:color w:val="auto"/>
        </w:rPr>
      </w:pPr>
      <w:r>
        <w:rPr>
          <w:rFonts w:ascii="Arial" w:cs="Arial" w:eastAsia="Arial" w:hAnsi="Arial"/>
          <w:sz w:val="15"/>
          <w:szCs w:val="15"/>
          <w:color w:val="auto"/>
        </w:rPr>
        <w:t>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w:t>
      </w:r>
    </w:p>
    <w:p>
      <w:pPr>
        <w:spacing w:after="0" w:line="4"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78" w:lineRule="exact"/>
        <w:rPr>
          <w:sz w:val="20"/>
          <w:szCs w:val="20"/>
          <w:color w:val="auto"/>
        </w:rPr>
      </w:pPr>
    </w:p>
    <w:p>
      <w:pPr>
        <w:ind w:right="360" w:firstLine="750"/>
        <w:spacing w:after="0" w:line="286" w:lineRule="auto"/>
        <w:rPr>
          <w:sz w:val="20"/>
          <w:szCs w:val="20"/>
          <w:color w:val="auto"/>
        </w:rPr>
      </w:pPr>
      <w:r>
        <w:rPr>
          <w:rFonts w:ascii="Arial" w:cs="Arial" w:eastAsia="Arial" w:hAnsi="Arial"/>
          <w:sz w:val="17"/>
          <w:szCs w:val="17"/>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59" w:lineRule="exact"/>
        <w:rPr>
          <w:sz w:val="20"/>
          <w:szCs w:val="20"/>
          <w:color w:val="auto"/>
        </w:rPr>
      </w:pPr>
    </w:p>
    <w:p>
      <w:pPr>
        <w:jc w:val="both"/>
        <w:ind w:firstLine="750"/>
        <w:spacing w:after="0" w:line="323" w:lineRule="auto"/>
        <w:rPr>
          <w:sz w:val="20"/>
          <w:szCs w:val="20"/>
          <w:color w:val="auto"/>
        </w:rPr>
      </w:pPr>
      <w:r>
        <w:rPr>
          <w:rFonts w:ascii="Arial" w:cs="Arial" w:eastAsia="Arial" w:hAnsi="Arial"/>
          <w:sz w:val="15"/>
          <w:szCs w:val="15"/>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36" w:lineRule="exact"/>
        <w:rPr>
          <w:sz w:val="20"/>
          <w:szCs w:val="20"/>
          <w:color w:val="auto"/>
        </w:rPr>
      </w:pPr>
    </w:p>
    <w:p>
      <w:pPr>
        <w:ind w:right="80" w:firstLine="750"/>
        <w:spacing w:after="0" w:line="297" w:lineRule="auto"/>
        <w:rPr>
          <w:sz w:val="20"/>
          <w:szCs w:val="20"/>
          <w:color w:val="auto"/>
        </w:rPr>
      </w:pPr>
      <w:r>
        <w:rPr>
          <w:rFonts w:ascii="Arial" w:cs="Arial" w:eastAsia="Arial" w:hAnsi="Arial"/>
          <w:sz w:val="15"/>
          <w:szCs w:val="15"/>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55" w:lineRule="exact"/>
        <w:rPr>
          <w:sz w:val="20"/>
          <w:szCs w:val="20"/>
          <w:color w:val="auto"/>
        </w:rPr>
      </w:pPr>
    </w:p>
    <w:p>
      <w:pPr>
        <w:ind w:right="180" w:firstLine="750"/>
        <w:spacing w:after="0" w:line="287" w:lineRule="auto"/>
        <w:rPr>
          <w:sz w:val="20"/>
          <w:szCs w:val="20"/>
          <w:color w:val="auto"/>
        </w:rPr>
      </w:pPr>
      <w:r>
        <w:rPr>
          <w:rFonts w:ascii="Arial" w:cs="Arial" w:eastAsia="Arial" w:hAnsi="Arial"/>
          <w:sz w:val="16"/>
          <w:szCs w:val="16"/>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depositary and its agents may own and deal in any class of securities of our company and our affiliates and in ADRs.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of Interest in ADSs</w:t>
      </w:r>
    </w:p>
    <w:p>
      <w:pPr>
        <w:spacing w:after="0" w:line="227" w:lineRule="exact"/>
        <w:rPr>
          <w:sz w:val="20"/>
          <w:szCs w:val="20"/>
          <w:color w:val="auto"/>
        </w:rPr>
      </w:pPr>
    </w:p>
    <w:p>
      <w:pPr>
        <w:ind w:right="140" w:firstLine="750"/>
        <w:spacing w:after="0" w:line="283"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Books of Depositary</w:t>
      </w:r>
    </w:p>
    <w:p>
      <w:pPr>
        <w:spacing w:after="0" w:line="227" w:lineRule="exact"/>
        <w:rPr>
          <w:sz w:val="20"/>
          <w:szCs w:val="20"/>
          <w:color w:val="auto"/>
        </w:rPr>
      </w:pPr>
    </w:p>
    <w:p>
      <w:pPr>
        <w:ind w:right="80" w:firstLine="750"/>
        <w:spacing w:after="0" w:line="283"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depositary will maintain facilities for the delivery and receipt of ADRs.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Appointment</w:t>
      </w:r>
    </w:p>
    <w:p>
      <w:pPr>
        <w:spacing w:after="0" w:line="227" w:lineRule="exact"/>
        <w:rPr>
          <w:sz w:val="20"/>
          <w:szCs w:val="20"/>
          <w:color w:val="auto"/>
        </w:rPr>
      </w:pPr>
    </w:p>
    <w:p>
      <w:pPr>
        <w:ind w:right="80" w:firstLine="750"/>
        <w:spacing w:after="0" w:line="286" w:lineRule="auto"/>
        <w:rPr>
          <w:sz w:val="20"/>
          <w:szCs w:val="20"/>
          <w:color w:val="auto"/>
        </w:rPr>
      </w:pPr>
      <w:r>
        <w:rPr>
          <w:rFonts w:ascii="Arial" w:cs="Arial" w:eastAsia="Arial" w:hAnsi="Arial"/>
          <w:sz w:val="17"/>
          <w:szCs w:val="17"/>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159" w:lineRule="exact"/>
        <w:rPr>
          <w:sz w:val="20"/>
          <w:szCs w:val="20"/>
          <w:color w:val="auto"/>
        </w:rPr>
      </w:pPr>
    </w:p>
    <w:p>
      <w:pPr>
        <w:ind w:left="1100" w:hanging="354"/>
        <w:spacing w:after="0"/>
        <w:tabs>
          <w:tab w:leader="none" w:pos="11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be a party to and bound by the terms of the deposit agreement and the applicable ADR or ADRs, and</w:t>
      </w:r>
    </w:p>
    <w:p>
      <w:pPr>
        <w:spacing w:after="0" w:line="220" w:lineRule="exact"/>
        <w:rPr>
          <w:rFonts w:ascii="Arial" w:cs="Arial" w:eastAsia="Arial" w:hAnsi="Arial"/>
          <w:sz w:val="17"/>
          <w:szCs w:val="17"/>
          <w:color w:val="auto"/>
        </w:rPr>
      </w:pPr>
    </w:p>
    <w:p>
      <w:pPr>
        <w:ind w:left="1100" w:right="120" w:hanging="354"/>
        <w:spacing w:after="0" w:line="287" w:lineRule="auto"/>
        <w:tabs>
          <w:tab w:leader="none" w:pos="110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448310</wp:posOffset>
            </wp:positionV>
            <wp:extent cx="7153910"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232" w:name="page233"/>
    <w:bookmarkEnd w:id="232"/>
    <w:p>
      <w:pPr>
        <w:spacing w:after="0"/>
        <w:rPr>
          <w:sz w:val="20"/>
          <w:szCs w:val="20"/>
          <w:color w:val="auto"/>
        </w:rPr>
      </w:pPr>
      <w:r>
        <w:rPr>
          <w:rFonts w:ascii="Arial" w:cs="Arial" w:eastAsia="Arial" w:hAnsi="Arial"/>
          <w:sz w:val="17"/>
          <w:szCs w:val="17"/>
          <w:b w:val="1"/>
          <w:bCs w:val="1"/>
          <w:color w:val="auto"/>
        </w:rPr>
        <w:t>Governing Law</w:t>
      </w:r>
    </w:p>
    <w:p>
      <w:pPr>
        <w:spacing w:after="0" w:line="227" w:lineRule="exact"/>
        <w:rPr>
          <w:sz w:val="20"/>
          <w:szCs w:val="20"/>
          <w:color w:val="auto"/>
        </w:rPr>
      </w:pPr>
    </w:p>
    <w:p>
      <w:pPr>
        <w:ind w:firstLine="750"/>
        <w:spacing w:after="0" w:line="258" w:lineRule="auto"/>
        <w:rPr>
          <w:sz w:val="20"/>
          <w:szCs w:val="20"/>
          <w:color w:val="auto"/>
        </w:rPr>
      </w:pPr>
      <w:r>
        <w:rPr>
          <w:rFonts w:ascii="Arial" w:cs="Arial" w:eastAsia="Arial" w:hAnsi="Arial"/>
          <w:sz w:val="17"/>
          <w:szCs w:val="17"/>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82" w:lineRule="exact"/>
        <w:rPr>
          <w:sz w:val="20"/>
          <w:szCs w:val="20"/>
          <w:color w:val="auto"/>
        </w:rPr>
      </w:pPr>
    </w:p>
    <w:p>
      <w:pPr>
        <w:ind w:right="40" w:firstLine="750"/>
        <w:spacing w:after="0" w:line="287" w:lineRule="auto"/>
        <w:rPr>
          <w:sz w:val="20"/>
          <w:szCs w:val="20"/>
          <w:color w:val="auto"/>
        </w:rPr>
      </w:pPr>
      <w:r>
        <w:rPr>
          <w:rFonts w:ascii="Arial" w:cs="Arial" w:eastAsia="Arial" w:hAnsi="Arial"/>
          <w:sz w:val="16"/>
          <w:szCs w:val="16"/>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ectPr>
          <w:pgSz w:w="11900" w:h="16838" w:orient="portrait"/>
          <w:cols w:equalWidth="0" w:num="1">
            <w:col w:w="11220"/>
          </w:cols>
          <w:pgMar w:left="320" w:top="342" w:right="359" w:bottom="1440" w:gutter="0" w:footer="0" w:header="0"/>
        </w:sectPr>
      </w:pPr>
    </w:p>
    <w:bookmarkStart w:id="233" w:name="page234"/>
    <w:bookmarkEnd w:id="233"/>
    <w:p>
      <w:pPr>
        <w:jc w:val="right"/>
        <w:spacing w:after="0"/>
        <w:rPr>
          <w:sz w:val="20"/>
          <w:szCs w:val="20"/>
          <w:color w:val="auto"/>
        </w:rPr>
      </w:pPr>
      <w:r>
        <w:rPr>
          <w:rFonts w:ascii="Arial" w:cs="Arial" w:eastAsia="Arial" w:hAnsi="Arial"/>
          <w:sz w:val="17"/>
          <w:szCs w:val="17"/>
          <w:b w:val="1"/>
          <w:bCs w:val="1"/>
          <w:color w:val="auto"/>
        </w:rPr>
        <w:t>Exhibit 8.1</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Subsidiaries of iClick Interactive Asia Group Limited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Subsidiaries</w:t>
            </w:r>
          </w:p>
        </w:tc>
        <w:tc>
          <w:tcPr>
            <w:tcW w:w="360" w:type="dxa"/>
            <w:vAlign w:val="bottom"/>
            <w:tcBorders>
              <w:bottom w:val="single" w:sz="8" w:color="CCEEFF"/>
            </w:tcBorders>
          </w:tcPr>
          <w:p>
            <w:pPr>
              <w:spacing w:after="0"/>
              <w:rPr>
                <w:sz w:val="14"/>
                <w:szCs w:val="1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Place of Incorporation</w:t>
            </w:r>
          </w:p>
        </w:tc>
        <w:tc>
          <w:tcPr>
            <w:tcW w:w="120" w:type="dxa"/>
            <w:vAlign w:val="bottom"/>
            <w:tcBorders>
              <w:bottom w:val="single" w:sz="8" w:color="CCEEFF"/>
            </w:tcBorders>
          </w:tcPr>
          <w:p>
            <w:pPr>
              <w:spacing w:after="0"/>
              <w:rPr>
                <w:sz w:val="14"/>
                <w:szCs w:val="14"/>
                <w:color w:val="auto"/>
              </w:rPr>
            </w:pPr>
          </w:p>
        </w:tc>
      </w:tr>
      <w:tr>
        <w:trPr>
          <w:trHeight w:val="201"/>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Optimix Media Asia Limited</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Hong Kong</w:t>
            </w:r>
          </w:p>
        </w:tc>
        <w:tc>
          <w:tcPr>
            <w:tcW w:w="120" w:type="dxa"/>
            <w:vAlign w:val="bottom"/>
            <w:shd w:val="clear" w:color="auto" w:fill="CCEEFF"/>
          </w:tcPr>
          <w:p>
            <w:pPr>
              <w:spacing w:after="0"/>
              <w:rPr>
                <w:sz w:val="17"/>
                <w:szCs w:val="17"/>
                <w:color w:val="auto"/>
              </w:rPr>
            </w:pP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iClick Interactive Asia Limited</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Hong Kong</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Digital Marketing Group Limited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Hong Kong</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Tetris Media Limited</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Hong Kong</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Interactive (Singapore) Pte. Ltd.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Singapore</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Performance Media Group Limited</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Hong Kong</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Data Technology (Beijing) Limited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Tetris Media (Shanghai) Co., Ltd.</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Diablo Holdings Corporation</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6"/>
              </w:rPr>
              <w:t>British Virgin Islands</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Harmattan Capital Holdings Corporation</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British Virgin Islands</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China Search (Asia) Limited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Hong Kong</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Search Asia Technology (Shenzhen) Co., Ltd.</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OptAim Limited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Cayman Islands</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OptAim (HK) Limited</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Hong Kong</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OptAim (Beijing) Information Technology Co., Ltd.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Anhui Zhiyunzhong Information Technology Co., Ltd.</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35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Beijing OptAim Network Technology Co., Ltd.</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r>
              <w:rPr>
                <w:rFonts w:ascii="Arial" w:cs="Arial" w:eastAsia="Arial" w:hAnsi="Arial"/>
                <w:sz w:val="11"/>
                <w:szCs w:val="11"/>
                <w:color w:val="auto"/>
              </w:rPr>
              <w:t>(1)</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Zhiyunzhong (Shanghai) Technology Co., Ltd.</w:t>
            </w: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r>
              <w:rPr>
                <w:rFonts w:ascii="Arial" w:cs="Arial" w:eastAsia="Arial" w:hAnsi="Arial"/>
                <w:sz w:val="11"/>
                <w:szCs w:val="11"/>
                <w:color w:val="auto"/>
              </w:rPr>
              <w:t>(2)</w:t>
            </w:r>
          </w:p>
        </w:tc>
        <w:tc>
          <w:tcPr>
            <w:tcW w:w="35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Shanghai Myhayo Technology Co., Ltd.</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r>
              <w:rPr>
                <w:rFonts w:ascii="Arial" w:cs="Arial" w:eastAsia="Arial" w:hAnsi="Arial"/>
                <w:sz w:val="11"/>
                <w:szCs w:val="11"/>
                <w:color w:val="auto"/>
              </w:rPr>
              <w:t>(2)</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Anhui Myhayo Technology Co., Ltd.</w:t>
            </w: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r>
              <w:rPr>
                <w:rFonts w:ascii="Arial" w:cs="Arial" w:eastAsia="Arial" w:hAnsi="Arial"/>
                <w:sz w:val="11"/>
                <w:szCs w:val="11"/>
                <w:color w:val="auto"/>
              </w:rPr>
              <w:t>(2)</w:t>
            </w:r>
          </w:p>
        </w:tc>
        <w:tc>
          <w:tcPr>
            <w:tcW w:w="35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Changyi (Shanghai) Information Technology Ltd.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tcPr>
          <w:p>
            <w:pPr>
              <w:spacing w:after="0"/>
              <w:rPr>
                <w:sz w:val="20"/>
                <w:szCs w:val="20"/>
                <w:color w:val="auto"/>
              </w:rPr>
            </w:pPr>
            <w:r>
              <w:rPr>
                <w:rFonts w:ascii="Arial" w:cs="Arial" w:eastAsia="Arial" w:hAnsi="Arial"/>
                <w:sz w:val="17"/>
                <w:szCs w:val="17"/>
                <w:color w:val="auto"/>
              </w:rPr>
              <w:t>Xi'an Changzhan Information Technology Ltd.</w:t>
            </w:r>
          </w:p>
        </w:tc>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42%</w:t>
            </w:r>
          </w:p>
        </w:tc>
        <w:tc>
          <w:tcPr>
            <w:tcW w:w="35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People’s Republic of China</w:t>
            </w:r>
          </w:p>
        </w:tc>
      </w:tr>
      <w:tr>
        <w:trPr>
          <w:trHeight w:val="208"/>
        </w:trPr>
        <w:tc>
          <w:tcPr>
            <w:tcW w:w="6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Interactive Asia Limited, Taiwan Branch</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r>
              <w:rPr>
                <w:rFonts w:ascii="Arial" w:cs="Arial" w:eastAsia="Arial" w:hAnsi="Arial"/>
                <w:sz w:val="11"/>
                <w:szCs w:val="11"/>
                <w:color w:val="auto"/>
              </w:rPr>
              <w:t>(3)</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4"/>
              </w:rPr>
              <w:t>Taiwan</w:t>
            </w: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6"/>
              </w:rPr>
              <w:t>(1)</w:t>
            </w: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VIE.</w:t>
            </w:r>
          </w:p>
        </w:tc>
      </w:tr>
      <w:tr>
        <w:trPr>
          <w:trHeight w:val="208"/>
        </w:trPr>
        <w:tc>
          <w:tcPr>
            <w:tcW w:w="220" w:type="dxa"/>
            <w:vAlign w:val="bottom"/>
          </w:tcPr>
          <w:p>
            <w:pPr>
              <w:jc w:val="right"/>
              <w:spacing w:after="0"/>
              <w:rPr>
                <w:sz w:val="20"/>
                <w:szCs w:val="20"/>
                <w:color w:val="auto"/>
              </w:rPr>
            </w:pPr>
            <w:r>
              <w:rPr>
                <w:rFonts w:ascii="Arial" w:cs="Arial" w:eastAsia="Arial" w:hAnsi="Arial"/>
                <w:sz w:val="17"/>
                <w:szCs w:val="17"/>
                <w:color w:val="auto"/>
                <w:w w:val="86"/>
              </w:rPr>
              <w:t>(2)</w:t>
            </w:r>
          </w:p>
        </w:tc>
        <w:tc>
          <w:tcPr>
            <w:tcW w:w="2300" w:type="dxa"/>
            <w:vAlign w:val="bottom"/>
          </w:tcPr>
          <w:p>
            <w:pPr>
              <w:ind w:left="20"/>
              <w:spacing w:after="0"/>
              <w:rPr>
                <w:sz w:val="20"/>
                <w:szCs w:val="20"/>
                <w:color w:val="auto"/>
              </w:rPr>
            </w:pPr>
            <w:r>
              <w:rPr>
                <w:rFonts w:ascii="Arial" w:cs="Arial" w:eastAsia="Arial" w:hAnsi="Arial"/>
                <w:sz w:val="17"/>
                <w:szCs w:val="17"/>
                <w:color w:val="auto"/>
              </w:rPr>
              <w:t>VIE’s subsidiary.</w:t>
            </w:r>
          </w:p>
        </w:tc>
      </w:tr>
      <w:tr>
        <w:trPr>
          <w:trHeight w:val="221"/>
        </w:trPr>
        <w:tc>
          <w:tcPr>
            <w:tcW w:w="220" w:type="dxa"/>
            <w:vAlign w:val="bottom"/>
          </w:tcPr>
          <w:p>
            <w:pPr>
              <w:jc w:val="right"/>
              <w:spacing w:after="0"/>
              <w:rPr>
                <w:sz w:val="20"/>
                <w:szCs w:val="20"/>
                <w:color w:val="auto"/>
              </w:rPr>
            </w:pPr>
            <w:r>
              <w:rPr>
                <w:rFonts w:ascii="Arial" w:cs="Arial" w:eastAsia="Arial" w:hAnsi="Arial"/>
                <w:sz w:val="17"/>
                <w:szCs w:val="17"/>
                <w:color w:val="auto"/>
                <w:w w:val="86"/>
              </w:rPr>
              <w:t>(3)</w:t>
            </w:r>
          </w:p>
        </w:tc>
        <w:tc>
          <w:tcPr>
            <w:tcW w:w="2300" w:type="dxa"/>
            <w:vAlign w:val="bottom"/>
          </w:tcPr>
          <w:p>
            <w:pPr>
              <w:ind w:left="20"/>
              <w:spacing w:after="0"/>
              <w:rPr>
                <w:sz w:val="20"/>
                <w:szCs w:val="20"/>
                <w:color w:val="auto"/>
              </w:rPr>
            </w:pPr>
            <w:r>
              <w:rPr>
                <w:rFonts w:ascii="Arial" w:cs="Arial" w:eastAsia="Arial" w:hAnsi="Arial"/>
                <w:sz w:val="17"/>
                <w:szCs w:val="17"/>
                <w:color w:val="auto"/>
              </w:rPr>
              <w:t>Subsidiary’s branch.</w:t>
            </w:r>
          </w:p>
        </w:tc>
      </w:tr>
    </w:tbl>
    <w:p>
      <w:pPr>
        <w:sectPr>
          <w:pgSz w:w="11900" w:h="16838" w:orient="portrait"/>
          <w:cols w:equalWidth="0" w:num="1">
            <w:col w:w="11240"/>
          </w:cols>
          <w:pgMar w:left="320" w:top="121"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7"/>
          <w:szCs w:val="17"/>
          <w:b w:val="1"/>
          <w:bCs w:val="1"/>
          <w:color w:val="auto"/>
        </w:rPr>
        <w:t>Exhibit 12.1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I, Jian Tang, certify that:</w:t>
      </w:r>
    </w:p>
    <w:p>
      <w:pPr>
        <w:spacing w:after="0" w:line="234" w:lineRule="exact"/>
        <w:rPr>
          <w:sz w:val="20"/>
          <w:szCs w:val="20"/>
          <w:color w:val="auto"/>
        </w:rPr>
      </w:pPr>
    </w:p>
    <w:p>
      <w:pPr>
        <w:ind w:left="440" w:hanging="436"/>
        <w:spacing w:after="0"/>
        <w:tabs>
          <w:tab w:leader="none" w:pos="4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iClick Interactive Asia Group Limited;</w:t>
      </w:r>
    </w:p>
    <w:p>
      <w:pPr>
        <w:spacing w:after="0" w:line="233" w:lineRule="exact"/>
        <w:rPr>
          <w:rFonts w:ascii="Arial" w:cs="Arial" w:eastAsia="Arial" w:hAnsi="Arial"/>
          <w:sz w:val="17"/>
          <w:szCs w:val="17"/>
          <w:color w:val="auto"/>
        </w:rPr>
      </w:pPr>
    </w:p>
    <w:p>
      <w:pPr>
        <w:ind w:left="440" w:right="220" w:hanging="436"/>
        <w:spacing w:after="0" w:line="356" w:lineRule="auto"/>
        <w:tabs>
          <w:tab w:leader="none" w:pos="4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5"/>
          <w:szCs w:val="15"/>
          <w:color w:val="auto"/>
        </w:rPr>
      </w:pPr>
    </w:p>
    <w:p>
      <w:pPr>
        <w:ind w:left="440" w:right="20" w:hanging="436"/>
        <w:spacing w:after="0" w:line="286" w:lineRule="auto"/>
        <w:tabs>
          <w:tab w:leader="none" w:pos="4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1" w:lineRule="exact"/>
        <w:rPr>
          <w:rFonts w:ascii="Arial" w:cs="Arial" w:eastAsia="Arial" w:hAnsi="Arial"/>
          <w:sz w:val="17"/>
          <w:szCs w:val="17"/>
          <w:color w:val="auto"/>
        </w:rPr>
      </w:pPr>
    </w:p>
    <w:p>
      <w:pPr>
        <w:ind w:left="440" w:right="180" w:hanging="436"/>
        <w:spacing w:after="0" w:line="270" w:lineRule="auto"/>
        <w:tabs>
          <w:tab w:leader="none" w:pos="4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5" w:lineRule="exact"/>
        <w:rPr>
          <w:rFonts w:ascii="Arial" w:cs="Arial" w:eastAsia="Arial" w:hAnsi="Arial"/>
          <w:sz w:val="17"/>
          <w:szCs w:val="17"/>
          <w:color w:val="auto"/>
        </w:rPr>
      </w:pPr>
    </w:p>
    <w:p>
      <w:pPr>
        <w:ind w:left="880" w:right="20" w:hanging="434"/>
        <w:spacing w:after="0" w:line="270" w:lineRule="auto"/>
        <w:tabs>
          <w:tab w:leader="none" w:pos="88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880" w:hanging="434"/>
        <w:spacing w:after="0" w:line="270" w:lineRule="auto"/>
        <w:tabs>
          <w:tab w:leader="none" w:pos="88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880" w:right="80" w:hanging="434"/>
        <w:spacing w:after="0" w:line="286" w:lineRule="auto"/>
        <w:tabs>
          <w:tab w:leader="none" w:pos="88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7"/>
          <w:szCs w:val="17"/>
          <w:color w:val="auto"/>
        </w:rPr>
      </w:pPr>
    </w:p>
    <w:p>
      <w:pPr>
        <w:ind w:left="880" w:right="100" w:hanging="434"/>
        <w:spacing w:after="0" w:line="319" w:lineRule="auto"/>
        <w:tabs>
          <w:tab w:leader="none" w:pos="88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148" w:lineRule="exact"/>
        <w:rPr>
          <w:rFonts w:ascii="Arial" w:cs="Arial" w:eastAsia="Arial" w:hAnsi="Arial"/>
          <w:sz w:val="16"/>
          <w:szCs w:val="16"/>
          <w:color w:val="auto"/>
        </w:rPr>
      </w:pPr>
    </w:p>
    <w:p>
      <w:pPr>
        <w:ind w:left="440" w:right="620" w:hanging="436"/>
        <w:spacing w:after="0" w:line="319" w:lineRule="auto"/>
        <w:tabs>
          <w:tab w:leader="none" w:pos="4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8" w:lineRule="exact"/>
        <w:rPr>
          <w:rFonts w:ascii="Arial" w:cs="Arial" w:eastAsia="Arial" w:hAnsi="Arial"/>
          <w:sz w:val="16"/>
          <w:szCs w:val="16"/>
          <w:color w:val="auto"/>
        </w:rPr>
      </w:pPr>
    </w:p>
    <w:p>
      <w:pPr>
        <w:ind w:left="880" w:right="420" w:hanging="434"/>
        <w:spacing w:after="0" w:line="286" w:lineRule="auto"/>
        <w:tabs>
          <w:tab w:leader="none" w:pos="88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1" w:lineRule="exact"/>
        <w:rPr>
          <w:rFonts w:ascii="Arial" w:cs="Arial" w:eastAsia="Arial" w:hAnsi="Arial"/>
          <w:sz w:val="17"/>
          <w:szCs w:val="17"/>
          <w:color w:val="auto"/>
        </w:rPr>
      </w:pPr>
    </w:p>
    <w:p>
      <w:pPr>
        <w:ind w:left="880" w:right="40" w:hanging="434"/>
        <w:spacing w:after="0" w:line="286" w:lineRule="auto"/>
        <w:tabs>
          <w:tab w:leader="none" w:pos="88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 April 30, 2020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Jian Tang</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4620" w:type="dxa"/>
            <w:vAlign w:val="bottom"/>
          </w:tcPr>
          <w:p>
            <w:pPr>
              <w:spacing w:after="0" w:line="189" w:lineRule="exact"/>
              <w:rPr>
                <w:sz w:val="20"/>
                <w:szCs w:val="20"/>
                <w:color w:val="auto"/>
              </w:rPr>
            </w:pPr>
            <w:r>
              <w:rPr>
                <w:rFonts w:ascii="Arial" w:cs="Arial" w:eastAsia="Arial" w:hAnsi="Arial"/>
                <w:sz w:val="17"/>
                <w:szCs w:val="17"/>
                <w:color w:val="auto"/>
              </w:rPr>
              <w:t>Jian Tang</w:t>
            </w:r>
          </w:p>
        </w:tc>
      </w:tr>
      <w:tr>
        <w:trPr>
          <w:trHeight w:val="221"/>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62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121"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7"/>
          <w:szCs w:val="17"/>
          <w:b w:val="1"/>
          <w:bCs w:val="1"/>
          <w:color w:val="auto"/>
        </w:rPr>
        <w:t>Exhibit 12.2</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I, Terence Li, certify that:</w:t>
      </w:r>
    </w:p>
    <w:p>
      <w:pPr>
        <w:spacing w:after="0" w:line="286" w:lineRule="exact"/>
        <w:rPr>
          <w:sz w:val="20"/>
          <w:szCs w:val="20"/>
          <w:color w:val="auto"/>
        </w:rPr>
      </w:pPr>
    </w:p>
    <w:p>
      <w:pPr>
        <w:ind w:left="440" w:hanging="436"/>
        <w:spacing w:after="0"/>
        <w:tabs>
          <w:tab w:leader="none" w:pos="4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iClick Interactive Asia Group Limited;</w:t>
      </w:r>
    </w:p>
    <w:p>
      <w:pPr>
        <w:spacing w:after="0" w:line="285" w:lineRule="exact"/>
        <w:rPr>
          <w:rFonts w:ascii="Arial" w:cs="Arial" w:eastAsia="Arial" w:hAnsi="Arial"/>
          <w:sz w:val="17"/>
          <w:szCs w:val="17"/>
          <w:color w:val="auto"/>
        </w:rPr>
      </w:pPr>
    </w:p>
    <w:p>
      <w:pPr>
        <w:ind w:left="440" w:right="220" w:hanging="436"/>
        <w:spacing w:after="0" w:line="356" w:lineRule="auto"/>
        <w:tabs>
          <w:tab w:leader="none" w:pos="44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5"/>
          <w:szCs w:val="15"/>
          <w:color w:val="auto"/>
        </w:rPr>
      </w:pPr>
    </w:p>
    <w:p>
      <w:pPr>
        <w:ind w:left="440" w:right="20" w:hanging="436"/>
        <w:spacing w:after="0" w:line="286" w:lineRule="auto"/>
        <w:tabs>
          <w:tab w:leader="none" w:pos="4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23" w:lineRule="exact"/>
        <w:rPr>
          <w:rFonts w:ascii="Arial" w:cs="Arial" w:eastAsia="Arial" w:hAnsi="Arial"/>
          <w:sz w:val="17"/>
          <w:szCs w:val="17"/>
          <w:color w:val="auto"/>
        </w:rPr>
      </w:pPr>
    </w:p>
    <w:p>
      <w:pPr>
        <w:ind w:left="440" w:right="180" w:hanging="436"/>
        <w:spacing w:after="0" w:line="270" w:lineRule="auto"/>
        <w:tabs>
          <w:tab w:leader="none" w:pos="4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237" w:lineRule="exact"/>
        <w:rPr>
          <w:rFonts w:ascii="Arial" w:cs="Arial" w:eastAsia="Arial" w:hAnsi="Arial"/>
          <w:sz w:val="17"/>
          <w:szCs w:val="17"/>
          <w:color w:val="auto"/>
        </w:rPr>
      </w:pPr>
    </w:p>
    <w:p>
      <w:pPr>
        <w:ind w:left="880" w:right="20" w:hanging="434"/>
        <w:spacing w:after="0" w:line="270" w:lineRule="auto"/>
        <w:tabs>
          <w:tab w:leader="none" w:pos="88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7"/>
          <w:szCs w:val="17"/>
          <w:color w:val="auto"/>
        </w:rPr>
      </w:pPr>
    </w:p>
    <w:p>
      <w:pPr>
        <w:ind w:left="880" w:hanging="434"/>
        <w:spacing w:after="0" w:line="270" w:lineRule="auto"/>
        <w:tabs>
          <w:tab w:leader="none" w:pos="88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Arial" w:cs="Arial" w:eastAsia="Arial" w:hAnsi="Arial"/>
          <w:sz w:val="17"/>
          <w:szCs w:val="17"/>
          <w:color w:val="auto"/>
        </w:rPr>
      </w:pPr>
    </w:p>
    <w:p>
      <w:pPr>
        <w:ind w:left="880" w:right="80" w:hanging="434"/>
        <w:spacing w:after="0" w:line="286" w:lineRule="auto"/>
        <w:tabs>
          <w:tab w:leader="none" w:pos="88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23" w:lineRule="exact"/>
        <w:rPr>
          <w:rFonts w:ascii="Arial" w:cs="Arial" w:eastAsia="Arial" w:hAnsi="Arial"/>
          <w:sz w:val="17"/>
          <w:szCs w:val="17"/>
          <w:color w:val="auto"/>
        </w:rPr>
      </w:pPr>
    </w:p>
    <w:p>
      <w:pPr>
        <w:ind w:left="880" w:right="140" w:hanging="434"/>
        <w:spacing w:after="0" w:line="319" w:lineRule="auto"/>
        <w:tabs>
          <w:tab w:leader="none" w:pos="88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0" w:lineRule="exact"/>
        <w:rPr>
          <w:rFonts w:ascii="Arial" w:cs="Arial" w:eastAsia="Arial" w:hAnsi="Arial"/>
          <w:sz w:val="16"/>
          <w:szCs w:val="16"/>
          <w:color w:val="auto"/>
        </w:rPr>
      </w:pPr>
    </w:p>
    <w:p>
      <w:pPr>
        <w:ind w:left="440" w:right="620" w:hanging="436"/>
        <w:spacing w:after="0" w:line="319" w:lineRule="auto"/>
        <w:tabs>
          <w:tab w:leader="none" w:pos="4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200" w:lineRule="exact"/>
        <w:rPr>
          <w:rFonts w:ascii="Arial" w:cs="Arial" w:eastAsia="Arial" w:hAnsi="Arial"/>
          <w:sz w:val="16"/>
          <w:szCs w:val="16"/>
          <w:color w:val="auto"/>
        </w:rPr>
      </w:pPr>
    </w:p>
    <w:p>
      <w:pPr>
        <w:ind w:left="880" w:right="420" w:hanging="434"/>
        <w:spacing w:after="0" w:line="286" w:lineRule="auto"/>
        <w:tabs>
          <w:tab w:leader="none" w:pos="88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3" w:lineRule="exact"/>
        <w:rPr>
          <w:rFonts w:ascii="Arial" w:cs="Arial" w:eastAsia="Arial" w:hAnsi="Arial"/>
          <w:sz w:val="17"/>
          <w:szCs w:val="17"/>
          <w:color w:val="auto"/>
        </w:rPr>
      </w:pPr>
    </w:p>
    <w:p>
      <w:pPr>
        <w:ind w:left="880" w:right="40" w:hanging="434"/>
        <w:spacing w:after="0" w:line="286" w:lineRule="auto"/>
        <w:tabs>
          <w:tab w:leader="none" w:pos="88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 April 30, 2020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0" w:type="dxa"/>
            <w:vAlign w:val="bottom"/>
          </w:tcPr>
          <w:p>
            <w:pPr>
              <w:spacing w:after="0"/>
              <w:rPr>
                <w:sz w:val="20"/>
                <w:szCs w:val="20"/>
                <w:color w:val="auto"/>
              </w:rPr>
            </w:pPr>
            <w:r>
              <w:rPr>
                <w:rFonts w:ascii="Arial" w:cs="Arial" w:eastAsia="Arial" w:hAnsi="Arial"/>
                <w:sz w:val="17"/>
                <w:szCs w:val="17"/>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Terence Li</w:t>
            </w:r>
          </w:p>
        </w:tc>
      </w:tr>
      <w:tr>
        <w:trPr>
          <w:trHeight w:val="189"/>
        </w:trPr>
        <w:tc>
          <w:tcPr>
            <w:tcW w:w="90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4720" w:type="dxa"/>
            <w:vAlign w:val="bottom"/>
          </w:tcPr>
          <w:p>
            <w:pPr>
              <w:spacing w:after="0" w:line="189" w:lineRule="exact"/>
              <w:rPr>
                <w:sz w:val="20"/>
                <w:szCs w:val="20"/>
                <w:color w:val="auto"/>
              </w:rPr>
            </w:pPr>
            <w:r>
              <w:rPr>
                <w:rFonts w:ascii="Arial" w:cs="Arial" w:eastAsia="Arial" w:hAnsi="Arial"/>
                <w:sz w:val="17"/>
                <w:szCs w:val="17"/>
                <w:color w:val="auto"/>
              </w:rPr>
              <w:t>Terence Li</w:t>
            </w:r>
          </w:p>
        </w:tc>
      </w:tr>
      <w:tr>
        <w:trPr>
          <w:trHeight w:val="221"/>
        </w:trPr>
        <w:tc>
          <w:tcPr>
            <w:tcW w:w="900" w:type="dxa"/>
            <w:vAlign w:val="bottom"/>
          </w:tcPr>
          <w:p>
            <w:pPr>
              <w:spacing w:after="0"/>
              <w:rPr>
                <w:sz w:val="20"/>
                <w:szCs w:val="20"/>
                <w:color w:val="auto"/>
              </w:rPr>
            </w:pPr>
            <w:r>
              <w:rPr>
                <w:rFonts w:ascii="Arial" w:cs="Arial" w:eastAsia="Arial" w:hAnsi="Arial"/>
                <w:sz w:val="17"/>
                <w:szCs w:val="17"/>
                <w:color w:val="auto"/>
              </w:rPr>
              <w:t>Title:</w:t>
            </w:r>
          </w:p>
        </w:tc>
        <w:tc>
          <w:tcPr>
            <w:tcW w:w="47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121"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7"/>
          <w:szCs w:val="17"/>
          <w:b w:val="1"/>
          <w:bCs w:val="1"/>
          <w:color w:val="auto"/>
        </w:rPr>
        <w:t>Exhibit 13.1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8" w:lineRule="exact"/>
        <w:rPr>
          <w:sz w:val="20"/>
          <w:szCs w:val="20"/>
          <w:color w:val="auto"/>
        </w:rPr>
      </w:pPr>
    </w:p>
    <w:p>
      <w:pPr>
        <w:ind w:right="200" w:firstLine="510"/>
        <w:spacing w:after="0" w:line="270" w:lineRule="auto"/>
        <w:rPr>
          <w:sz w:val="20"/>
          <w:szCs w:val="20"/>
          <w:color w:val="auto"/>
        </w:rPr>
      </w:pPr>
      <w:r>
        <w:rPr>
          <w:rFonts w:ascii="Arial" w:cs="Arial" w:eastAsia="Arial" w:hAnsi="Arial"/>
          <w:sz w:val="17"/>
          <w:szCs w:val="17"/>
          <w:color w:val="auto"/>
        </w:rPr>
        <w:t>In connection with the Annual Report of (the “Company”) on Form 20-F for the fiscal year ended December 31, 2019 as filed with the Securities and Exchange Commission on the date hereof (the “Report”), I, Jian Tang, Chief Executive Officer of the Company, certify, pursuant to 18 U.S.C. Section 1350, as adopted pursuant to Section 906 of the Sarbanes-Oxley Act of 2002, that to my knowledge:</w:t>
      </w:r>
    </w:p>
    <w:p>
      <w:pPr>
        <w:spacing w:after="0" w:line="173" w:lineRule="exact"/>
        <w:rPr>
          <w:sz w:val="20"/>
          <w:szCs w:val="20"/>
          <w:color w:val="auto"/>
        </w:rPr>
      </w:pPr>
    </w:p>
    <w:p>
      <w:pPr>
        <w:ind w:left="880" w:hanging="390"/>
        <w:spacing w:after="0"/>
        <w:tabs>
          <w:tab w:leader="none" w:pos="8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0" w:lineRule="exact"/>
        <w:rPr>
          <w:rFonts w:ascii="Arial" w:cs="Arial" w:eastAsia="Arial" w:hAnsi="Arial"/>
          <w:sz w:val="17"/>
          <w:szCs w:val="17"/>
          <w:color w:val="auto"/>
        </w:rPr>
      </w:pPr>
    </w:p>
    <w:p>
      <w:pPr>
        <w:ind w:right="300" w:firstLine="490"/>
        <w:spacing w:after="0" w:line="511" w:lineRule="auto"/>
        <w:tabs>
          <w:tab w:leader="none" w:pos="87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April 30, 2020</w:t>
      </w:r>
    </w:p>
    <w:tbl>
      <w:tblPr>
        <w:tblLayout w:type="fixed"/>
        <w:tblInd w:w="0" w:type="dxa"/>
        <w:tblCellMar>
          <w:top w:w="0" w:type="dxa"/>
          <w:left w:w="0" w:type="dxa"/>
          <w:bottom w:w="0" w:type="dxa"/>
          <w:right w:w="0" w:type="dxa"/>
        </w:tblCellMar>
      </w:tblPr>
      <w:tr>
        <w:trPr>
          <w:trHeight w:val="221"/>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Jian Tang</w:t>
            </w:r>
          </w:p>
        </w:tc>
      </w:tr>
      <w:tr>
        <w:trPr>
          <w:trHeight w:val="189"/>
        </w:trPr>
        <w:tc>
          <w:tcPr>
            <w:tcW w:w="88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Jian Tang</w:t>
            </w:r>
          </w:p>
        </w:tc>
      </w:tr>
      <w:tr>
        <w:trPr>
          <w:trHeight w:val="221"/>
        </w:trPr>
        <w:tc>
          <w:tcPr>
            <w:tcW w:w="880" w:type="dxa"/>
            <w:vAlign w:val="bottom"/>
          </w:tcPr>
          <w:p>
            <w:pPr>
              <w:spacing w:after="0"/>
              <w:rPr>
                <w:sz w:val="20"/>
                <w:szCs w:val="20"/>
                <w:color w:val="auto"/>
              </w:rPr>
            </w:pPr>
            <w:r>
              <w:rPr>
                <w:rFonts w:ascii="Arial" w:cs="Arial" w:eastAsia="Arial" w:hAnsi="Arial"/>
                <w:sz w:val="17"/>
                <w:szCs w:val="17"/>
                <w:color w:val="auto"/>
              </w:rPr>
              <w:t>Title:</w:t>
            </w:r>
          </w:p>
        </w:tc>
        <w:tc>
          <w:tcPr>
            <w:tcW w:w="474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121"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7"/>
          <w:szCs w:val="17"/>
          <w:b w:val="1"/>
          <w:bCs w:val="1"/>
          <w:color w:val="auto"/>
        </w:rPr>
        <w:t>Exhibit 13.2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8" w:lineRule="exact"/>
        <w:rPr>
          <w:sz w:val="20"/>
          <w:szCs w:val="20"/>
          <w:color w:val="auto"/>
        </w:rPr>
      </w:pPr>
    </w:p>
    <w:p>
      <w:pPr>
        <w:ind w:right="240" w:firstLine="510"/>
        <w:spacing w:after="0" w:line="295" w:lineRule="auto"/>
        <w:rPr>
          <w:sz w:val="20"/>
          <w:szCs w:val="20"/>
          <w:color w:val="auto"/>
        </w:rPr>
      </w:pPr>
      <w:r>
        <w:rPr>
          <w:rFonts w:ascii="Arial" w:cs="Arial" w:eastAsia="Arial" w:hAnsi="Arial"/>
          <w:sz w:val="16"/>
          <w:szCs w:val="16"/>
          <w:color w:val="auto"/>
        </w:rPr>
        <w:t>In connection with the Annual Report of iClick Interactive Asia Group Limited (the “Company”) on Form 20-F for the fiscal year ended December 31, 2019 as filed with the Securities and Exchange Commission on the date hereof (the “Report”), I, Terence Li, Chief Financial Officer of the Company, certify, pursuant to 18 U.S.C. Section 1350, as adopted pursuant to Section 906 of the Sarbanes-Oxley Act of 2002, that to my knowledge:</w:t>
      </w:r>
    </w:p>
    <w:p>
      <w:pPr>
        <w:spacing w:after="0" w:line="154" w:lineRule="exact"/>
        <w:rPr>
          <w:sz w:val="20"/>
          <w:szCs w:val="20"/>
          <w:color w:val="auto"/>
        </w:rPr>
      </w:pPr>
    </w:p>
    <w:p>
      <w:pPr>
        <w:ind w:left="880" w:hanging="390"/>
        <w:spacing w:after="0"/>
        <w:tabs>
          <w:tab w:leader="none" w:pos="88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0" w:lineRule="exact"/>
        <w:rPr>
          <w:rFonts w:ascii="Arial" w:cs="Arial" w:eastAsia="Arial" w:hAnsi="Arial"/>
          <w:sz w:val="17"/>
          <w:szCs w:val="17"/>
          <w:color w:val="auto"/>
        </w:rPr>
      </w:pPr>
    </w:p>
    <w:p>
      <w:pPr>
        <w:ind w:right="300" w:firstLine="490"/>
        <w:spacing w:after="0" w:line="511" w:lineRule="auto"/>
        <w:tabs>
          <w:tab w:leader="none" w:pos="87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April 30, 2020</w:t>
      </w:r>
    </w:p>
    <w:tbl>
      <w:tblPr>
        <w:tblLayout w:type="fixed"/>
        <w:tblInd w:w="0" w:type="dxa"/>
        <w:tblCellMar>
          <w:top w:w="0" w:type="dxa"/>
          <w:left w:w="0" w:type="dxa"/>
          <w:bottom w:w="0" w:type="dxa"/>
          <w:right w:w="0" w:type="dxa"/>
        </w:tblCellMar>
      </w:tblPr>
      <w:tr>
        <w:trPr>
          <w:trHeight w:val="221"/>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Terence Li</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7"/>
                <w:szCs w:val="17"/>
                <w:color w:val="auto"/>
              </w:rPr>
              <w:t>Name:</w:t>
            </w:r>
          </w:p>
        </w:tc>
        <w:tc>
          <w:tcPr>
            <w:tcW w:w="4620" w:type="dxa"/>
            <w:vAlign w:val="bottom"/>
          </w:tcPr>
          <w:p>
            <w:pPr>
              <w:spacing w:after="0" w:line="189" w:lineRule="exact"/>
              <w:rPr>
                <w:sz w:val="20"/>
                <w:szCs w:val="20"/>
                <w:color w:val="auto"/>
              </w:rPr>
            </w:pPr>
            <w:r>
              <w:rPr>
                <w:rFonts w:ascii="Arial" w:cs="Arial" w:eastAsia="Arial" w:hAnsi="Arial"/>
                <w:sz w:val="17"/>
                <w:szCs w:val="17"/>
                <w:color w:val="auto"/>
              </w:rPr>
              <w:t>Terence Li</w:t>
            </w:r>
          </w:p>
        </w:tc>
      </w:tr>
      <w:tr>
        <w:trPr>
          <w:trHeight w:val="221"/>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46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121"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7"/>
          <w:szCs w:val="17"/>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151765</wp:posOffset>
            </wp:positionV>
            <wp:extent cx="1470660" cy="9086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14706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Office:</w:t>
      </w:r>
      <w:r>
        <w:rPr>
          <w:sz w:val="20"/>
          <w:szCs w:val="20"/>
          <w:color w:val="auto"/>
        </w:rPr>
        <w:tab/>
      </w:r>
      <w:r>
        <w:rPr>
          <w:rFonts w:ascii="Arial" w:cs="Arial" w:eastAsia="Arial" w:hAnsi="Arial"/>
          <w:sz w:val="17"/>
          <w:szCs w:val="17"/>
          <w:color w:val="auto"/>
        </w:rPr>
        <w:t>+852 2801 6066</w:t>
      </w:r>
    </w:p>
    <w:p>
      <w:pPr>
        <w:spacing w:after="0" w:line="3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Mobile:</w:t>
      </w:r>
      <w:r>
        <w:rPr>
          <w:sz w:val="20"/>
          <w:szCs w:val="20"/>
          <w:color w:val="auto"/>
        </w:rPr>
        <w:tab/>
      </w:r>
      <w:r>
        <w:rPr>
          <w:rFonts w:ascii="Arial" w:cs="Arial" w:eastAsia="Arial" w:hAnsi="Arial"/>
          <w:sz w:val="17"/>
          <w:szCs w:val="17"/>
          <w:color w:val="auto"/>
        </w:rPr>
        <w:t>+852 9718 8740</w:t>
      </w:r>
    </w:p>
    <w:p>
      <w:pPr>
        <w:spacing w:after="0" w:line="13"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Email:</w:t>
      </w:r>
      <w:r>
        <w:rPr>
          <w:sz w:val="20"/>
          <w:szCs w:val="20"/>
          <w:color w:val="auto"/>
        </w:rPr>
        <w:tab/>
      </w:r>
      <w:r>
        <w:rPr>
          <w:rFonts w:ascii="Arial" w:cs="Arial" w:eastAsia="Arial" w:hAnsi="Arial"/>
          <w:sz w:val="17"/>
          <w:szCs w:val="17"/>
          <w:color w:val="auto"/>
        </w:rPr>
        <w:t>rthorp@tta.lawyer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iClick Interactive Asia Group Limited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15/F Prosperity Millennia Plaza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663 King’s Road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Quarry Bay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Hong Kong S.A.R.</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 April 2020</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Dear Sirs,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acted as legal advisers as to the laws of the Cayman Islands to iClick Interactive Asia Group Limited, a Cayman Islands exempted company incorporated with limited liability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filing by the Company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of an annual report on Form 20-F for the year ended 31 December 2019 (“</w:t>
      </w:r>
      <w:r>
        <w:rPr>
          <w:rFonts w:ascii="Arial" w:cs="Arial" w:eastAsia="Arial" w:hAnsi="Arial"/>
          <w:sz w:val="17"/>
          <w:szCs w:val="17"/>
          <w:b w:val="1"/>
          <w:bCs w:val="1"/>
          <w:color w:val="auto"/>
        </w:rPr>
        <w:t>Form 20-F</w:t>
      </w:r>
      <w:r>
        <w:rPr>
          <w:rFonts w:ascii="Arial" w:cs="Arial" w:eastAsia="Arial" w:hAnsi="Arial"/>
          <w:sz w:val="17"/>
          <w:szCs w:val="17"/>
          <w:color w:val="auto"/>
        </w:rPr>
        <w:t>”).</w:t>
      </w:r>
    </w:p>
    <w:p>
      <w:pPr>
        <w:spacing w:after="0" w:line="173"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We hereby consent to the reference of our name under the headings, “Item 10.E Additional Information—Taxation—Cayman Islands Taxation” in the Form 20-F, and further consent to the incorporation by reference of the summaries of our opinions under these captions into iClick Interactive Asia Group Limited’s registration statement on Form S-8 (File No. 333-225568) that was filed on 12 June 2018 and Form S-8 (File No. 333- 227747) that was filed on 9 October 2018.</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 Travers Thorp Alberga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35687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3568700" cy="8255"/>
                    </a:xfrm>
                    <a:prstGeom prst="rect">
                      <a:avLst/>
                    </a:prstGeom>
                    <a:noFill/>
                  </pic:spPr>
                </pic:pic>
              </a:graphicData>
            </a:graphic>
          </wp:anchor>
        </w:drawing>
        <w:drawing>
          <wp:anchor simplePos="0" relativeHeight="251657728" behindDoc="1" locked="0" layoutInCell="0" allowOverlap="1">
            <wp:simplePos x="0" y="0"/>
            <wp:positionH relativeFrom="column">
              <wp:posOffset>5041900</wp:posOffset>
            </wp:positionH>
            <wp:positionV relativeFrom="paragraph">
              <wp:posOffset>148590</wp:posOffset>
            </wp:positionV>
            <wp:extent cx="2098040" cy="7105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2098040" cy="7105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7"/>
          <w:szCs w:val="17"/>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151765</wp:posOffset>
            </wp:positionV>
            <wp:extent cx="3824605" cy="13131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3824605" cy="131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April 30, 2020</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iClick Interactive Asia Group Limited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15/F, Prosperity Millennia Plaza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663 King’s Road, Quarry Bay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Hong Kong S.A.R., People’s Republic of China</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Dear Sir/Madam:</w:t>
      </w:r>
    </w:p>
    <w:p>
      <w:pPr>
        <w:spacing w:after="0" w:line="22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We consent to the reference to our firm under the headings “Item 3. Key Information—D. Risk Factors—Risks Related to Our Corporate Structure” “Item 4. Information On the Company—B. Business Overview—Regulation—Regulations on Foreign-related Surveys Measures” “Item 4. Information On the Company —C. Organizational Structure” in the Annual Report of iClick Interactive Asia Group Limited on Form 20-F for the year ended December 31, 2019, which will be filed with the Securities and Exchange Commission in the month of April 2020.</w:t>
      </w:r>
    </w:p>
    <w:p>
      <w:pPr>
        <w:spacing w:after="0" w:line="17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568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Jingtian &amp; Gongcheng</w:t>
      </w:r>
    </w:p>
    <w:p>
      <w:pPr>
        <w:sectPr>
          <w:pgSz w:w="11900" w:h="16838" w:orient="portrait"/>
          <w:cols w:equalWidth="0" w:num="1">
            <w:col w:w="11240"/>
          </w:cols>
          <w:pgMar w:left="320" w:top="121"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7"/>
          <w:szCs w:val="17"/>
          <w:b w:val="1"/>
          <w:bCs w:val="1"/>
          <w:color w:val="auto"/>
        </w:rPr>
        <w:t>Exhibit 15.3</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92"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333-225568, and No. 333-227747) of iClick Interactive Asia Group Limited of our report dated April 30, 2020 relating to the consolidated financial statements, which appears in this Form 20-F.</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April 30,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lvl w:ilvl="1">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1."/>
      <w:numFmt w:val="upperLetter"/>
      <w:start w:val="1"/>
    </w:lvl>
  </w:abstractNum>
  <w:abstractNum w:abstractNumId="14">
    <w:nsid w:val="69E7F3E5"/>
    <w:multiLevelType w:val="hybridMultilevel"/>
    <w:lvl w:ilvl="0">
      <w:lvlJc w:val="left"/>
      <w:lvlText w:val="(%1)"/>
      <w:numFmt w:val="decimal"/>
      <w:start w:val="1"/>
    </w:lvl>
  </w:abstractNum>
  <w:abstractNum w:abstractNumId="15">
    <w:nsid w:val="2A6DE806"/>
    <w:multiLevelType w:val="hybridMultilevel"/>
    <w:lvl w:ilvl="0">
      <w:lvlJc w:val="left"/>
      <w:lvlText w:val="%1"/>
      <w:numFmt w:val="upperLetter"/>
      <w:start w:val="1"/>
    </w:lvl>
    <w:lvl w:ilvl="1">
      <w:lvlJc w:val="left"/>
      <w:lvlText w:val="(%2)"/>
      <w:numFmt w:val="decimal"/>
      <w:start w:val="3"/>
    </w:lvl>
  </w:abstractNum>
  <w:abstractNum w:abstractNumId="16">
    <w:nsid w:val="1816F8C4"/>
    <w:multiLevelType w:val="hybridMultilevel"/>
    <w:lvl w:ilvl="0">
      <w:lvlJc w:val="left"/>
      <w:lvlText w:val="%1."/>
      <w:numFmt w:val="upperLetter"/>
      <w:start w:val="2"/>
    </w:lvl>
    <w:lvl w:ilvl="1">
      <w:lvlJc w:val="left"/>
      <w:lvlText w:val="%2"/>
      <w:numFmt w:val="decimal"/>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
      <w:numFmt w:val="bullet"/>
      <w:start w:val="1"/>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
      <w:numFmt w:val="bullet"/>
      <w:start w:val="1"/>
    </w:lvl>
  </w:abstractNum>
  <w:abstractNum w:abstractNumId="24">
    <w:nsid w:val="312167AD"/>
    <w:multiLevelType w:val="hybridMultilevel"/>
    <w:lvl w:ilvl="0">
      <w:lvlJc w:val="left"/>
      <w:lvlText w:val="•"/>
      <w:numFmt w:val="bullet"/>
      <w:start w:val="1"/>
    </w:lvl>
  </w:abstractNum>
  <w:abstractNum w:abstractNumId="25">
    <w:nsid w:val="631B64D4"/>
    <w:multiLevelType w:val="hybridMultilevel"/>
    <w:lvl w:ilvl="0">
      <w:lvlJc w:val="left"/>
      <w:lvlText w:val="•"/>
      <w:numFmt w:val="bullet"/>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1."/>
      <w:numFmt w:val="upperLetter"/>
      <w:start w:val="1"/>
    </w:lvl>
  </w:abstractNum>
  <w:abstractNum w:abstractNumId="29">
    <w:nsid w:val="1A0DDE32"/>
    <w:multiLevelType w:val="hybridMultilevel"/>
    <w:lvl w:ilvl="0">
      <w:lvlJc w:val="left"/>
      <w:lvlText w:val="%1."/>
      <w:numFmt w:val="upperLetter"/>
      <w:start w:val="2"/>
    </w:lvl>
  </w:abstractNum>
  <w:abstractNum w:abstractNumId="30">
    <w:nsid w:val="65968C1C"/>
    <w:multiLevelType w:val="hybridMultilevel"/>
    <w:lvl w:ilvl="0">
      <w:lvlJc w:val="left"/>
      <w:lvlText w:val="•"/>
      <w:numFmt w:val="bullet"/>
      <w:start w:val="1"/>
    </w:lvl>
  </w:abstractNum>
  <w:abstractNum w:abstractNumId="31">
    <w:nsid w:val="46263DEC"/>
    <w:multiLevelType w:val="hybridMultilevel"/>
    <w:lvl w:ilvl="0">
      <w:lvlJc w:val="left"/>
      <w:lvlText w:val="•"/>
      <w:numFmt w:val="bullet"/>
      <w:start w:val="1"/>
    </w:lvl>
  </w:abstractNum>
  <w:abstractNum w:abstractNumId="32">
    <w:nsid w:val="260D8C4A"/>
    <w:multiLevelType w:val="hybridMultilevel"/>
    <w:lvl w:ilvl="0">
      <w:lvlJc w:val="left"/>
      <w:lvlText w:val="•"/>
      <w:numFmt w:val="bullet"/>
      <w:start w:val="1"/>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
      <w:numFmt w:val="bullet"/>
      <w:start w:val="1"/>
    </w:lvl>
  </w:abstractNum>
  <w:abstractNum w:abstractNumId="35">
    <w:nsid w:val="6FDE8AF6"/>
    <w:multiLevelType w:val="hybridMultilevel"/>
    <w:lvl w:ilvl="0">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
      <w:numFmt w:val="bullet"/>
      <w:start w:val="1"/>
    </w:lvl>
  </w:abstractNum>
  <w:abstractNum w:abstractNumId="38">
    <w:nsid w:val="14D53685"/>
    <w:multiLevelType w:val="hybridMultilevel"/>
    <w:lvl w:ilvl="0">
      <w:lvlJc w:val="left"/>
      <w:lvlText w:val="•"/>
      <w:numFmt w:val="bullet"/>
      <w:start w:val="1"/>
    </w:lvl>
  </w:abstractNum>
  <w:abstractNum w:abstractNumId="39">
    <w:nsid w:val="230F856C"/>
    <w:multiLevelType w:val="hybridMultilevel"/>
    <w:lvl w:ilvl="0">
      <w:lvlJc w:val="left"/>
      <w:lvlText w:val="•"/>
      <w:numFmt w:val="bullet"/>
      <w:start w:val="1"/>
    </w:lvl>
  </w:abstractNum>
  <w:abstractNum w:abstractNumId="40">
    <w:nsid w:val="6EAA85FB"/>
    <w:multiLevelType w:val="hybridMultilevel"/>
    <w:lvl w:ilvl="0">
      <w:lvlJc w:val="left"/>
      <w:lvlText w:val="•"/>
      <w:numFmt w:val="bullet"/>
      <w:start w:val="1"/>
    </w:lvl>
  </w:abstractNum>
  <w:abstractNum w:abstractNumId="41">
    <w:nsid w:val="3F06ECB2"/>
    <w:multiLevelType w:val="hybridMultilevel"/>
    <w:lvl w:ilvl="0">
      <w:lvlJc w:val="left"/>
      <w:lvlText w:val="•"/>
      <w:numFmt w:val="bullet"/>
      <w:start w:val="1"/>
    </w:lvl>
  </w:abstractNum>
  <w:abstractNum w:abstractNumId="42">
    <w:nsid w:val="3B594807"/>
    <w:multiLevelType w:val="hybridMultilevel"/>
    <w:lvl w:ilvl="0">
      <w:lvlJc w:val="left"/>
      <w:lvlText w:val="•"/>
      <w:numFmt w:val="bullet"/>
      <w:start w:val="1"/>
    </w:lvl>
  </w:abstractNum>
  <w:abstractNum w:abstractNumId="43">
    <w:nsid w:val="6CAA2304"/>
    <w:multiLevelType w:val="hybridMultilevel"/>
    <w:lvl w:ilvl="0">
      <w:lvlJc w:val="left"/>
      <w:lvlText w:val="%1."/>
      <w:numFmt w:val="upperLetter"/>
      <w:start w:val="3"/>
    </w:lvl>
  </w:abstractNum>
  <w:abstractNum w:abstractNumId="44">
    <w:nsid w:val="3F7C2FF4"/>
    <w:multiLevelType w:val="hybridMultilevel"/>
    <w:lvl w:ilvl="0">
      <w:lvlJc w:val="left"/>
      <w:lvlText w:val="(%1)"/>
      <w:numFmt w:val="decimal"/>
      <w:start w:val="1"/>
    </w:lvl>
  </w:abstractNum>
  <w:abstractNum w:abstractNumId="45">
    <w:nsid w:val="25413BEC"/>
    <w:multiLevelType w:val="hybridMultilevel"/>
    <w:lvl w:ilvl="0">
      <w:lvlJc w:val="left"/>
      <w:lvlText w:val="•"/>
      <w:numFmt w:val="bullet"/>
      <w:start w:val="1"/>
    </w:lvl>
  </w:abstractNum>
  <w:abstractNum w:abstractNumId="46">
    <w:nsid w:val="17180B0B"/>
    <w:multiLevelType w:val="hybridMultilevel"/>
    <w:lvl w:ilvl="0">
      <w:lvlJc w:val="left"/>
      <w:lvlText w:val="•"/>
      <w:numFmt w:val="bullet"/>
      <w:start w:val="1"/>
    </w:lvl>
  </w:abstractNum>
  <w:abstractNum w:abstractNumId="47">
    <w:nsid w:val="579328B9"/>
    <w:multiLevelType w:val="hybridMultilevel"/>
    <w:lvl w:ilvl="0">
      <w:lvlJc w:val="left"/>
      <w:lvlText w:val="•"/>
      <w:numFmt w:val="bullet"/>
      <w:start w:val="1"/>
    </w:lvl>
  </w:abstractNum>
  <w:abstractNum w:abstractNumId="48">
    <w:nsid w:val="5D205E20"/>
    <w:multiLevelType w:val="hybridMultilevel"/>
    <w:lvl w:ilvl="0">
      <w:lvlJc w:val="left"/>
      <w:lvlText w:val="%1."/>
      <w:numFmt w:val="upperLetter"/>
      <w:start w:val="4"/>
    </w:lvl>
  </w:abstractNum>
  <w:abstractNum w:abstractNumId="49">
    <w:nsid w:val="11CCA8BA"/>
    <w:multiLevelType w:val="hybridMultilevel"/>
    <w:lvl w:ilvl="0">
      <w:lvlJc w:val="left"/>
      <w:lvlText w:val="%1."/>
      <w:numFmt w:val="upperLetter"/>
      <w:start w:val="1"/>
    </w:lvl>
  </w:abstractNum>
  <w:abstractNum w:abstractNumId="50">
    <w:nsid w:val="4D32AB86"/>
    <w:multiLevelType w:val="hybridMultilevel"/>
    <w:lvl w:ilvl="0">
      <w:lvlJc w:val="left"/>
      <w:lvlText w:val="•"/>
      <w:numFmt w:val="bullet"/>
      <w:start w:val="1"/>
    </w:lvl>
  </w:abstractNum>
  <w:abstractNum w:abstractNumId="51">
    <w:nsid w:val="3F07ACC3"/>
    <w:multiLevelType w:val="hybridMultilevel"/>
    <w:lvl w:ilvl="0">
      <w:lvlJc w:val="left"/>
      <w:lvlText w:val="•"/>
      <w:numFmt w:val="bullet"/>
      <w:start w:val="1"/>
    </w:lvl>
  </w:abstractNum>
  <w:abstractNum w:abstractNumId="52">
    <w:nsid w:val="6B47F63E"/>
    <w:multiLevelType w:val="hybridMultilevel"/>
    <w:lvl w:ilvl="0">
      <w:lvlJc w:val="left"/>
      <w:lvlText w:val="(%1)"/>
      <w:numFmt w:val="lowerRoman"/>
      <w:start w:val="1"/>
    </w:lvl>
  </w:abstractNum>
  <w:abstractNum w:abstractNumId="53">
    <w:nsid w:val="5CB44A05"/>
    <w:multiLevelType w:val="hybridMultilevel"/>
    <w:lvl w:ilvl="0">
      <w:lvlJc w:val="left"/>
      <w:lvlText w:val="•"/>
      <w:numFmt w:val="bullet"/>
      <w:start w:val="1"/>
    </w:lvl>
  </w:abstractNum>
  <w:abstractNum w:abstractNumId="54">
    <w:nsid w:val="16CF80F1"/>
    <w:multiLevelType w:val="hybridMultilevel"/>
    <w:lvl w:ilvl="0">
      <w:lvlJc w:val="left"/>
      <w:lvlText w:val="(%1)"/>
      <w:numFmt w:val="decimal"/>
      <w:start w:val="1"/>
    </w:lvl>
  </w:abstractNum>
  <w:abstractNum w:abstractNumId="55">
    <w:nsid w:val="1C695DEC"/>
    <w:multiLevelType w:val="hybridMultilevel"/>
    <w:lvl w:ilvl="0">
      <w:lvlJc w:val="left"/>
      <w:lvlText w:val="(%1)"/>
      <w:numFmt w:val="decimal"/>
      <w:start w:val="6"/>
    </w:lvl>
  </w:abstractNum>
  <w:abstractNum w:abstractNumId="56">
    <w:nsid w:val="3FCFAED9"/>
    <w:multiLevelType w:val="hybridMultilevel"/>
    <w:lvl w:ilvl="0">
      <w:lvlJc w:val="left"/>
      <w:lvlText w:val="(%1)"/>
      <w:numFmt w:val="decimal"/>
      <w:start w:val="1"/>
    </w:lvl>
  </w:abstractNum>
  <w:abstractNum w:abstractNumId="57">
    <w:nsid w:val="F856867"/>
    <w:multiLevelType w:val="hybridMultilevel"/>
    <w:lvl w:ilvl="0">
      <w:lvlJc w:val="left"/>
      <w:lvlText w:val="(%1)"/>
      <w:numFmt w:val="decimal"/>
      <w:start w:val="1"/>
    </w:lvl>
  </w:abstractNum>
  <w:abstractNum w:abstractNumId="58">
    <w:nsid w:val="11B1CC33"/>
    <w:multiLevelType w:val="hybridMultilevel"/>
    <w:lvl w:ilvl="0">
      <w:lvlJc w:val="left"/>
      <w:lvlText w:val="(%1)"/>
      <w:numFmt w:val="decimal"/>
      <w:start w:val="1"/>
    </w:lvl>
  </w:abstractNum>
  <w:abstractNum w:abstractNumId="59">
    <w:nsid w:val="2E22FBB7"/>
    <w:multiLevelType w:val="hybridMultilevel"/>
    <w:lvl w:ilvl="0">
      <w:lvlJc w:val="left"/>
      <w:lvlText w:val="(%1)"/>
      <w:numFmt w:val="decimal"/>
      <w:start w:val="1"/>
    </w:lvl>
  </w:abstractNum>
  <w:abstractNum w:abstractNumId="60">
    <w:nsid w:val="29934699"/>
    <w:multiLevelType w:val="hybridMultilevel"/>
    <w:lvl w:ilvl="0">
      <w:lvlJc w:val="left"/>
      <w:lvlText w:val="•"/>
      <w:numFmt w:val="bullet"/>
      <w:start w:val="1"/>
    </w:lvl>
  </w:abstractNum>
  <w:abstractNum w:abstractNumId="61">
    <w:nsid w:val="77485850"/>
    <w:multiLevelType w:val="hybridMultilevel"/>
    <w:lvl w:ilvl="0">
      <w:lvlJc w:val="left"/>
      <w:lvlText w:val="(%1)"/>
      <w:numFmt w:val="decimal"/>
      <w:start w:val="1"/>
    </w:lvl>
  </w:abstractNum>
  <w:abstractNum w:abstractNumId="62">
    <w:nsid w:val="744939A3"/>
    <w:multiLevelType w:val="hybridMultilevel"/>
    <w:lvl w:ilvl="0">
      <w:lvlJc w:val="left"/>
      <w:lvlText w:val="•"/>
      <w:numFmt w:val="bullet"/>
      <w:start w:val="1"/>
    </w:lvl>
  </w:abstractNum>
  <w:abstractNum w:abstractNumId="63">
    <w:nsid w:val="4FA0D2E3"/>
    <w:multiLevelType w:val="hybridMultilevel"/>
    <w:lvl w:ilvl="0">
      <w:lvlJc w:val="left"/>
      <w:lvlText w:val="•"/>
      <w:numFmt w:val="bullet"/>
      <w:start w:val="1"/>
    </w:lvl>
  </w:abstractNum>
  <w:abstractNum w:abstractNumId="64">
    <w:nsid w:val="6B1D2C14"/>
    <w:multiLevelType w:val="hybridMultilevel"/>
    <w:lvl w:ilvl="0">
      <w:lvlJc w:val="left"/>
      <w:lvlText w:val="•"/>
      <w:numFmt w:val="bullet"/>
      <w:start w:val="1"/>
    </w:lvl>
  </w:abstractNum>
  <w:abstractNum w:abstractNumId="65">
    <w:nsid w:val="68B867D3"/>
    <w:multiLevelType w:val="hybridMultilevel"/>
    <w:lvl w:ilvl="0">
      <w:lvlJc w:val="left"/>
      <w:lvlText w:val="•"/>
      <w:numFmt w:val="bullet"/>
      <w:start w:val="1"/>
    </w:lvl>
  </w:abstractNum>
  <w:abstractNum w:abstractNumId="66">
    <w:nsid w:val="3F7F5DD9"/>
    <w:multiLevelType w:val="hybridMultilevel"/>
    <w:lvl w:ilvl="0">
      <w:lvlJc w:val="left"/>
      <w:lvlText w:val="%1."/>
      <w:numFmt w:val="upperLetter"/>
      <w:start w:val="2"/>
    </w:lvl>
  </w:abstractNum>
  <w:abstractNum w:abstractNumId="67">
    <w:nsid w:val="2AE05A34"/>
    <w:multiLevelType w:val="hybridMultilevel"/>
    <w:lvl w:ilvl="0">
      <w:lvlJc w:val="left"/>
      <w:lvlText w:val="(%1)"/>
      <w:numFmt w:val="lowerRoman"/>
      <w:start w:val="2"/>
    </w:lvl>
  </w:abstractNum>
  <w:abstractNum w:abstractNumId="68">
    <w:nsid w:val="32794FF7"/>
    <w:multiLevelType w:val="hybridMultilevel"/>
    <w:lvl w:ilvl="0">
      <w:lvlJc w:val="left"/>
      <w:lvlText w:val="%1."/>
      <w:numFmt w:val="upperLetter"/>
      <w:start w:val="3"/>
    </w:lvl>
  </w:abstractNum>
  <w:abstractNum w:abstractNumId="69">
    <w:nsid w:val="5454945E"/>
    <w:multiLevelType w:val="hybridMultilevel"/>
    <w:lvl w:ilvl="0">
      <w:lvlJc w:val="left"/>
      <w:lvlText w:val="%1."/>
      <w:numFmt w:val="upperLetter"/>
      <w:start w:val="5"/>
    </w:lvl>
  </w:abstractNum>
  <w:abstractNum w:abstractNumId="70">
    <w:nsid w:val="4DEFDFA0"/>
    <w:multiLevelType w:val="hybridMultilevel"/>
    <w:lvl w:ilvl="0">
      <w:lvlJc w:val="left"/>
      <w:lvlText w:val="%1."/>
      <w:numFmt w:val="upperLetter"/>
      <w:start w:val="6"/>
    </w:lvl>
  </w:abstractNum>
  <w:abstractNum w:abstractNumId="71">
    <w:nsid w:val="2123D5F2"/>
    <w:multiLevelType w:val="hybridMultilevel"/>
    <w:lvl w:ilvl="0">
      <w:lvlJc w:val="left"/>
      <w:lvlText w:val="%1"/>
      <w:numFmt w:val="upperLetter"/>
      <w:start w:val="1"/>
    </w:lvl>
    <w:lvl w:ilvl="1">
      <w:lvlJc w:val="left"/>
      <w:lvlText w:val="(%2)"/>
      <w:numFmt w:val="decimal"/>
      <w:start w:val="1"/>
    </w:lvl>
  </w:abstractNum>
  <w:abstractNum w:abstractNumId="72">
    <w:nsid w:val="135B8110"/>
    <w:multiLevelType w:val="hybridMultilevel"/>
    <w:lvl w:ilvl="0">
      <w:lvlJc w:val="left"/>
      <w:lvlText w:val="%1."/>
      <w:numFmt w:val="upperLetter"/>
      <w:start w:val="7"/>
    </w:lvl>
    <w:lvl w:ilvl="1">
      <w:lvlJc w:val="left"/>
      <w:lvlText w:val="%2"/>
      <w:numFmt w:val="decimal"/>
      <w:start w:val="1"/>
    </w:lvl>
  </w:abstractNum>
  <w:abstractNum w:abstractNumId="73">
    <w:nsid w:val="94927A8"/>
    <w:multiLevelType w:val="hybridMultilevel"/>
    <w:lvl w:ilvl="0">
      <w:lvlJc w:val="left"/>
      <w:lvlText w:val="%1."/>
      <w:numFmt w:val="upperLetter"/>
      <w:start w:val="1"/>
    </w:lvl>
  </w:abstractNum>
  <w:abstractNum w:abstractNumId="74">
    <w:nsid w:val="DCDF8F6"/>
    <w:multiLevelType w:val="hybridMultilevel"/>
    <w:lvl w:ilvl="0">
      <w:lvlJc w:val="left"/>
      <w:lvlText w:val="%1."/>
      <w:numFmt w:val="upperLetter"/>
      <w:start w:val="2"/>
    </w:lvl>
  </w:abstractNum>
  <w:abstractNum w:abstractNumId="75">
    <w:nsid w:val="52D7B105"/>
    <w:multiLevelType w:val="hybridMultilevel"/>
    <w:lvl w:ilvl="0">
      <w:lvlJc w:val="left"/>
      <w:lvlText w:val="*"/>
      <w:numFmt w:val="bullet"/>
      <w:start w:val="1"/>
    </w:lvl>
  </w:abstractNum>
  <w:abstractNum w:abstractNumId="76">
    <w:nsid w:val="2E8A6394"/>
    <w:multiLevelType w:val="hybridMultilevel"/>
    <w:lvl w:ilvl="0">
      <w:lvlJc w:val="left"/>
      <w:lvlText w:val="%1."/>
      <w:numFmt w:val="upperLetter"/>
      <w:start w:val="3"/>
    </w:lvl>
  </w:abstractNum>
  <w:abstractNum w:abstractNumId="77">
    <w:nsid w:val="24E60401"/>
    <w:multiLevelType w:val="hybridMultilevel"/>
    <w:lvl w:ilvl="0">
      <w:lvlJc w:val="left"/>
      <w:lvlText w:val="•"/>
      <w:numFmt w:val="bullet"/>
      <w:start w:val="1"/>
    </w:lvl>
  </w:abstractNum>
  <w:abstractNum w:abstractNumId="78">
    <w:nsid w:val="2A6AD9BE"/>
    <w:multiLevelType w:val="hybridMultilevel"/>
    <w:lvl w:ilvl="0">
      <w:lvlJc w:val="left"/>
      <w:lvlText w:val="•"/>
      <w:numFmt w:val="bullet"/>
      <w:start w:val="1"/>
    </w:lvl>
  </w:abstractNum>
  <w:abstractNum w:abstractNumId="79">
    <w:nsid w:val="BAAC1B4"/>
    <w:multiLevelType w:val="hybridMultilevel"/>
    <w:lvl w:ilvl="0">
      <w:lvlJc w:val="left"/>
      <w:lvlText w:val="•"/>
      <w:numFmt w:val="bullet"/>
      <w:start w:val="1"/>
    </w:lvl>
  </w:abstractNum>
  <w:abstractNum w:abstractNumId="80">
    <w:nsid w:val="36B2ACBC"/>
    <w:multiLevelType w:val="hybridMultilevel"/>
    <w:lvl w:ilvl="0">
      <w:lvlJc w:val="left"/>
      <w:lvlText w:val="•"/>
      <w:numFmt w:val="bullet"/>
      <w:start w:val="1"/>
    </w:lvl>
  </w:abstractNum>
  <w:abstractNum w:abstractNumId="81">
    <w:nsid w:val="779D8544"/>
    <w:multiLevelType w:val="hybridMultilevel"/>
    <w:lvl w:ilvl="0">
      <w:lvlJc w:val="left"/>
      <w:lvlText w:val="%1."/>
      <w:numFmt w:val="upperLetter"/>
      <w:start w:val="4"/>
    </w:lvl>
  </w:abstractNum>
  <w:abstractNum w:abstractNumId="82">
    <w:nsid w:val="4AB26E78"/>
    <w:multiLevelType w:val="hybridMultilevel"/>
    <w:lvl w:ilvl="0">
      <w:lvlJc w:val="left"/>
      <w:lvlText w:val="%1."/>
      <w:numFmt w:val="upperLetter"/>
      <w:start w:val="5"/>
    </w:lvl>
    <w:lvl w:ilvl="1">
      <w:lvlJc w:val="left"/>
      <w:lvlText w:val="•"/>
      <w:numFmt w:val="bullet"/>
      <w:start w:val="1"/>
    </w:lvl>
  </w:abstractNum>
  <w:abstractNum w:abstractNumId="83">
    <w:nsid w:val="21FAA2FA"/>
    <w:multiLevelType w:val="hybridMultilevel"/>
    <w:lvl w:ilvl="0">
      <w:lvlJc w:val="left"/>
      <w:lvlText w:val="(%1)"/>
      <w:numFmt w:val="lowerRoman"/>
      <w:start w:val="1"/>
    </w:lvl>
  </w:abstractNum>
  <w:abstractNum w:abstractNumId="84">
    <w:nsid w:val="5451CF49"/>
    <w:multiLevelType w:val="hybridMultilevel"/>
    <w:lvl w:ilvl="0">
      <w:lvlJc w:val="left"/>
      <w:lvlText w:val="†"/>
      <w:numFmt w:val="bullet"/>
      <w:start w:val="1"/>
    </w:lvl>
  </w:abstractNum>
  <w:abstractNum w:abstractNumId="85">
    <w:nsid w:val="6181EF69"/>
    <w:multiLevelType w:val="hybridMultilevel"/>
    <w:lvl w:ilvl="0">
      <w:lvlJc w:val="left"/>
      <w:lvlText w:val="(%1)"/>
      <w:numFmt w:val="decimal"/>
      <w:start w:val="1"/>
    </w:lvl>
  </w:abstractNum>
  <w:abstractNum w:abstractNumId="86">
    <w:nsid w:val="3E6400E6"/>
    <w:multiLevelType w:val="hybridMultilevel"/>
    <w:lvl w:ilvl="0">
      <w:lvlJc w:val="left"/>
      <w:lvlText w:val="(%1)"/>
      <w:numFmt w:val="decimal"/>
      <w:start w:val="2"/>
    </w:lvl>
  </w:abstractNum>
  <w:abstractNum w:abstractNumId="87">
    <w:nsid w:val="14217E23"/>
    <w:multiLevelType w:val="hybridMultilevel"/>
    <w:lvl w:ilvl="0">
      <w:lvlJc w:val="left"/>
      <w:lvlText w:val="%1."/>
      <w:numFmt w:val="upperLetter"/>
      <w:start w:val="1"/>
    </w:lvl>
  </w:abstractNum>
  <w:abstractNum w:abstractNumId="88">
    <w:nsid w:val="710757D0"/>
    <w:multiLevelType w:val="hybridMultilevel"/>
    <w:lvl w:ilvl="0">
      <w:lvlJc w:val="left"/>
      <w:lvlText w:val="%1."/>
      <w:numFmt w:val="upperLetter"/>
      <w:start w:val="3"/>
    </w:lvl>
  </w:abstractNum>
  <w:abstractNum w:abstractNumId="89">
    <w:nsid w:val="5015CD1A"/>
    <w:multiLevelType w:val="hybridMultilevel"/>
    <w:lvl w:ilvl="0">
      <w:lvlJc w:val="left"/>
      <w:lvlText w:val="%1."/>
      <w:numFmt w:val="upperLetter"/>
      <w:start w:val="1"/>
    </w:lvl>
  </w:abstractNum>
  <w:abstractNum w:abstractNumId="90">
    <w:nsid w:val="424479DA"/>
    <w:multiLevelType w:val="hybridMultilevel"/>
    <w:lvl w:ilvl="0">
      <w:lvlJc w:val="left"/>
      <w:lvlText w:val="%1."/>
      <w:numFmt w:val="upperLetter"/>
      <w:start w:val="2"/>
    </w:lvl>
  </w:abstractNum>
  <w:abstractNum w:abstractNumId="91">
    <w:nsid w:val="1A9A9E69"/>
    <w:multiLevelType w:val="hybridMultilevel"/>
    <w:lvl w:ilvl="0">
      <w:lvlJc w:val="left"/>
      <w:lvlText w:val="%1."/>
      <w:numFmt w:val="upperLetter"/>
      <w:start w:val="1"/>
    </w:lvl>
  </w:abstractNum>
  <w:abstractNum w:abstractNumId="92">
    <w:nsid w:val="475E256A"/>
    <w:multiLevelType w:val="hybridMultilevel"/>
    <w:lvl w:ilvl="0">
      <w:lvlJc w:val="left"/>
      <w:lvlText w:val="%1."/>
      <w:numFmt w:val="upperLetter"/>
      <w:start w:val="1"/>
    </w:lvl>
  </w:abstractNum>
  <w:abstractNum w:abstractNumId="93">
    <w:nsid w:val="368DB37E"/>
    <w:multiLevelType w:val="hybridMultilevel"/>
    <w:lvl w:ilvl="0">
      <w:lvlJc w:val="left"/>
      <w:lvlText w:val="(%1)"/>
      <w:numFmt w:val="lowerLetter"/>
      <w:start w:val="1"/>
    </w:lvl>
  </w:abstractNum>
  <w:abstractNum w:abstractNumId="94">
    <w:nsid w:val="6A3B714C"/>
    <w:multiLevelType w:val="hybridMultilevel"/>
    <w:lvl w:ilvl="0">
      <w:lvlJc w:val="left"/>
      <w:lvlText w:val="•"/>
      <w:numFmt w:val="bullet"/>
      <w:start w:val="1"/>
    </w:lvl>
  </w:abstractNum>
  <w:abstractNum w:abstractNumId="95">
    <w:nsid w:val="327B517E"/>
    <w:multiLevelType w:val="hybridMultilevel"/>
    <w:lvl w:ilvl="0">
      <w:lvlJc w:val="left"/>
      <w:lvlText w:val="•"/>
      <w:numFmt w:val="bullet"/>
      <w:start w:val="1"/>
    </w:lvl>
  </w:abstractNum>
  <w:abstractNum w:abstractNumId="96">
    <w:nsid w:val="1F461B51"/>
    <w:multiLevelType w:val="hybridMultilevel"/>
    <w:lvl w:ilvl="0">
      <w:lvlJc w:val="left"/>
      <w:lvlText w:val="•"/>
      <w:numFmt w:val="bullet"/>
      <w:start w:val="1"/>
    </w:lvl>
  </w:abstractNum>
  <w:abstractNum w:abstractNumId="97">
    <w:nsid w:val="29BACF25"/>
    <w:multiLevelType w:val="hybridMultilevel"/>
    <w:lvl w:ilvl="0">
      <w:lvlJc w:val="left"/>
      <w:lvlText w:val="%1"/>
      <w:numFmt w:val="upperLetter"/>
      <w:start w:val="1"/>
    </w:lvl>
    <w:lvl w:ilvl="1">
      <w:lvlJc w:val="left"/>
      <w:lvlText w:val="•"/>
      <w:numFmt w:val="bullet"/>
      <w:start w:val="1"/>
    </w:lvl>
  </w:abstractNum>
  <w:abstractNum w:abstractNumId="98">
    <w:nsid w:val="5D5BABB3"/>
    <w:multiLevelType w:val="hybridMultilevel"/>
    <w:lvl w:ilvl="0">
      <w:lvlJc w:val="left"/>
      <w:lvlText w:val="%1."/>
      <w:numFmt w:val="upperLetter"/>
      <w:start w:val="4"/>
    </w:lvl>
  </w:abstractNum>
  <w:abstractNum w:abstractNumId="99">
    <w:nsid w:val="51BF6B48"/>
    <w:multiLevelType w:val="hybridMultilevel"/>
    <w:lvl w:ilvl="0">
      <w:lvlJc w:val="left"/>
      <w:lvlText w:val="%1."/>
      <w:numFmt w:val="upperLetter"/>
      <w:start w:val="5"/>
    </w:lvl>
  </w:abstractNum>
  <w:abstractNum w:abstractNumId="100">
    <w:nsid w:val="7E0F6384"/>
    <w:multiLevelType w:val="hybridMultilevel"/>
    <w:lvl w:ilvl="0">
      <w:lvlJc w:val="left"/>
      <w:lvlText w:val="•"/>
      <w:numFmt w:val="bullet"/>
      <w:start w:val="1"/>
    </w:lvl>
  </w:abstractNum>
  <w:abstractNum w:abstractNumId="101">
    <w:nsid w:val="2B4B8B53"/>
    <w:multiLevelType w:val="hybridMultilevel"/>
    <w:lvl w:ilvl="0">
      <w:lvlJc w:val="left"/>
      <w:lvlText w:val="•"/>
      <w:numFmt w:val="bullet"/>
      <w:start w:val="1"/>
    </w:lvl>
  </w:abstractNum>
  <w:abstractNum w:abstractNumId="102">
    <w:nsid w:val="72E3413A"/>
    <w:multiLevelType w:val="hybridMultilevel"/>
    <w:lvl w:ilvl="0">
      <w:lvlJc w:val="left"/>
      <w:lvlText w:val="%1."/>
      <w:numFmt w:val="upperLetter"/>
      <w:start w:val="6"/>
    </w:lvl>
  </w:abstractNum>
  <w:abstractNum w:abstractNumId="103">
    <w:nsid w:val="116AE494"/>
    <w:multiLevelType w:val="hybridMultilevel"/>
    <w:lvl w:ilvl="0">
      <w:lvlJc w:val="left"/>
      <w:lvlText w:val="%1."/>
      <w:numFmt w:val="upperLetter"/>
      <w:start w:val="9"/>
    </w:lvl>
  </w:abstractNum>
  <w:abstractNum w:abstractNumId="104">
    <w:nsid w:val="3494B2FB"/>
    <w:multiLevelType w:val="hybridMultilevel"/>
    <w:lvl w:ilvl="0">
      <w:lvlJc w:val="left"/>
      <w:lvlText w:val="%1."/>
      <w:numFmt w:val="upperLetter"/>
      <w:start w:val="1"/>
    </w:lvl>
  </w:abstractNum>
  <w:abstractNum w:abstractNumId="105">
    <w:nsid w:val="B13A31"/>
    <w:multiLevelType w:val="hybridMultilevel"/>
    <w:lvl w:ilvl="0">
      <w:lvlJc w:val="left"/>
      <w:lvlText w:val="•"/>
      <w:numFmt w:val="bullet"/>
      <w:start w:val="1"/>
    </w:lvl>
  </w:abstractNum>
  <w:abstractNum w:abstractNumId="106">
    <w:nsid w:val="64429599"/>
    <w:multiLevelType w:val="hybridMultilevel"/>
    <w:lvl w:ilvl="0">
      <w:lvlJc w:val="left"/>
      <w:lvlText w:val="•"/>
      <w:numFmt w:val="bullet"/>
      <w:start w:val="1"/>
    </w:lvl>
  </w:abstractNum>
  <w:abstractNum w:abstractNumId="107">
    <w:nsid w:val="631F1690"/>
    <w:multiLevelType w:val="hybridMultilevel"/>
    <w:lvl w:ilvl="0">
      <w:lvlJc w:val="left"/>
      <w:lvlText w:val="•"/>
      <w:numFmt w:val="bullet"/>
      <w:start w:val="1"/>
    </w:lvl>
  </w:abstractNum>
  <w:abstractNum w:abstractNumId="108">
    <w:nsid w:val="25973E32"/>
    <w:multiLevelType w:val="hybridMultilevel"/>
    <w:lvl w:ilvl="0">
      <w:lvlJc w:val="left"/>
      <w:lvlText w:val="(%1)"/>
      <w:numFmt w:val="decimal"/>
      <w:start w:val="1"/>
    </w:lvl>
  </w:abstractNum>
  <w:abstractNum w:abstractNumId="109">
    <w:nsid w:val="EAD6F57"/>
    <w:multiLevelType w:val="hybridMultilevel"/>
    <w:lvl w:ilvl="0">
      <w:lvlJc w:val="left"/>
      <w:lvlText w:val="(%1)"/>
      <w:numFmt w:val="decimal"/>
      <w:start w:val="1"/>
    </w:lvl>
  </w:abstractNum>
  <w:abstractNum w:abstractNumId="110">
    <w:nsid w:val="6EC9D844"/>
    <w:multiLevelType w:val="hybridMultilevel"/>
    <w:lvl w:ilvl="0">
      <w:lvlJc w:val="left"/>
      <w:lvlText w:val="•"/>
      <w:numFmt w:val="bullet"/>
      <w:start w:val="1"/>
    </w:lvl>
  </w:abstractNum>
  <w:abstractNum w:abstractNumId="111">
    <w:nsid w:val="5C49EAEE"/>
    <w:multiLevelType w:val="hybridMultilevel"/>
    <w:lvl w:ilvl="0">
      <w:lvlJc w:val="left"/>
      <w:lvlText w:val="*"/>
      <w:numFmt w:val="bullet"/>
      <w:start w:val="1"/>
    </w:lvl>
  </w:abstractNum>
  <w:abstractNum w:abstractNumId="112">
    <w:nsid w:val="64AF49B"/>
    <w:multiLevelType w:val="hybridMultilevel"/>
    <w:lvl w:ilvl="0">
      <w:lvlJc w:val="left"/>
      <w:lvlText w:val="**"/>
      <w:numFmt w:val="bullet"/>
      <w:start w:val="1"/>
    </w:lvl>
  </w:abstractNum>
  <w:abstractNum w:abstractNumId="113">
    <w:nsid w:val="397C46BC"/>
    <w:multiLevelType w:val="hybridMultilevel"/>
    <w:lvl w:ilvl="0">
      <w:lvlJc w:val="left"/>
      <w:lvlText w:val="1"/>
      <w:numFmt w:val="bullet"/>
      <w:start w:val="1"/>
    </w:lvl>
  </w:abstractNum>
  <w:abstractNum w:abstractNumId="114">
    <w:nsid w:val="7E448DE9"/>
    <w:multiLevelType w:val="hybridMultilevel"/>
    <w:lvl w:ilvl="0">
      <w:lvlJc w:val="left"/>
      <w:lvlText w:val="(%1)"/>
      <w:numFmt w:val="lowerLetter"/>
      <w:start w:val="1"/>
    </w:lvl>
  </w:abstractNum>
  <w:abstractNum w:abstractNumId="115">
    <w:nsid w:val="5A9CC3E5"/>
    <w:multiLevelType w:val="hybridMultilevel"/>
    <w:lvl w:ilvl="0">
      <w:lvlJc w:val="left"/>
      <w:lvlText w:val="1"/>
      <w:numFmt w:val="bullet"/>
      <w:start w:val="1"/>
    </w:lvl>
  </w:abstractNum>
  <w:abstractNum w:abstractNumId="116">
    <w:nsid w:val="1AFE3625"/>
    <w:multiLevelType w:val="hybridMultilevel"/>
    <w:lvl w:ilvl="0">
      <w:lvlJc w:val="left"/>
      <w:lvlText w:val="(%1)"/>
      <w:numFmt w:val="lowerLetter"/>
      <w:start w:val="1"/>
    </w:lvl>
  </w:abstractNum>
  <w:abstractNum w:abstractNumId="117">
    <w:nsid w:val="3CA88ECF"/>
    <w:multiLevelType w:val="hybridMultilevel"/>
    <w:lvl w:ilvl="0">
      <w:lvlJc w:val="left"/>
      <w:lvlText w:val="(%1)"/>
      <w:numFmt w:val="lowerRoman"/>
      <w:start w:val="1"/>
    </w:lvl>
    <w:lvl w:ilvl="1">
      <w:lvlJc w:val="left"/>
      <w:lvlText w:val="-"/>
      <w:numFmt w:val="bullet"/>
      <w:start w:val="1"/>
    </w:lvl>
  </w:abstractNum>
  <w:abstractNum w:abstractNumId="118">
    <w:nsid w:val="6EBE4208"/>
    <w:multiLevelType w:val="hybridMultilevel"/>
    <w:lvl w:ilvl="0">
      <w:lvlJc w:val="left"/>
      <w:lvlText w:val="1"/>
      <w:numFmt w:val="bullet"/>
      <w:start w:val="1"/>
    </w:lvl>
  </w:abstractNum>
  <w:abstractNum w:abstractNumId="119">
    <w:nsid w:val="C058DF5"/>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120">
    <w:nsid w:val="CBE5BE9"/>
    <w:multiLevelType w:val="hybridMultilevel"/>
    <w:lvl w:ilvl="0">
      <w:lvlJc w:val="left"/>
      <w:lvlText w:val="1"/>
      <w:numFmt w:val="bullet"/>
      <w:start w:val="1"/>
    </w:lvl>
  </w:abstractNum>
  <w:abstractNum w:abstractNumId="121">
    <w:nsid w:val="3102BBE2"/>
    <w:multiLevelType w:val="hybridMultilevel"/>
    <w:lvl w:ilvl="0">
      <w:lvlJc w:val="left"/>
      <w:lvlText w:val="(%1)"/>
      <w:numFmt w:val="lowerLetter"/>
      <w:start w:val="2"/>
    </w:lvl>
  </w:abstractNum>
  <w:abstractNum w:abstractNumId="122">
    <w:nsid w:val="26A02C5E"/>
    <w:multiLevelType w:val="hybridMultilevel"/>
    <w:lvl w:ilvl="0">
      <w:lvlJc w:val="left"/>
      <w:lvlText w:val="•"/>
      <w:numFmt w:val="bullet"/>
      <w:start w:val="1"/>
    </w:lvl>
  </w:abstractNum>
  <w:abstractNum w:abstractNumId="123">
    <w:nsid w:val="541C8153"/>
    <w:multiLevelType w:val="hybridMultilevel"/>
    <w:lvl w:ilvl="0">
      <w:lvlJc w:val="left"/>
      <w:lvlText w:val="1"/>
      <w:numFmt w:val="bullet"/>
      <w:start w:val="1"/>
    </w:lvl>
  </w:abstractNum>
  <w:abstractNum w:abstractNumId="124">
    <w:nsid w:val="67906F60"/>
    <w:multiLevelType w:val="hybridMultilevel"/>
    <w:lvl w:ilvl="0">
      <w:lvlJc w:val="left"/>
      <w:lvlText w:val="(%1)"/>
      <w:numFmt w:val="lowerLetter"/>
      <w:start w:val="3"/>
    </w:lvl>
  </w:abstractNum>
  <w:abstractNum w:abstractNumId="125">
    <w:nsid w:val="10DB9DAA"/>
    <w:multiLevelType w:val="hybridMultilevel"/>
    <w:lvl w:ilvl="0">
      <w:lvlJc w:val="left"/>
      <w:lvlText w:val="2"/>
      <w:numFmt w:val="bullet"/>
      <w:start w:val="1"/>
    </w:lvl>
  </w:abstractNum>
  <w:abstractNum w:abstractNumId="126">
    <w:nsid w:val="697D2D2"/>
    <w:multiLevelType w:val="hybridMultilevel"/>
    <w:lvl w:ilvl="0">
      <w:lvlJc w:val="left"/>
      <w:lvlText w:val="(%1)"/>
      <w:numFmt w:val="lowerLetter"/>
      <w:start w:val="1"/>
    </w:lvl>
    <w:lvl w:ilvl="1">
      <w:lvlJc w:val="left"/>
      <w:lvlText w:val="-"/>
      <w:numFmt w:val="bullet"/>
      <w:start w:val="1"/>
    </w:lvl>
  </w:abstractNum>
  <w:abstractNum w:abstractNumId="127">
    <w:nsid w:val="6D68AB2"/>
    <w:multiLevelType w:val="hybridMultilevel"/>
    <w:lvl w:ilvl="0">
      <w:lvlJc w:val="left"/>
      <w:lvlText w:val="2"/>
      <w:numFmt w:val="bullet"/>
      <w:start w:val="1"/>
    </w:lvl>
  </w:abstractNum>
  <w:abstractNum w:abstractNumId="128">
    <w:nsid w:val="3A966CD0"/>
    <w:multiLevelType w:val="hybridMultilevel"/>
    <w:lvl w:ilvl="0">
      <w:lvlJc w:val="left"/>
      <w:lvlText w:val="(%1)"/>
      <w:numFmt w:val="lowerLetter"/>
      <w:start w:val="3"/>
    </w:lvl>
    <w:lvl w:ilvl="1">
      <w:lvlJc w:val="left"/>
      <w:lvlText w:val="-"/>
      <w:numFmt w:val="bullet"/>
      <w:start w:val="1"/>
    </w:lvl>
  </w:abstractNum>
  <w:abstractNum w:abstractNumId="129">
    <w:nsid w:val="63F37E85"/>
    <w:multiLevelType w:val="hybridMultilevel"/>
    <w:lvl w:ilvl="0">
      <w:lvlJc w:val="left"/>
      <w:lvlText w:val="2"/>
      <w:numFmt w:val="bullet"/>
      <w:start w:val="1"/>
    </w:lvl>
  </w:abstractNum>
  <w:abstractNum w:abstractNumId="130">
    <w:nsid w:val="5895F5FA"/>
    <w:multiLevelType w:val="hybridMultilevel"/>
    <w:lvl w:ilvl="0">
      <w:lvlJc w:val="left"/>
      <w:lvlText w:val="(%1)"/>
      <w:numFmt w:val="lowerLetter"/>
      <w:start w:val="5"/>
    </w:lvl>
    <w:lvl w:ilvl="1">
      <w:lvlJc w:val="left"/>
      <w:lvlText w:val="•"/>
      <w:numFmt w:val="bullet"/>
      <w:start w:val="1"/>
    </w:lvl>
    <w:lvl w:ilvl="2">
      <w:lvlJc w:val="left"/>
      <w:lvlText w:val="-"/>
      <w:numFmt w:val="bullet"/>
      <w:start w:val="1"/>
    </w:lvl>
  </w:abstractNum>
  <w:abstractNum w:abstractNumId="131">
    <w:nsid w:val="38A5D054"/>
    <w:multiLevelType w:val="hybridMultilevel"/>
    <w:lvl w:ilvl="0">
      <w:lvlJc w:val="left"/>
      <w:lvlText w:val="2"/>
      <w:numFmt w:val="bullet"/>
      <w:start w:val="1"/>
    </w:lvl>
  </w:abstractNum>
  <w:abstractNum w:abstractNumId="132">
    <w:nsid w:val="F3F09D8"/>
    <w:multiLevelType w:val="hybridMultilevel"/>
    <w:lvl w:ilvl="0">
      <w:lvlJc w:val="left"/>
      <w:lvlText w:val="(%1)"/>
      <w:numFmt w:val="lowerLetter"/>
      <w:start w:val="7"/>
    </w:lvl>
    <w:lvl w:ilvl="1">
      <w:lvlJc w:val="left"/>
      <w:lvlText w:val="-"/>
      <w:numFmt w:val="bullet"/>
      <w:start w:val="1"/>
    </w:lvl>
  </w:abstractNum>
  <w:abstractNum w:abstractNumId="133">
    <w:nsid w:val="4B793735"/>
    <w:multiLevelType w:val="hybridMultilevel"/>
    <w:lvl w:ilvl="0">
      <w:lvlJc w:val="left"/>
      <w:lvlText w:val="2"/>
      <w:numFmt w:val="bullet"/>
      <w:start w:val="1"/>
    </w:lvl>
  </w:abstractNum>
  <w:abstractNum w:abstractNumId="134">
    <w:nsid w:val="4A10B4E8"/>
    <w:multiLevelType w:val="hybridMultilevel"/>
    <w:lvl w:ilvl="0">
      <w:lvlJc w:val="left"/>
      <w:lvlText w:val="(%1)"/>
      <w:numFmt w:val="lowerLetter"/>
      <w:start w:val="11"/>
    </w:lvl>
  </w:abstractNum>
  <w:abstractNum w:abstractNumId="135">
    <w:nsid w:val="43D3BCD4"/>
    <w:multiLevelType w:val="hybridMultilevel"/>
    <w:lvl w:ilvl="0">
      <w:lvlJc w:val="left"/>
      <w:lvlText w:val="2"/>
      <w:numFmt w:val="bullet"/>
      <w:start w:val="1"/>
    </w:lvl>
  </w:abstractNum>
  <w:abstractNum w:abstractNumId="136">
    <w:nsid w:val="4C2A7166"/>
    <w:multiLevelType w:val="hybridMultilevel"/>
    <w:lvl w:ilvl="0">
      <w:lvlJc w:val="left"/>
      <w:lvlText w:val="(%1)"/>
      <w:numFmt w:val="lowerLetter"/>
      <w:start w:val="14"/>
    </w:lvl>
  </w:abstractNum>
  <w:abstractNum w:abstractNumId="137">
    <w:nsid w:val="2E534A82"/>
    <w:multiLevelType w:val="hybridMultilevel"/>
    <w:lvl w:ilvl="0">
      <w:lvlJc w:val="left"/>
      <w:lvlText w:val="(%1)"/>
      <w:numFmt w:val="lowerLetter"/>
      <w:start w:val="16"/>
    </w:lvl>
    <w:lvl w:ilvl="1">
      <w:lvlJc w:val="left"/>
      <w:lvlText w:val="-"/>
      <w:numFmt w:val="bullet"/>
      <w:start w:val="1"/>
    </w:lvl>
  </w:abstractNum>
  <w:abstractNum w:abstractNumId="138">
    <w:nsid w:val="26F2D364"/>
    <w:multiLevelType w:val="hybridMultilevel"/>
    <w:lvl w:ilvl="0">
      <w:lvlJc w:val="left"/>
      <w:lvlText w:val="2"/>
      <w:numFmt w:val="bullet"/>
      <w:start w:val="1"/>
    </w:lvl>
  </w:abstractNum>
  <w:abstractNum w:abstractNumId="139">
    <w:nsid w:val="71C1AF98"/>
    <w:multiLevelType w:val="hybridMultilevel"/>
    <w:lvl w:ilvl="0">
      <w:lvlJc w:val="left"/>
      <w:lvlText w:val="(%1)"/>
      <w:numFmt w:val="lowerLetter"/>
      <w:start w:val="17"/>
    </w:lvl>
    <w:lvl w:ilvl="1">
      <w:lvlJc w:val="left"/>
      <w:lvlText w:val="-"/>
      <w:numFmt w:val="bullet"/>
      <w:start w:val="1"/>
    </w:lvl>
  </w:abstractNum>
  <w:abstractNum w:abstractNumId="140">
    <w:nsid w:val="3D00B9D9"/>
    <w:multiLevelType w:val="hybridMultilevel"/>
    <w:lvl w:ilvl="0">
      <w:lvlJc w:val="left"/>
      <w:lvlText w:val="2"/>
      <w:numFmt w:val="bullet"/>
      <w:start w:val="1"/>
    </w:lvl>
  </w:abstractNum>
  <w:abstractNum w:abstractNumId="141">
    <w:nsid w:val="15BCABA8"/>
    <w:multiLevelType w:val="hybridMultilevel"/>
    <w:lvl w:ilvl="0">
      <w:lvlJc w:val="left"/>
      <w:lvlText w:val="(%1)"/>
      <w:numFmt w:val="lowerLetter"/>
      <w:start w:val="19"/>
    </w:lvl>
    <w:lvl w:ilvl="1">
      <w:lvlJc w:val="left"/>
      <w:lvlText w:val="-"/>
      <w:numFmt w:val="bullet"/>
      <w:start w:val="1"/>
    </w:lvl>
  </w:abstractNum>
  <w:abstractNum w:abstractNumId="142">
    <w:nsid w:val="4E0B9A87"/>
    <w:multiLevelType w:val="hybridMultilevel"/>
    <w:lvl w:ilvl="0">
      <w:lvlJc w:val="left"/>
      <w:lvlText w:val="2"/>
      <w:numFmt w:val="bullet"/>
      <w:start w:val="1"/>
    </w:lvl>
  </w:abstractNum>
  <w:abstractNum w:abstractNumId="143">
    <w:nsid w:val="434BAE75"/>
    <w:multiLevelType w:val="hybridMultilevel"/>
    <w:lvl w:ilvl="0">
      <w:lvlJc w:val="left"/>
      <w:lvlText w:val="(%1)"/>
      <w:numFmt w:val="lowerLetter"/>
      <w:start w:val="23"/>
    </w:lvl>
  </w:abstractNum>
  <w:abstractNum w:abstractNumId="144">
    <w:nsid w:val="4F38F265"/>
    <w:multiLevelType w:val="hybridMultilevel"/>
    <w:lvl w:ilvl="0">
      <w:lvlJc w:val="left"/>
      <w:lvlText w:val="2"/>
      <w:numFmt w:val="bullet"/>
      <w:start w:val="1"/>
    </w:lvl>
  </w:abstractNum>
  <w:abstractNum w:abstractNumId="145">
    <w:nsid w:val="4C502870"/>
    <w:multiLevelType w:val="hybridMultilevel"/>
    <w:lvl w:ilvl="0">
      <w:lvlJc w:val="left"/>
      <w:lvlText w:val="(%1)"/>
      <w:numFmt w:val="lowerLetter"/>
      <w:start w:val="23"/>
    </w:lvl>
    <w:lvl w:ilvl="1">
      <w:lvlJc w:val="left"/>
      <w:lvlText w:val="-"/>
      <w:numFmt w:val="bullet"/>
      <w:start w:val="1"/>
    </w:lvl>
  </w:abstractNum>
  <w:abstractNum w:abstractNumId="146">
    <w:nsid w:val="1DE8725A"/>
    <w:multiLevelType w:val="hybridMultilevel"/>
    <w:lvl w:ilvl="0">
      <w:lvlJc w:val="left"/>
      <w:lvlText w:val="2"/>
      <w:numFmt w:val="bullet"/>
      <w:start w:val="1"/>
    </w:lvl>
  </w:abstractNum>
  <w:abstractNum w:abstractNumId="147">
    <w:nsid w:val="6A37288A"/>
    <w:multiLevelType w:val="hybridMultilevel"/>
    <w:lvl w:ilvl="0">
      <w:lvlJc w:val="left"/>
      <w:lvlText w:val="(%1)"/>
      <w:numFmt w:val="lowerLetter"/>
      <w:start w:val="23"/>
    </w:lvl>
    <w:lvl w:ilvl="1">
      <w:lvlJc w:val="left"/>
      <w:lvlText w:val="-"/>
      <w:numFmt w:val="bullet"/>
      <w:start w:val="1"/>
    </w:lvl>
  </w:abstractNum>
  <w:abstractNum w:abstractNumId="148">
    <w:nsid w:val="8F8B73F"/>
    <w:multiLevelType w:val="hybridMultilevel"/>
    <w:lvl w:ilvl="0">
      <w:lvlJc w:val="left"/>
      <w:lvlText w:val="2"/>
      <w:numFmt w:val="bullet"/>
      <w:start w:val="1"/>
    </w:lvl>
  </w:abstractNum>
  <w:abstractNum w:abstractNumId="149">
    <w:nsid w:val="CA6B462"/>
    <w:multiLevelType w:val="hybridMultilevel"/>
    <w:lvl w:ilvl="0">
      <w:lvlJc w:val="left"/>
      <w:lvlText w:val="(%1)"/>
      <w:numFmt w:val="lowerLetter"/>
      <w:start w:val="23"/>
    </w:lvl>
    <w:lvl w:ilvl="1">
      <w:lvlJc w:val="left"/>
      <w:lvlText w:val="-"/>
      <w:numFmt w:val="bullet"/>
      <w:start w:val="1"/>
    </w:lvl>
  </w:abstractNum>
  <w:abstractNum w:abstractNumId="150">
    <w:nsid w:val="763CB680"/>
    <w:multiLevelType w:val="hybridMultilevel"/>
    <w:lvl w:ilvl="0">
      <w:lvlJc w:val="left"/>
      <w:lvlText w:val="2"/>
      <w:numFmt w:val="bullet"/>
      <w:start w:val="1"/>
    </w:lvl>
  </w:abstractNum>
  <w:abstractNum w:abstractNumId="151">
    <w:nsid w:val="15B71329"/>
    <w:multiLevelType w:val="hybridMultilevel"/>
    <w:lvl w:ilvl="0">
      <w:lvlJc w:val="left"/>
      <w:lvlText w:val="(%1)"/>
      <w:numFmt w:val="lowerLetter"/>
      <w:start w:val="23"/>
    </w:lvl>
  </w:abstractNum>
  <w:abstractNum w:abstractNumId="152">
    <w:nsid w:val="3DA97044"/>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153">
    <w:nsid w:val="1CDCE2DE"/>
    <w:multiLevelType w:val="hybridMultilevel"/>
    <w:lvl w:ilvl="0">
      <w:lvlJc w:val="left"/>
      <w:lvlText w:val="(%1)"/>
      <w:numFmt w:val="lowerRoman"/>
      <w:start w:val="10"/>
    </w:lvl>
    <w:lvl w:ilvl="1">
      <w:lvlJc w:val="left"/>
      <w:lvlText w:val="%2"/>
      <w:numFmt w:val="lowerRoman"/>
      <w:start w:val="1"/>
    </w:lvl>
    <w:lvl w:ilvl="2">
      <w:lvlJc w:val="left"/>
      <w:lvlText w:val="-"/>
      <w:numFmt w:val="bullet"/>
      <w:start w:val="1"/>
    </w:lvl>
  </w:abstractNum>
  <w:abstractNum w:abstractNumId="154">
    <w:nsid w:val="69D3947C"/>
    <w:multiLevelType w:val="hybridMultilevel"/>
    <w:lvl w:ilvl="0">
      <w:lvlJc w:val="left"/>
      <w:lvlText w:val="2"/>
      <w:numFmt w:val="bullet"/>
      <w:start w:val="1"/>
    </w:lvl>
  </w:abstractNum>
  <w:abstractNum w:abstractNumId="155">
    <w:nsid w:val="2539DFA5"/>
    <w:multiLevelType w:val="hybridMultilevel"/>
    <w:lvl w:ilvl="0">
      <w:lvlJc w:val="left"/>
      <w:lvlText w:val="(%1)"/>
      <w:numFmt w:val="lowerLetter"/>
      <w:start w:val="25"/>
    </w:lvl>
  </w:abstractNum>
  <w:abstractNum w:abstractNumId="156">
    <w:nsid w:val="2DB88089"/>
    <w:multiLevelType w:val="hybridMultilevel"/>
    <w:lvl w:ilvl="0">
      <w:lvlJc w:val="left"/>
      <w:lvlText w:val="(%1)"/>
      <w:numFmt w:val="lowerLetter"/>
      <w:start w:val="27"/>
    </w:lvl>
  </w:abstractNum>
  <w:abstractNum w:abstractNumId="157">
    <w:nsid w:val="706B674E"/>
    <w:multiLevelType w:val="hybridMultilevel"/>
    <w:lvl w:ilvl="0">
      <w:lvlJc w:val="left"/>
      <w:lvlText w:val="2"/>
      <w:numFmt w:val="bullet"/>
      <w:start w:val="1"/>
    </w:lvl>
  </w:abstractNum>
  <w:abstractNum w:abstractNumId="158">
    <w:nsid w:val="2C106A57"/>
    <w:multiLevelType w:val="hybridMultilevel"/>
    <w:lvl w:ilvl="0">
      <w:lvlJc w:val="left"/>
      <w:lvlText w:val="2"/>
      <w:numFmt w:val="bullet"/>
      <w:start w:val="1"/>
    </w:lvl>
  </w:abstractNum>
  <w:abstractNum w:abstractNumId="159">
    <w:nsid w:val="684EED59"/>
    <w:multiLevelType w:val="hybridMultilevel"/>
    <w:lvl w:ilvl="0">
      <w:lvlJc w:val="left"/>
      <w:lvlText w:val="2"/>
      <w:numFmt w:val="bullet"/>
      <w:start w:val="1"/>
    </w:lvl>
  </w:abstractNum>
  <w:abstractNum w:abstractNumId="160">
    <w:nsid w:val="545EE5D3"/>
    <w:multiLevelType w:val="hybridMultilevel"/>
    <w:lvl w:ilvl="0">
      <w:lvlJc w:val="left"/>
      <w:lvlText w:val="2"/>
      <w:numFmt w:val="bullet"/>
      <w:start w:val="1"/>
    </w:lvl>
  </w:abstractNum>
  <w:abstractNum w:abstractNumId="161">
    <w:nsid w:val="4A66051"/>
    <w:multiLevelType w:val="hybridMultilevel"/>
    <w:lvl w:ilvl="0">
      <w:lvlJc w:val="left"/>
      <w:lvlText w:val="2"/>
      <w:numFmt w:val="bullet"/>
      <w:start w:val="1"/>
    </w:lvl>
  </w:abstractNum>
  <w:abstractNum w:abstractNumId="162">
    <w:nsid w:val="20F4BDAD"/>
    <w:multiLevelType w:val="hybridMultilevel"/>
    <w:lvl w:ilvl="0">
      <w:lvlJc w:val="left"/>
      <w:lvlText w:val="2"/>
      <w:numFmt w:val="bullet"/>
      <w:start w:val="1"/>
    </w:lvl>
  </w:abstractNum>
  <w:abstractNum w:abstractNumId="163">
    <w:nsid w:val="639DEFAC"/>
    <w:multiLevelType w:val="hybridMultilevel"/>
    <w:lvl w:ilvl="0">
      <w:lvlJc w:val="left"/>
      <w:lvlText w:val="3"/>
      <w:numFmt w:val="bullet"/>
      <w:start w:val="1"/>
    </w:lvl>
  </w:abstractNum>
  <w:abstractNum w:abstractNumId="164">
    <w:nsid w:val="501F9786"/>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65">
    <w:nsid w:val="6B057295"/>
    <w:multiLevelType w:val="hybridMultilevel"/>
    <w:lvl w:ilvl="0">
      <w:lvlJc w:val="left"/>
      <w:lvlText w:val="3"/>
      <w:numFmt w:val="bullet"/>
      <w:start w:val="1"/>
    </w:lvl>
  </w:abstractNum>
  <w:abstractNum w:abstractNumId="166">
    <w:nsid w:val="2771AC80"/>
    <w:multiLevelType w:val="hybridMultilevel"/>
    <w:lvl w:ilvl="0">
      <w:lvlJc w:val="left"/>
      <w:lvlText w:val="(%1)"/>
      <w:numFmt w:val="lowerLetter"/>
      <w:start w:val="1"/>
    </w:lvl>
    <w:lvl w:ilvl="1">
      <w:lvlJc w:val="left"/>
      <w:lvlText w:val="-"/>
      <w:numFmt w:val="bullet"/>
      <w:start w:val="1"/>
    </w:lvl>
  </w:abstractNum>
  <w:abstractNum w:abstractNumId="167">
    <w:nsid w:val="1C4A08EC"/>
    <w:multiLevelType w:val="hybridMultilevel"/>
    <w:lvl w:ilvl="0">
      <w:lvlJc w:val="left"/>
      <w:lvlText w:val="3"/>
      <w:numFmt w:val="bullet"/>
      <w:start w:val="1"/>
    </w:lvl>
  </w:abstractNum>
  <w:abstractNum w:abstractNumId="168">
    <w:nsid w:val="1958BD17"/>
    <w:multiLevelType w:val="hybridMultilevel"/>
    <w:lvl w:ilvl="0">
      <w:lvlJc w:val="left"/>
      <w:lvlText w:val="(%1)"/>
      <w:numFmt w:val="lowerLetter"/>
      <w:start w:val="1"/>
    </w:lvl>
  </w:abstractNum>
  <w:abstractNum w:abstractNumId="169">
    <w:nsid w:val="4E647FE4"/>
    <w:multiLevelType w:val="hybridMultilevel"/>
    <w:lvl w:ilvl="0">
      <w:lvlJc w:val="left"/>
      <w:lvlText w:val="3"/>
      <w:numFmt w:val="bullet"/>
      <w:start w:val="1"/>
    </w:lvl>
  </w:abstractNum>
  <w:abstractNum w:abstractNumId="170">
    <w:nsid w:val="E0BB885"/>
    <w:multiLevelType w:val="hybridMultilevel"/>
    <w:lvl w:ilvl="0">
      <w:lvlJc w:val="left"/>
      <w:lvlText w:val="(%1)"/>
      <w:numFmt w:val="lowerLetter"/>
      <w:start w:val="2"/>
    </w:lvl>
    <w:lvl w:ilvl="1">
      <w:lvlJc w:val="left"/>
      <w:lvlText w:val="-"/>
      <w:numFmt w:val="bullet"/>
      <w:start w:val="1"/>
    </w:lvl>
  </w:abstractNum>
  <w:abstractNum w:abstractNumId="171">
    <w:nsid w:val="565976F1"/>
    <w:multiLevelType w:val="hybridMultilevel"/>
    <w:lvl w:ilvl="0">
      <w:lvlJc w:val="left"/>
      <w:lvlText w:val="3"/>
      <w:numFmt w:val="bullet"/>
      <w:start w:val="1"/>
    </w:lvl>
  </w:abstractNum>
  <w:abstractNum w:abstractNumId="172">
    <w:nsid w:val="64212B8C"/>
    <w:multiLevelType w:val="hybridMultilevel"/>
    <w:lvl w:ilvl="0">
      <w:lvlJc w:val="left"/>
      <w:lvlText w:val="(%1)"/>
      <w:numFmt w:val="lowerLetter"/>
      <w:start w:val="3"/>
    </w:lvl>
    <w:lvl w:ilvl="1">
      <w:lvlJc w:val="left"/>
      <w:lvlText w:val="(%2)"/>
      <w:numFmt w:val="lowerRoman"/>
      <w:start w:val="1"/>
    </w:lvl>
  </w:abstractNum>
  <w:abstractNum w:abstractNumId="173">
    <w:nsid w:val="5C17530C"/>
    <w:multiLevelType w:val="hybridMultilevel"/>
    <w:lvl w:ilvl="0">
      <w:lvlJc w:val="left"/>
      <w:lvlText w:val="%1"/>
      <w:numFmt w:val="lowerLetter"/>
      <w:start w:val="1"/>
    </w:lvl>
    <w:lvl w:ilvl="1">
      <w:lvlJc w:val="left"/>
      <w:lvlText w:val="(%2)"/>
      <w:numFmt w:val="lowerLetter"/>
      <w:start w:val="35"/>
    </w:lvl>
  </w:abstractNum>
  <w:abstractNum w:abstractNumId="174">
    <w:nsid w:val="19A52566"/>
    <w:multiLevelType w:val="hybridMultilevel"/>
    <w:lvl w:ilvl="0">
      <w:lvlJc w:val="left"/>
      <w:lvlText w:val="(%1)"/>
      <w:numFmt w:val="lowerLetter"/>
      <w:start w:val="4"/>
    </w:lvl>
    <w:lvl w:ilvl="1">
      <w:lvlJc w:val="left"/>
      <w:lvlText w:val="(%2)"/>
      <w:numFmt w:val="lowerLetter"/>
      <w:start w:val="9"/>
    </w:lvl>
  </w:abstractNum>
  <w:abstractNum w:abstractNumId="175">
    <w:nsid w:val="335A1DF1"/>
    <w:multiLevelType w:val="hybridMultilevel"/>
    <w:lvl w:ilvl="0">
      <w:lvlJc w:val="left"/>
      <w:lvlText w:val="(%1)"/>
      <w:numFmt w:val="lowerRoman"/>
      <w:start w:val="2"/>
    </w:lvl>
    <w:lvl w:ilvl="1">
      <w:lvlJc w:val="left"/>
      <w:lvlText w:val="-"/>
      <w:numFmt w:val="bullet"/>
      <w:start w:val="1"/>
    </w:lvl>
  </w:abstractNum>
  <w:abstractNum w:abstractNumId="176">
    <w:nsid w:val="28677B7C"/>
    <w:multiLevelType w:val="hybridMultilevel"/>
    <w:lvl w:ilvl="0">
      <w:lvlJc w:val="left"/>
      <w:lvlText w:val="3"/>
      <w:numFmt w:val="bullet"/>
      <w:start w:val="1"/>
    </w:lvl>
  </w:abstractNum>
  <w:abstractNum w:abstractNumId="177">
    <w:nsid w:val="378D97C0"/>
    <w:multiLevelType w:val="hybridMultilevel"/>
    <w:lvl w:ilvl="0">
      <w:lvlJc w:val="left"/>
      <w:lvlText w:val="(%1)"/>
      <w:numFmt w:val="lowerLetter"/>
      <w:start w:val="4"/>
    </w:lvl>
    <w:lvl w:ilvl="1">
      <w:lvlJc w:val="left"/>
      <w:lvlText w:val="(%2)"/>
      <w:numFmt w:val="lowerRoman"/>
      <w:start w:val="2"/>
    </w:lvl>
  </w:abstractNum>
  <w:abstractNum w:abstractNumId="178">
    <w:nsid w:val="1D91467C"/>
    <w:multiLevelType w:val="hybridMultilevel"/>
    <w:lvl w:ilvl="0">
      <w:lvlJc w:val="left"/>
      <w:lvlText w:val="4"/>
      <w:numFmt w:val="bullet"/>
      <w:start w:val="1"/>
    </w:lvl>
  </w:abstractNum>
  <w:abstractNum w:abstractNumId="179">
    <w:nsid w:val="316032BB"/>
    <w:multiLevelType w:val="hybridMultilevel"/>
    <w:lvl w:ilvl="0">
      <w:lvlJc w:val="left"/>
      <w:lvlText w:val="(%1)"/>
      <w:numFmt w:val="lowerLetter"/>
      <w:start w:val="1"/>
    </w:lvl>
  </w:abstractNum>
  <w:abstractNum w:abstractNumId="180">
    <w:nsid w:val="44344C22"/>
    <w:multiLevelType w:val="hybridMultilevel"/>
    <w:lvl w:ilvl="0">
      <w:lvlJc w:val="left"/>
      <w:lvlText w:val="4"/>
      <w:numFmt w:val="bullet"/>
      <w:start w:val="1"/>
    </w:lvl>
  </w:abstractNum>
  <w:abstractNum w:abstractNumId="181">
    <w:nsid w:val="13CDFCFC"/>
    <w:multiLevelType w:val="hybridMultilevel"/>
    <w:lvl w:ilvl="0">
      <w:lvlJc w:val="left"/>
      <w:lvlText w:val="(%1)"/>
      <w:numFmt w:val="lowerLetter"/>
      <w:start w:val="1"/>
    </w:lvl>
  </w:abstractNum>
  <w:abstractNum w:abstractNumId="182">
    <w:nsid w:val="471745E4"/>
    <w:multiLevelType w:val="hybridMultilevel"/>
    <w:lvl w:ilvl="0">
      <w:lvlJc w:val="left"/>
      <w:lvlText w:val="(%1)"/>
      <w:numFmt w:val="lowerLetter"/>
      <w:start w:val="2"/>
    </w:lvl>
    <w:lvl w:ilvl="1">
      <w:lvlJc w:val="left"/>
      <w:lvlText w:val="-"/>
      <w:numFmt w:val="bullet"/>
      <w:start w:val="1"/>
    </w:lvl>
  </w:abstractNum>
  <w:abstractNum w:abstractNumId="183">
    <w:nsid w:val="1DDBC66"/>
    <w:multiLevelType w:val="hybridMultilevel"/>
    <w:lvl w:ilvl="0">
      <w:lvlJc w:val="left"/>
      <w:lvlText w:val="4"/>
      <w:numFmt w:val="bullet"/>
      <w:start w:val="1"/>
    </w:lvl>
  </w:abstractNum>
  <w:abstractNum w:abstractNumId="184">
    <w:nsid w:val="30AADFDA"/>
    <w:multiLevelType w:val="hybridMultilevel"/>
    <w:lvl w:ilvl="0">
      <w:lvlJc w:val="left"/>
      <w:lvlText w:val="(%1)"/>
      <w:numFmt w:val="lowerLetter"/>
      <w:start w:val="2"/>
    </w:lvl>
  </w:abstractNum>
  <w:abstractNum w:abstractNumId="185">
    <w:nsid w:val="30EADA61"/>
    <w:multiLevelType w:val="hybridMultilevel"/>
    <w:lvl w:ilvl="0">
      <w:lvlJc w:val="left"/>
      <w:lvlText w:val="4"/>
      <w:numFmt w:val="bullet"/>
      <w:start w:val="1"/>
    </w:lvl>
  </w:abstractNum>
  <w:abstractNum w:abstractNumId="186">
    <w:nsid w:val="27179C0B"/>
    <w:multiLevelType w:val="hybridMultilevel"/>
    <w:lvl w:ilvl="0">
      <w:lvlJc w:val="left"/>
      <w:lvlText w:val="(%1)"/>
      <w:numFmt w:val="lowerLetter"/>
      <w:start w:val="2"/>
    </w:lvl>
  </w:abstractNum>
  <w:abstractNum w:abstractNumId="187">
    <w:nsid w:val="5E636063"/>
    <w:multiLevelType w:val="hybridMultilevel"/>
    <w:lvl w:ilvl="0">
      <w:lvlJc w:val="left"/>
      <w:lvlText w:val="5"/>
      <w:numFmt w:val="bullet"/>
      <w:start w:val="1"/>
    </w:lvl>
  </w:abstractNum>
  <w:abstractNum w:abstractNumId="188">
    <w:nsid w:val="215641AF"/>
    <w:multiLevelType w:val="hybridMultilevel"/>
    <w:lvl w:ilvl="0">
      <w:lvlJc w:val="left"/>
      <w:lvlText w:val="6"/>
      <w:numFmt w:val="bullet"/>
      <w:start w:val="1"/>
    </w:lvl>
  </w:abstractNum>
  <w:abstractNum w:abstractNumId="189">
    <w:nsid w:val="53280662"/>
    <w:multiLevelType w:val="hybridMultilevel"/>
    <w:lvl w:ilvl="0">
      <w:lvlJc w:val="left"/>
      <w:lvlText w:val="7"/>
      <w:numFmt w:val="bullet"/>
      <w:start w:val="1"/>
    </w:lvl>
  </w:abstractNum>
  <w:abstractNum w:abstractNumId="190">
    <w:nsid w:val="46B24DBC"/>
    <w:multiLevelType w:val="hybridMultilevel"/>
    <w:lvl w:ilvl="0">
      <w:lvlJc w:val="left"/>
      <w:lvlText w:val="(%1)"/>
      <w:numFmt w:val="lowerLetter"/>
      <w:start w:val="1"/>
    </w:lvl>
  </w:abstractNum>
  <w:abstractNum w:abstractNumId="191">
    <w:nsid w:val="75B52783"/>
    <w:multiLevelType w:val="hybridMultilevel"/>
    <w:lvl w:ilvl="0">
      <w:lvlJc w:val="left"/>
      <w:lvlText w:val="7"/>
      <w:numFmt w:val="bullet"/>
      <w:start w:val="1"/>
    </w:lvl>
  </w:abstractNum>
  <w:abstractNum w:abstractNumId="192">
    <w:nsid w:val="57CE66B4"/>
    <w:multiLevelType w:val="hybridMultilevel"/>
    <w:lvl w:ilvl="0">
      <w:lvlJc w:val="left"/>
      <w:lvlText w:val="(%1)"/>
      <w:numFmt w:val="lowerLetter"/>
      <w:start w:val="2"/>
    </w:lvl>
  </w:abstractNum>
  <w:abstractNum w:abstractNumId="193">
    <w:nsid w:val="67A70B69"/>
    <w:multiLevelType w:val="hybridMultilevel"/>
    <w:lvl w:ilvl="0">
      <w:lvlJc w:val="left"/>
      <w:lvlText w:val="8"/>
      <w:numFmt w:val="bullet"/>
      <w:start w:val="1"/>
    </w:lvl>
  </w:abstractNum>
  <w:abstractNum w:abstractNumId="194">
    <w:nsid w:val="5953172F"/>
    <w:multiLevelType w:val="hybridMultilevel"/>
    <w:lvl w:ilvl="0">
      <w:lvlJc w:val="left"/>
      <w:lvlText w:val="%1"/>
      <w:numFmt w:val="decimal"/>
      <w:start w:val="10"/>
    </w:lvl>
  </w:abstractNum>
  <w:abstractNum w:abstractNumId="195">
    <w:nsid w:val="27EDFE3A"/>
    <w:multiLevelType w:val="hybridMultilevel"/>
    <w:lvl w:ilvl="0">
      <w:lvlJc w:val="left"/>
      <w:lvlText w:val="%1"/>
      <w:numFmt w:val="decimal"/>
      <w:start w:val="11"/>
    </w:lvl>
  </w:abstractNum>
  <w:abstractNum w:abstractNumId="196">
    <w:nsid w:val="52AC7DFF"/>
    <w:multiLevelType w:val="hybridMultilevel"/>
    <w:lvl w:ilvl="0">
      <w:lvlJc w:val="left"/>
      <w:lvlText w:val="%1"/>
      <w:numFmt w:val="decimal"/>
      <w:start w:val="12"/>
    </w:lvl>
  </w:abstractNum>
  <w:abstractNum w:abstractNumId="197">
    <w:nsid w:val="C4C3AF"/>
    <w:multiLevelType w:val="hybridMultilevel"/>
    <w:lvl w:ilvl="0">
      <w:lvlJc w:val="left"/>
      <w:lvlText w:val="%1"/>
      <w:numFmt w:val="decimal"/>
      <w:start w:val="13"/>
    </w:lvl>
  </w:abstractNum>
  <w:abstractNum w:abstractNumId="198">
    <w:nsid w:val="44380727"/>
    <w:multiLevelType w:val="hybridMultilevel"/>
    <w:lvl w:ilvl="0">
      <w:lvlJc w:val="left"/>
      <w:lvlText w:val="%1"/>
      <w:numFmt w:val="decimal"/>
      <w:start w:val="14"/>
    </w:lvl>
    <w:lvl w:ilvl="1">
      <w:lvlJc w:val="left"/>
      <w:lvlText w:val="-"/>
      <w:numFmt w:val="bullet"/>
      <w:start w:val="1"/>
    </w:lvl>
  </w:abstractNum>
  <w:abstractNum w:abstractNumId="199">
    <w:nsid w:val="6C053B16"/>
    <w:multiLevelType w:val="hybridMultilevel"/>
    <w:lvl w:ilvl="0">
      <w:lvlJc w:val="left"/>
      <w:lvlText w:val="%1"/>
      <w:numFmt w:val="decimal"/>
      <w:start w:val="14"/>
    </w:lvl>
  </w:abstractNum>
  <w:abstractNum w:abstractNumId="200">
    <w:nsid w:val="4F294393"/>
    <w:multiLevelType w:val="hybridMultilevel"/>
    <w:lvl w:ilvl="0">
      <w:lvlJc w:val="left"/>
      <w:lvlText w:val="%1"/>
      <w:numFmt w:val="decimal"/>
      <w:start w:val="16"/>
    </w:lvl>
  </w:abstractNum>
  <w:abstractNum w:abstractNumId="201">
    <w:nsid w:val="5243BFAC"/>
    <w:multiLevelType w:val="hybridMultilevel"/>
    <w:lvl w:ilvl="0">
      <w:lvlJc w:val="left"/>
      <w:lvlText w:val="%1"/>
      <w:numFmt w:val="decimal"/>
      <w:start w:val="17"/>
    </w:lvl>
    <w:lvl w:ilvl="1">
      <w:lvlJc w:val="left"/>
      <w:lvlText w:val="(%2)"/>
      <w:numFmt w:val="lowerRoman"/>
      <w:start w:val="3"/>
    </w:lvl>
    <w:lvl w:ilvl="2">
      <w:lvlJc w:val="left"/>
      <w:lvlText w:val="(%3)"/>
      <w:numFmt w:val="lowerRoman"/>
      <w:start w:val="1"/>
    </w:lvl>
    <w:lvl w:ilvl="3">
      <w:lvlJc w:val="left"/>
      <w:lvlText w:val="-"/>
      <w:numFmt w:val="bullet"/>
      <w:start w:val="1"/>
    </w:lvl>
  </w:abstractNum>
  <w:abstractNum w:abstractNumId="202">
    <w:nsid w:val="425EB207"/>
    <w:multiLevelType w:val="hybridMultilevel"/>
    <w:lvl w:ilvl="0">
      <w:lvlJc w:val="left"/>
      <w:lvlText w:val="%1"/>
      <w:numFmt w:val="decimal"/>
      <w:start w:val="17"/>
    </w:lvl>
    <w:lvl w:ilvl="1">
      <w:lvlJc w:val="left"/>
      <w:lvlText w:val="(%2)"/>
      <w:numFmt w:val="lowerRoman"/>
      <w:start w:val="5"/>
    </w:lvl>
    <w:lvl w:ilvl="2">
      <w:lvlJc w:val="left"/>
      <w:lvlText w:val="(%3)"/>
      <w:numFmt w:val="lowerRoman"/>
      <w:start w:val="2"/>
    </w:lvl>
    <w:lvl w:ilvl="3">
      <w:lvlJc w:val="left"/>
      <w:lvlText w:val="-"/>
      <w:numFmt w:val="bullet"/>
      <w:start w:val="1"/>
    </w:lvl>
  </w:abstractNum>
  <w:abstractNum w:abstractNumId="203">
    <w:nsid w:val="334A6F1F"/>
    <w:multiLevelType w:val="hybridMultilevel"/>
    <w:lvl w:ilvl="0">
      <w:lvlJc w:val="left"/>
      <w:lvlText w:val="%1"/>
      <w:numFmt w:val="decimal"/>
      <w:start w:val="17"/>
    </w:lvl>
    <w:lvl w:ilvl="1">
      <w:lvlJc w:val="left"/>
      <w:lvlText w:val="(%2)"/>
      <w:numFmt w:val="lowerRoman"/>
      <w:start w:val="10"/>
    </w:lvl>
    <w:lvl w:ilvl="2">
      <w:lvlJc w:val="left"/>
      <w:lvlText w:val="(%3)"/>
      <w:numFmt w:val="lowerRoman"/>
      <w:start w:val="12"/>
    </w:lvl>
  </w:abstractNum>
  <w:abstractNum w:abstractNumId="204">
    <w:nsid w:val="2E5B12B8"/>
    <w:multiLevelType w:val="hybridMultilevel"/>
    <w:lvl w:ilvl="0">
      <w:lvlJc w:val="left"/>
      <w:lvlText w:val="(%1)"/>
      <w:numFmt w:val="lowerLetter"/>
      <w:start w:val="1"/>
    </w:lvl>
    <w:lvl w:ilvl="1">
      <w:lvlJc w:val="left"/>
      <w:lvlText w:val="-"/>
      <w:numFmt w:val="bullet"/>
      <w:start w:val="1"/>
    </w:lvl>
  </w:abstractNum>
  <w:abstractNum w:abstractNumId="205">
    <w:nsid w:val="5C03D76D"/>
    <w:multiLevelType w:val="hybridMultilevel"/>
    <w:lvl w:ilvl="0">
      <w:lvlJc w:val="left"/>
      <w:lvlText w:val="(%1)"/>
      <w:numFmt w:val="lowerLetter"/>
      <w:start w:val="1"/>
    </w:lvl>
  </w:abstractNum>
  <w:abstractNum w:abstractNumId="206">
    <w:nsid w:val="66A48D11"/>
    <w:multiLevelType w:val="hybridMultilevel"/>
    <w:lvl w:ilvl="0">
      <w:lvlJc w:val="left"/>
      <w:lvlText w:val="(%1)"/>
      <w:numFmt w:val="lowerLetter"/>
      <w:start w:val="2"/>
    </w:lvl>
  </w:abstractNum>
  <w:abstractNum w:abstractNumId="207">
    <w:nsid w:val="56C28E34"/>
    <w:multiLevelType w:val="hybridMultilevel"/>
    <w:lvl w:ilvl="0">
      <w:lvlJc w:val="left"/>
      <w:lvlText w:val="(%1)"/>
      <w:numFmt w:val="lowerRoman"/>
      <w:start w:val="1"/>
    </w:lvl>
  </w:abstractNum>
  <w:abstractNum w:abstractNumId="208">
    <w:nsid w:val="13916F2D"/>
    <w:multiLevelType w:val="hybridMultilevel"/>
    <w:lvl w:ilvl="0">
      <w:lvlJc w:val="left"/>
      <w:lvlText w:val="(%1)"/>
      <w:numFmt w:val="lowerRoman"/>
      <w:start w:val="2"/>
    </w:lvl>
  </w:abstractNum>
  <w:abstractNum w:abstractNumId="209">
    <w:nsid w:val="435D38D"/>
    <w:multiLevelType w:val="hybridMultilevel"/>
    <w:lvl w:ilvl="0">
      <w:lvlJc w:val="left"/>
      <w:lvlText w:val="(%1)"/>
      <w:numFmt w:val="lowerRoman"/>
      <w:start w:val="4"/>
    </w:lvl>
  </w:abstractNum>
  <w:abstractNum w:abstractNumId="210">
    <w:nsid w:val="822C0EF"/>
    <w:multiLevelType w:val="hybridMultilevel"/>
    <w:lvl w:ilvl="0">
      <w:lvlJc w:val="left"/>
      <w:lvlText w:val="(%1)"/>
      <w:numFmt w:val="lowerLetter"/>
      <w:start w:val="2"/>
    </w:lvl>
  </w:abstractNum>
  <w:abstractNum w:abstractNumId="211">
    <w:nsid w:val="57C5BB4F"/>
    <w:multiLevelType w:val="hybridMultilevel"/>
    <w:lvl w:ilvl="0">
      <w:lvlJc w:val="left"/>
      <w:lvlText w:val="%1"/>
      <w:numFmt w:val="decimal"/>
      <w:start w:val="19"/>
    </w:lvl>
    <w:lvl w:ilvl="1">
      <w:lvlJc w:val="left"/>
      <w:lvlText w:val="-"/>
      <w:numFmt w:val="bullet"/>
      <w:start w:val="1"/>
    </w:lvl>
  </w:abstractNum>
  <w:abstractNum w:abstractNumId="212">
    <w:nsid w:val="1803D089"/>
    <w:multiLevelType w:val="hybridMultilevel"/>
    <w:lvl w:ilvl="0">
      <w:lvlJc w:val="left"/>
      <w:lvlText w:val="%1"/>
      <w:numFmt w:val="decimal"/>
      <w:start w:val="19"/>
    </w:lvl>
    <w:lvl w:ilvl="1">
      <w:lvlJc w:val="left"/>
      <w:lvlText w:val="-"/>
      <w:numFmt w:val="bullet"/>
      <w:start w:val="1"/>
    </w:lvl>
  </w:abstractNum>
  <w:abstractNum w:abstractNumId="213">
    <w:nsid w:val="4F3A06D4"/>
    <w:multiLevelType w:val="hybridMultilevel"/>
    <w:lvl w:ilvl="0">
      <w:lvlJc w:val="left"/>
      <w:lvlText w:val="%1"/>
      <w:numFmt w:val="decimal"/>
      <w:start w:val="19"/>
    </w:lvl>
    <w:lvl w:ilvl="1">
      <w:lvlJc w:val="left"/>
      <w:lvlText w:val="•"/>
      <w:numFmt w:val="bullet"/>
      <w:start w:val="1"/>
    </w:lvl>
  </w:abstractNum>
  <w:abstractNum w:abstractNumId="214">
    <w:nsid w:val="59A377B6"/>
    <w:multiLevelType w:val="hybridMultilevel"/>
    <w:lvl w:ilvl="0">
      <w:lvlJc w:val="left"/>
      <w:lvlText w:val="%1"/>
      <w:numFmt w:val="decimal"/>
      <w:start w:val="19"/>
    </w:lvl>
    <w:lvl w:ilvl="1">
      <w:lvlJc w:val="left"/>
      <w:lvlText w:val="-"/>
      <w:numFmt w:val="bullet"/>
      <w:start w:val="1"/>
    </w:lvl>
  </w:abstractNum>
  <w:abstractNum w:abstractNumId="215">
    <w:nsid w:val="48AEB063"/>
    <w:multiLevelType w:val="hybridMultilevel"/>
    <w:lvl w:ilvl="0">
      <w:lvlJc w:val="left"/>
      <w:lvlText w:val="%1"/>
      <w:numFmt w:val="decimal"/>
      <w:start w:val="19"/>
    </w:lvl>
    <w:lvl w:ilvl="1">
      <w:lvlJc w:val="left"/>
      <w:lvlText w:val="-"/>
      <w:numFmt w:val="bullet"/>
      <w:start w:val="1"/>
    </w:lvl>
  </w:abstractNum>
  <w:abstractNum w:abstractNumId="216">
    <w:nsid w:val="24E135"/>
    <w:multiLevelType w:val="hybridMultilevel"/>
    <w:lvl w:ilvl="0">
      <w:lvlJc w:val="left"/>
      <w:lvlText w:val="%1"/>
      <w:numFmt w:val="decimal"/>
      <w:start w:val="19"/>
    </w:lvl>
    <w:lvl w:ilvl="1">
      <w:lvlJc w:val="left"/>
      <w:lvlText w:val="(%2)"/>
      <w:numFmt w:val="lowerRoman"/>
      <w:start w:val="3"/>
    </w:lvl>
  </w:abstractNum>
  <w:abstractNum w:abstractNumId="217">
    <w:nsid w:val="BB13C1"/>
    <w:multiLevelType w:val="hybridMultilevel"/>
    <w:lvl w:ilvl="0">
      <w:lvlJc w:val="left"/>
      <w:lvlText w:val="%1"/>
      <w:numFmt w:val="decimal"/>
      <w:start w:val="19"/>
    </w:lvl>
    <w:lvl w:ilvl="1">
      <w:lvlJc w:val="left"/>
      <w:lvlText w:val="-"/>
      <w:numFmt w:val="bullet"/>
      <w:start w:val="1"/>
    </w:lvl>
  </w:abstractNum>
  <w:abstractNum w:abstractNumId="218">
    <w:nsid w:val="271210C7"/>
    <w:multiLevelType w:val="hybridMultilevel"/>
    <w:lvl w:ilvl="0">
      <w:lvlJc w:val="left"/>
      <w:lvlText w:val="%1"/>
      <w:numFmt w:val="decimal"/>
      <w:start w:val="21"/>
    </w:lvl>
    <w:lvl w:ilvl="1">
      <w:lvlJc w:val="left"/>
      <w:lvlText w:val="-"/>
      <w:numFmt w:val="bullet"/>
      <w:start w:val="1"/>
    </w:lvl>
  </w:abstractNum>
  <w:abstractNum w:abstractNumId="219">
    <w:nsid w:val="217B22E4"/>
    <w:multiLevelType w:val="hybridMultilevel"/>
    <w:lvl w:ilvl="0">
      <w:lvlJc w:val="left"/>
      <w:lvlText w:val="%1"/>
      <w:numFmt w:val="decimal"/>
      <w:start w:val="22"/>
    </w:lvl>
  </w:abstractNum>
  <w:abstractNum w:abstractNumId="220">
    <w:nsid w:val="53E31A24"/>
    <w:multiLevelType w:val="hybridMultilevel"/>
    <w:lvl w:ilvl="0">
      <w:lvlJc w:val="left"/>
      <w:lvlText w:val="(%1)"/>
      <w:numFmt w:val="lowerLetter"/>
      <w:start w:val="1"/>
    </w:lvl>
  </w:abstractNum>
  <w:abstractNum w:abstractNumId="221">
    <w:nsid w:val="6DC45E83"/>
    <w:multiLevelType w:val="hybridMultilevel"/>
    <w:lvl w:ilvl="0">
      <w:lvlJc w:val="left"/>
      <w:lvlText w:val="(%1)"/>
      <w:numFmt w:val="lowerRoman"/>
      <w:start w:val="1"/>
    </w:lvl>
    <w:lvl w:ilvl="1">
      <w:lvlJc w:val="left"/>
      <w:lvlText w:val="-"/>
      <w:numFmt w:val="bullet"/>
      <w:start w:val="1"/>
    </w:lvl>
  </w:abstractNum>
  <w:abstractNum w:abstractNumId="222">
    <w:nsid w:val="17304A67"/>
    <w:multiLevelType w:val="hybridMultilevel"/>
    <w:lvl w:ilvl="0">
      <w:lvlJc w:val="left"/>
      <w:lvlText w:val="(%1)"/>
      <w:numFmt w:val="lowerLetter"/>
      <w:start w:val="1"/>
    </w:lvl>
  </w:abstractNum>
  <w:abstractNum w:abstractNumId="223">
    <w:nsid w:val="2BB180D8"/>
    <w:multiLevelType w:val="hybridMultilevel"/>
    <w:lvl w:ilvl="0">
      <w:lvlJc w:val="left"/>
      <w:lvlText w:val="(%1)"/>
      <w:numFmt w:val="lowerLetter"/>
      <w:start w:val="1"/>
    </w:lvl>
  </w:abstractNum>
  <w:abstractNum w:abstractNumId="224">
    <w:nsid w:val="556B69ED"/>
    <w:multiLevelType w:val="hybridMultilevel"/>
    <w:lvl w:ilvl="0">
      <w:lvlJc w:val="left"/>
      <w:lvlText w:val="(%1)"/>
      <w:numFmt w:val="lowerRoman"/>
      <w:start w:val="1"/>
    </w:lvl>
    <w:lvl w:ilvl="1">
      <w:lvlJc w:val="left"/>
      <w:lvlText w:val="-"/>
      <w:numFmt w:val="bullet"/>
      <w:start w:val="1"/>
    </w:lvl>
  </w:abstractNum>
  <w:abstractNum w:abstractNumId="225">
    <w:nsid w:val="70836196"/>
    <w:multiLevelType w:val="hybridMultilevel"/>
    <w:lvl w:ilvl="0">
      <w:lvlJc w:val="left"/>
      <w:lvlText w:val="(%1)"/>
      <w:numFmt w:val="lowerLetter"/>
      <w:start w:val="2"/>
    </w:lvl>
  </w:abstractNum>
  <w:abstractNum w:abstractNumId="226">
    <w:nsid w:val="539F7F12"/>
    <w:multiLevelType w:val="hybridMultilevel"/>
    <w:lvl w:ilvl="0">
      <w:lvlJc w:val="left"/>
      <w:lvlText w:val="(%1)"/>
      <w:numFmt w:val="lowerRoman"/>
      <w:start w:val="1"/>
    </w:lvl>
    <w:lvl w:ilvl="1">
      <w:lvlJc w:val="left"/>
      <w:lvlText w:val="-"/>
      <w:numFmt w:val="bullet"/>
      <w:start w:val="1"/>
    </w:lvl>
  </w:abstractNum>
  <w:abstractNum w:abstractNumId="227">
    <w:nsid w:val="2817E7EC"/>
    <w:multiLevelType w:val="hybridMultilevel"/>
    <w:lvl w:ilvl="0">
      <w:lvlJc w:val="left"/>
      <w:lvlText w:val="(%1)"/>
      <w:numFmt w:val="lowerLetter"/>
      <w:start w:val="2"/>
    </w:lvl>
    <w:lvl w:ilvl="1">
      <w:lvlJc w:val="left"/>
      <w:lvlText w:val="(%2)"/>
      <w:numFmt w:val="lowerRoman"/>
      <w:start w:val="2"/>
    </w:lvl>
    <w:lvl w:ilvl="2">
      <w:lvlJc w:val="left"/>
      <w:lvlText w:val="-"/>
      <w:numFmt w:val="bullet"/>
      <w:start w:val="1"/>
    </w:lvl>
  </w:abstractNum>
  <w:abstractNum w:abstractNumId="228">
    <w:nsid w:val="71482545"/>
    <w:multiLevelType w:val="hybridMultilevel"/>
    <w:lvl w:ilvl="0">
      <w:lvlJc w:val="left"/>
      <w:lvlText w:val="(%1)"/>
      <w:numFmt w:val="lowerLetter"/>
      <w:start w:val="2"/>
    </w:lvl>
  </w:abstractNum>
  <w:abstractNum w:abstractNumId="229">
    <w:nsid w:val="17D78639"/>
    <w:multiLevelType w:val="hybridMultilevel"/>
    <w:lvl w:ilvl="0">
      <w:lvlJc w:val="left"/>
      <w:lvlText w:val="(%1)"/>
      <w:numFmt w:val="lowerLetter"/>
      <w:start w:val="3"/>
    </w:lvl>
    <w:lvl w:ilvl="1">
      <w:lvlJc w:val="left"/>
      <w:lvlText w:val="-"/>
      <w:numFmt w:val="bullet"/>
      <w:start w:val="1"/>
    </w:lvl>
  </w:abstractNum>
  <w:abstractNum w:abstractNumId="230">
    <w:nsid w:val="141D2302"/>
    <w:multiLevelType w:val="hybridMultilevel"/>
    <w:lvl w:ilvl="0">
      <w:lvlJc w:val="left"/>
      <w:lvlText w:val="(%1)"/>
      <w:numFmt w:val="lowerLetter"/>
      <w:start w:val="4"/>
    </w:lvl>
  </w:abstractNum>
  <w:abstractNum w:abstractNumId="231">
    <w:nsid w:val="407168D8"/>
    <w:multiLevelType w:val="hybridMultilevel"/>
    <w:lvl w:ilvl="0">
      <w:lvlJc w:val="left"/>
      <w:lvlText w:val="(%1)"/>
      <w:numFmt w:val="lowerLetter"/>
      <w:start w:val="5"/>
    </w:lvl>
  </w:abstractNum>
  <w:abstractNum w:abstractNumId="232">
    <w:nsid w:val="6A1B45E5"/>
    <w:multiLevelType w:val="hybridMultilevel"/>
    <w:lvl w:ilvl="0">
      <w:lvlJc w:val="left"/>
      <w:lvlText w:val="(%1)"/>
      <w:numFmt w:val="lowerRoman"/>
      <w:start w:val="1"/>
    </w:lvl>
  </w:abstractNum>
  <w:abstractNum w:abstractNumId="233">
    <w:nsid w:val="567BD50A"/>
    <w:multiLevelType w:val="hybridMultilevel"/>
    <w:lvl w:ilvl="0">
      <w:lvlJc w:val="left"/>
      <w:lvlText w:val="(%1)"/>
      <w:numFmt w:val="lowerLetter"/>
      <w:start w:val="1"/>
    </w:lvl>
    <w:lvl w:ilvl="1">
      <w:lvlJc w:val="left"/>
      <w:lvlText w:val="-"/>
      <w:numFmt w:val="bullet"/>
      <w:start w:val="1"/>
    </w:lvl>
  </w:abstractNum>
  <w:abstractNum w:abstractNumId="234">
    <w:nsid w:val="73BBD7F8"/>
    <w:multiLevelType w:val="hybridMultilevel"/>
    <w:lvl w:ilvl="0">
      <w:lvlJc w:val="left"/>
      <w:lvlText w:val="(%1)"/>
      <w:numFmt w:val="lowerLetter"/>
      <w:start w:val="3"/>
    </w:lvl>
  </w:abstractNum>
  <w:abstractNum w:abstractNumId="235">
    <w:nsid w:val="1876589D"/>
    <w:multiLevelType w:val="hybridMultilevel"/>
    <w:lvl w:ilvl="0">
      <w:lvlJc w:val="left"/>
      <w:lvlText w:val="(%1)"/>
      <w:numFmt w:val="lowerLetter"/>
      <w:start w:val="5"/>
    </w:lvl>
  </w:abstractNum>
  <w:abstractNum w:abstractNumId="236">
    <w:nsid w:val="327FAC77"/>
    <w:multiLevelType w:val="hybridMultilevel"/>
    <w:lvl w:ilvl="0">
      <w:lvlJc w:val="left"/>
      <w:lvlText w:val="(%1)"/>
      <w:numFmt w:val="lowerRoman"/>
      <w:start w:val="1"/>
    </w:lvl>
  </w:abstractNum>
  <w:abstractNum w:abstractNumId="237">
    <w:nsid w:val="5A606509"/>
    <w:multiLevelType w:val="hybridMultilevel"/>
    <w:lvl w:ilvl="0">
      <w:lvlJc w:val="left"/>
      <w:lvlText w:val="(%1)"/>
      <w:numFmt w:val="lowerRoman"/>
      <w:start w:val="2"/>
    </w:lvl>
    <w:lvl w:ilvl="1">
      <w:lvlJc w:val="left"/>
      <w:lvlText w:val="-"/>
      <w:numFmt w:val="bullet"/>
      <w:start w:val="1"/>
    </w:lvl>
  </w:abstractNum>
  <w:abstractNum w:abstractNumId="238">
    <w:nsid w:val="6F38E6D1"/>
    <w:multiLevelType w:val="hybridMultilevel"/>
    <w:lvl w:ilvl="0">
      <w:lvlJc w:val="left"/>
      <w:lvlText w:val="(%1)"/>
      <w:numFmt w:val="lowerLetter"/>
      <w:start w:val="5"/>
    </w:lvl>
  </w:abstractNum>
  <w:abstractNum w:abstractNumId="239">
    <w:nsid w:val="46111BA5"/>
    <w:multiLevelType w:val="hybridMultilevel"/>
    <w:lvl w:ilvl="0">
      <w:lvlJc w:val="left"/>
      <w:lvlText w:val="(%1)"/>
      <w:numFmt w:val="lowerLetter"/>
      <w:start w:val="6"/>
    </w:lvl>
  </w:abstractNum>
  <w:abstractNum w:abstractNumId="240">
    <w:nsid w:val="5E963896"/>
    <w:multiLevelType w:val="hybridMultilevel"/>
    <w:lvl w:ilvl="0">
      <w:lvlJc w:val="left"/>
      <w:lvlText w:val="(%1)"/>
      <w:numFmt w:val="lowerRoman"/>
      <w:start w:val="1"/>
    </w:lvl>
    <w:lvl w:ilvl="1">
      <w:lvlJc w:val="left"/>
      <w:lvlText w:val="-"/>
      <w:numFmt w:val="bullet"/>
      <w:start w:val="1"/>
    </w:lvl>
  </w:abstractNum>
  <w:abstractNum w:abstractNumId="241">
    <w:nsid w:val="775BA7C1"/>
    <w:multiLevelType w:val="hybridMultilevel"/>
    <w:lvl w:ilvl="0">
      <w:lvlJc w:val="left"/>
      <w:lvlText w:val="(%1)"/>
      <w:numFmt w:val="lowerLetter"/>
      <w:start w:val="6"/>
    </w:lvl>
    <w:lvl w:ilvl="1">
      <w:lvlJc w:val="left"/>
      <w:lvlText w:val="(%2)"/>
      <w:numFmt w:val="lowerRoman"/>
      <w:start w:val="2"/>
    </w:lvl>
  </w:abstractNum>
  <w:abstractNum w:abstractNumId="242">
    <w:nsid w:val="1DD6D6F4"/>
    <w:multiLevelType w:val="hybridMultilevel"/>
    <w:lvl w:ilvl="0">
      <w:lvlJc w:val="left"/>
      <w:lvlText w:val="%1"/>
      <w:numFmt w:val="decimal"/>
      <w:start w:val="26"/>
    </w:lvl>
  </w:abstractNum>
  <w:abstractNum w:abstractNumId="243">
    <w:nsid w:val="769A091F"/>
    <w:multiLevelType w:val="hybridMultilevel"/>
    <w:lvl w:ilvl="0">
      <w:lvlJc w:val="left"/>
      <w:lvlText w:val="%1"/>
      <w:numFmt w:val="decimal"/>
      <w:start w:val="27"/>
    </w:lvl>
  </w:abstractNum>
  <w:abstractNum w:abstractNumId="244">
    <w:nsid w:val="4695AE95"/>
    <w:multiLevelType w:val="hybridMultilevel"/>
    <w:lvl w:ilvl="0">
      <w:lvlJc w:val="left"/>
      <w:lvlText w:val="(%1)"/>
      <w:numFmt w:val="lowerLetter"/>
      <w:start w:val="1"/>
    </w:lvl>
  </w:abstractNum>
  <w:abstractNum w:abstractNumId="245">
    <w:nsid w:val="777A4EAA"/>
    <w:multiLevelType w:val="hybridMultilevel"/>
    <w:lvl w:ilvl="0">
      <w:lvlJc w:val="left"/>
      <w:lvlText w:val="%1"/>
      <w:numFmt w:val="decimal"/>
      <w:start w:val="28"/>
    </w:lvl>
  </w:abstractNum>
  <w:abstractNum w:abstractNumId="246">
    <w:nsid w:val="3F48B982"/>
    <w:multiLevelType w:val="hybridMultilevel"/>
    <w:lvl w:ilvl="0">
      <w:lvlJc w:val="left"/>
      <w:lvlText w:val="%1"/>
      <w:numFmt w:val="decimal"/>
      <w:start w:val="28"/>
    </w:lvl>
  </w:abstractNum>
  <w:abstractNum w:abstractNumId="247">
    <w:nsid w:val="46BA8FCA"/>
    <w:multiLevelType w:val="hybridMultilevel"/>
    <w:lvl w:ilvl="0">
      <w:lvlJc w:val="left"/>
      <w:lvlText w:val="%1"/>
      <w:numFmt w:val="decimal"/>
      <w:start w:val="29"/>
    </w:lvl>
    <w:lvl w:ilvl="1">
      <w:lvlJc w:val="left"/>
      <w:lvlText w:val="(%2)"/>
      <w:numFmt w:val="lowerLetter"/>
      <w:start w:val="1"/>
    </w:lvl>
    <w:lvl w:ilvl="2">
      <w:lvlJc w:val="left"/>
      <w:lvlText w:val="-"/>
      <w:numFmt w:val="bullet"/>
      <w:start w:val="1"/>
    </w:lvl>
  </w:abstractNum>
  <w:abstractNum w:abstractNumId="248">
    <w:nsid w:val="7835626C"/>
    <w:multiLevelType w:val="hybridMultilevel"/>
    <w:lvl w:ilvl="0">
      <w:lvlJc w:val="left"/>
      <w:lvlText w:val="%1"/>
      <w:numFmt w:val="decimal"/>
      <w:start w:val="30"/>
    </w:lvl>
    <w:lvl w:ilvl="1">
      <w:lvlJc w:val="left"/>
      <w:lvlText w:val="(%2)"/>
      <w:numFmt w:val="lowerLetter"/>
      <w:start w:val="3"/>
    </w:lvl>
    <w:lvl w:ilvl="2">
      <w:lvlJc w:val="left"/>
      <w:lvlText w:val="-"/>
      <w:numFmt w:val="bullet"/>
      <w:start w:val="1"/>
    </w:lvl>
  </w:abstractNum>
  <w:abstractNum w:abstractNumId="249">
    <w:nsid w:val="665ACA49"/>
    <w:multiLevelType w:val="hybridMultilevel"/>
    <w:lvl w:ilvl="0">
      <w:lvlJc w:val="left"/>
      <w:lvlText w:val="%1"/>
      <w:numFmt w:val="decimal"/>
      <w:start w:val="31"/>
    </w:lvl>
    <w:lvl w:ilvl="1">
      <w:lvlJc w:val="left"/>
      <w:lvlText w:val="-"/>
      <w:numFmt w:val="bullet"/>
      <w:start w:val="1"/>
    </w:lvl>
  </w:abstractNum>
  <w:abstractNum w:abstractNumId="250">
    <w:nsid w:val="6835B2AE"/>
    <w:multiLevelType w:val="hybridMultilevel"/>
    <w:lvl w:ilvl="0">
      <w:lvlJc w:val="left"/>
      <w:lvlText w:val="(%1)"/>
      <w:numFmt w:val="lowerRoman"/>
      <w:start w:val="1"/>
    </w:lvl>
  </w:abstractNum>
  <w:abstractNum w:abstractNumId="251">
    <w:nsid w:val="4C187C90"/>
    <w:multiLevelType w:val="hybridMultilevel"/>
    <w:lvl w:ilvl="0">
      <w:lvlJc w:val="left"/>
      <w:lvlText w:val="•"/>
      <w:numFmt w:val="bullet"/>
      <w:start w:val="1"/>
    </w:lvl>
  </w:abstractNum>
  <w:abstractNum w:abstractNumId="252">
    <w:nsid w:val="541F28CD"/>
    <w:multiLevelType w:val="hybridMultilevel"/>
    <w:lvl w:ilvl="0">
      <w:lvlJc w:val="left"/>
      <w:lvlText w:val="•"/>
      <w:numFmt w:val="bullet"/>
      <w:start w:val="1"/>
    </w:lvl>
  </w:abstractNum>
  <w:abstractNum w:abstractNumId="253">
    <w:nsid w:val="7F65FD16"/>
    <w:multiLevelType w:val="hybridMultilevel"/>
    <w:lvl w:ilvl="0">
      <w:lvlJc w:val="left"/>
      <w:lvlText w:val="(%1)"/>
      <w:numFmt w:val="lowerLetter"/>
      <w:start w:val="1"/>
    </w:lvl>
  </w:abstractNum>
  <w:abstractNum w:abstractNumId="254">
    <w:nsid w:val="77C9FD68"/>
    <w:multiLevelType w:val="hybridMultilevel"/>
    <w:lvl w:ilvl="0">
      <w:lvlJc w:val="left"/>
      <w:lvlText w:val="•"/>
      <w:numFmt w:val="bullet"/>
      <w:start w:val="1"/>
    </w:lvl>
    <w:lvl w:ilvl="1">
      <w:lvlJc w:val="left"/>
      <w:lvlText w:val="(%2)"/>
      <w:numFmt w:val="lowerRoman"/>
      <w:start w:val="3"/>
    </w:lvl>
    <w:lvl w:ilvl="2">
      <w:lvlJc w:val="left"/>
      <w:lvlText w:val="%3"/>
      <w:numFmt w:val="lowerRoman"/>
      <w:start w:val="1"/>
    </w:lvl>
  </w:abstractNum>
  <w:abstractNum w:abstractNumId="255">
    <w:nsid w:val="298A92BA"/>
    <w:multiLevelType w:val="hybridMultilevel"/>
    <w:lvl w:ilvl="0">
      <w:lvlJc w:val="left"/>
      <w:lvlText w:val="•"/>
      <w:numFmt w:val="bullet"/>
      <w:start w:val="1"/>
    </w:lvl>
    <w:lvl w:ilvl="1">
      <w:lvlJc w:val="left"/>
      <w:lvlText w:val="(%2)"/>
      <w:numFmt w:val="lowerRoman"/>
      <w:start w:val="1"/>
    </w:lvl>
    <w:lvl w:ilvl="2">
      <w:lvlJc w:val="left"/>
      <w:lvlText w:val="(%3)"/>
      <w:numFmt w:val="lowerRoman"/>
      <w:start w:val="2"/>
    </w:lvl>
  </w:abstractNum>
  <w:abstractNum w:abstractNumId="256">
    <w:nsid w:val="6FE95EAC"/>
    <w:multiLevelType w:val="hybridMultilevel"/>
    <w:lvl w:ilvl="0">
      <w:lvlJc w:val="left"/>
      <w:lvlText w:val="•"/>
      <w:numFmt w:val="bullet"/>
      <w:start w:val="1"/>
    </w:lvl>
  </w:abstractNum>
  <w:abstractNum w:abstractNumId="257">
    <w:nsid w:val="4B697C7A"/>
    <w:multiLevelType w:val="hybridMultilevel"/>
    <w:lvl w:ilvl="0">
      <w:lvlJc w:val="left"/>
      <w:lvlText w:val="•"/>
      <w:numFmt w:val="bullet"/>
      <w:start w:val="1"/>
    </w:lvl>
  </w:abstractNum>
  <w:abstractNum w:abstractNumId="258">
    <w:nsid w:val="51A27AA6"/>
    <w:multiLevelType w:val="hybridMultilevel"/>
    <w:lvl w:ilvl="0">
      <w:lvlJc w:val="left"/>
      <w:lvlText w:val="(%1)"/>
      <w:numFmt w:val="decimal"/>
      <w:start w:val="1"/>
    </w:lvl>
  </w:abstractNum>
  <w:abstractNum w:abstractNumId="259">
    <w:nsid w:val="613183F2"/>
    <w:multiLevelType w:val="hybridMultilevel"/>
    <w:lvl w:ilvl="0">
      <w:lvlJc w:val="left"/>
      <w:lvlText w:val="(%1)"/>
      <w:numFmt w:val="lowerRoman"/>
      <w:start w:val="1"/>
    </w:lvl>
  </w:abstractNum>
  <w:abstractNum w:abstractNumId="260">
    <w:nsid w:val="634102B4"/>
    <w:multiLevelType w:val="hybridMultilevel"/>
    <w:lvl w:ilvl="0">
      <w:lvlJc w:val="left"/>
      <w:lvlText w:val="•"/>
      <w:numFmt w:val="bullet"/>
      <w:start w:val="1"/>
    </w:lvl>
  </w:abstractNum>
  <w:abstractNum w:abstractNumId="261">
    <w:nsid w:val="65BF9DA8"/>
    <w:multiLevelType w:val="hybridMultilevel"/>
    <w:lvl w:ilvl="0">
      <w:lvlJc w:val="left"/>
      <w:lvlText w:val="(%1)"/>
      <w:numFmt w:val="lowerRoman"/>
      <w:start w:val="1"/>
    </w:lvl>
  </w:abstractNum>
  <w:abstractNum w:abstractNumId="262">
    <w:nsid w:val="21A2ECCA"/>
    <w:multiLevelType w:val="hybridMultilevel"/>
    <w:lvl w:ilvl="0">
      <w:lvlJc w:val="left"/>
      <w:lvlText w:val="•"/>
      <w:numFmt w:val="bullet"/>
      <w:start w:val="1"/>
    </w:lvl>
  </w:abstractNum>
  <w:abstractNum w:abstractNumId="263">
    <w:nsid w:val="4D5C4899"/>
    <w:multiLevelType w:val="hybridMultilevel"/>
    <w:lvl w:ilvl="0">
      <w:lvlJc w:val="left"/>
      <w:lvlText w:val="•"/>
      <w:numFmt w:val="bullet"/>
      <w:start w:val="1"/>
    </w:lvl>
  </w:abstractNum>
  <w:abstractNum w:abstractNumId="264">
    <w:nsid w:val="3C3B72B2"/>
    <w:multiLevelType w:val="hybridMultilevel"/>
    <w:lvl w:ilvl="0">
      <w:lvlJc w:val="left"/>
      <w:lvlText w:val="%1."/>
      <w:numFmt w:val="decimal"/>
      <w:start w:val="1"/>
    </w:lvl>
    <w:lvl w:ilvl="1">
      <w:lvlJc w:val="left"/>
      <w:lvlText w:val="(%2)"/>
      <w:numFmt w:val="lowerLetter"/>
      <w:start w:val="1"/>
    </w:lvl>
  </w:abstractNum>
  <w:abstractNum w:abstractNumId="265">
    <w:nsid w:val="155EC4C2"/>
    <w:multiLevelType w:val="hybridMultilevel"/>
    <w:lvl w:ilvl="0">
      <w:lvlJc w:val="left"/>
      <w:lvlText w:val="%1."/>
      <w:numFmt w:val="decimal"/>
      <w:start w:val="1"/>
    </w:lvl>
    <w:lvl w:ilvl="1">
      <w:lvlJc w:val="left"/>
      <w:lvlText w:val="(%2)"/>
      <w:numFmt w:val="lowerLetter"/>
      <w:start w:val="1"/>
    </w:lvl>
  </w:abstractNum>
  <w:abstractNum w:abstractNumId="266">
    <w:nsid w:val="65D2A137"/>
    <w:multiLevelType w:val="hybridMultilevel"/>
    <w:lvl w:ilvl="0">
      <w:lvlJc w:val="left"/>
      <w:lvlText w:val="(%1)"/>
      <w:numFmt w:val="decimal"/>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jpeg"/><Relationship Id="rId301" Type="http://schemas.openxmlformats.org/officeDocument/2006/relationships/image" Target="media/image280.png"/><Relationship Id="rId302" Type="http://schemas.openxmlformats.org/officeDocument/2006/relationships/image" Target="media/image281.jpeg"/><Relationship Id="rId303" Type="http://schemas.openxmlformats.org/officeDocument/2006/relationships/image" Target="media/image282.jpeg"/><Relationship Id="rId304" Type="http://schemas.openxmlformats.org/officeDocument/2006/relationships/image" Target="media/image283.png"/><Relationship Id="rId174" Type="http://schemas.openxmlformats.org/officeDocument/2006/relationships/hyperlink" Target="http://www.sec.gov/Archives/edgar/data/1697818/000110465919023699/a19-3271_1ex1d1.htm" TargetMode="External"/><Relationship Id="rId175" Type="http://schemas.openxmlformats.org/officeDocument/2006/relationships/hyperlink" Target="http://www.sec.gov/Archives/edgar/data/1697818/000119312517358756/d347875dex43.htm" TargetMode="External"/><Relationship Id="rId176" Type="http://schemas.openxmlformats.org/officeDocument/2006/relationships/hyperlink" Target="http://www.sec.gov/Archives/edgar/data/1697818/000119312517315220/d347875dex42.htm" TargetMode="External"/><Relationship Id="rId177" Type="http://schemas.openxmlformats.org/officeDocument/2006/relationships/hyperlink" Target="http://www.sec.gov/Archives/edgar/data/1697818/000119312517315220/d347875dex102.htm" TargetMode="External"/><Relationship Id="rId178" Type="http://schemas.openxmlformats.org/officeDocument/2006/relationships/hyperlink" Target="http://www.sec.gov/Archives/edgar/data/1697818/000119312517315220/d347875dex103.htm" TargetMode="External"/><Relationship Id="rId179" Type="http://schemas.openxmlformats.org/officeDocument/2006/relationships/hyperlink" Target="http://www.sec.gov/Archives/edgar/data/1697818/000119312517315220/d347875dex104.htm" TargetMode="External"/><Relationship Id="rId180" Type="http://schemas.openxmlformats.org/officeDocument/2006/relationships/hyperlink" Target="http://www.sec.gov/Archives/edgar/data/1697818/000119312517315220/d347875dex105.htm" TargetMode="External"/><Relationship Id="rId181" Type="http://schemas.openxmlformats.org/officeDocument/2006/relationships/hyperlink" Target="http://www.sec.gov/Archives/edgar/data/1697818/000119312517315220/d347875dex106.htm" TargetMode="External"/><Relationship Id="rId182" Type="http://schemas.openxmlformats.org/officeDocument/2006/relationships/hyperlink" Target="http://www.sec.gov/Archives/edgar/data/1697818/000119312517315220/d347875dex107.htm" TargetMode="External"/><Relationship Id="rId183" Type="http://schemas.openxmlformats.org/officeDocument/2006/relationships/hyperlink" Target="http://www.sec.gov/Archives/edgar/data/1697818/000119312518190073/d600917dex102.htm" TargetMode="External"/><Relationship Id="rId186" Type="http://schemas.openxmlformats.org/officeDocument/2006/relationships/hyperlink" Target="http://www.sec.gov/Archives/edgar/data/1697818/000119312517315220/d347875dex109.htm" TargetMode="External"/><Relationship Id="rId187" Type="http://schemas.openxmlformats.org/officeDocument/2006/relationships/hyperlink" Target="http://www.sec.gov/Archives/edgar/data/1697818/000119312517315220/d347875dex1010.htm" TargetMode="External"/><Relationship Id="rId188" Type="http://schemas.openxmlformats.org/officeDocument/2006/relationships/hyperlink" Target="http://www.sec.gov/Archives/edgar/data/1697818/000110465918061085/a18-36354_1ex10d1.htm" TargetMode="External"/><Relationship Id="rId189" Type="http://schemas.openxmlformats.org/officeDocument/2006/relationships/hyperlink" Target="http://www.sec.gov/Archives/edgar/data/1697818/000119312517315220/d347875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2020-04-30T15:11:13Z</dcterms:created>
  <dcterms:modified xsi:type="dcterms:W3CDTF">2020-04-30T15:11:13Z</dcterms:modified>
</cp:coreProperties>
</file>