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ordinary shares,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G47048 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59"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196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1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right w:val="single" w:sz="8" w:color="auto"/>
            </w:tcBorders>
          </w:tcPr>
          <w:p>
            <w:pPr>
              <w:spacing w:after="0"/>
              <w:rPr>
                <w:sz w:val="19"/>
                <w:szCs w:val="19"/>
                <w:color w:val="auto"/>
              </w:rPr>
            </w:pPr>
          </w:p>
        </w:tc>
        <w:tc>
          <w:tcPr>
            <w:tcW w:w="3700" w:type="dxa"/>
            <w:vAlign w:val="bottom"/>
            <w:tcBorders>
              <w:top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26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98"/>
              </w:rPr>
              <w:t>Page 2 of 8</w:t>
            </w:r>
          </w:p>
        </w:tc>
        <w:tc>
          <w:tcPr>
            <w:tcW w:w="0" w:type="dxa"/>
            <w:vAlign w:val="bottom"/>
          </w:tcPr>
          <w:p>
            <w:pPr>
              <w:spacing w:after="0"/>
              <w:rPr>
                <w:sz w:val="1"/>
                <w:szCs w:val="1"/>
                <w:color w:val="auto"/>
              </w:rPr>
            </w:pPr>
          </w:p>
        </w:tc>
      </w:tr>
      <w:tr>
        <w:trPr>
          <w:trHeight w:val="217"/>
        </w:trPr>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80" w:type="dxa"/>
            <w:vAlign w:val="bottom"/>
            <w:tcBorders>
              <w:bottom w:val="single" w:sz="8" w:color="auto"/>
            </w:tcBorders>
            <w:gridSpan w:val="3"/>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Borders>
              <w:right w:val="single" w:sz="8" w:color="auto"/>
            </w:tcBorders>
          </w:tcPr>
          <w:p>
            <w:pPr>
              <w:spacing w:after="0"/>
              <w:rPr>
                <w:sz w:val="21"/>
                <w:szCs w:val="21"/>
                <w:color w:val="auto"/>
              </w:rPr>
            </w:pPr>
          </w:p>
        </w:tc>
        <w:tc>
          <w:tcPr>
            <w:tcW w:w="9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Hui Tung Wai</w:t>
            </w: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Borders>
              <w:right w:val="single" w:sz="8" w:color="auto"/>
            </w:tcBorders>
          </w:tcPr>
          <w:p>
            <w:pPr>
              <w:spacing w:after="0"/>
              <w:rPr>
                <w:sz w:val="21"/>
                <w:szCs w:val="21"/>
                <w:color w:val="auto"/>
              </w:rPr>
            </w:pPr>
          </w:p>
        </w:tc>
        <w:tc>
          <w:tcPr>
            <w:tcW w:w="9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tcBorders>
              <w:right w:val="single" w:sz="8" w:color="auto"/>
            </w:tcBorders>
          </w:tcPr>
          <w:p>
            <w:pPr>
              <w:spacing w:after="0"/>
              <w:rPr>
                <w:sz w:val="21"/>
                <w:szCs w:val="21"/>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7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tcBorders>
              <w:right w:val="single" w:sz="8" w:color="auto"/>
            </w:tcBorders>
          </w:tcPr>
          <w:p>
            <w:pPr>
              <w:spacing w:after="0"/>
              <w:rPr>
                <w:sz w:val="21"/>
                <w:szCs w:val="21"/>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7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PF</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tcBorders>
              <w:right w:val="single" w:sz="8" w:color="auto"/>
            </w:tcBorders>
          </w:tcPr>
          <w:p>
            <w:pPr>
              <w:spacing w:after="0"/>
              <w:rPr>
                <w:sz w:val="24"/>
                <w:szCs w:val="24"/>
                <w:color w:val="auto"/>
              </w:rPr>
            </w:pPr>
          </w:p>
        </w:tc>
        <w:tc>
          <w:tcPr>
            <w:tcW w:w="9000" w:type="dxa"/>
            <w:vAlign w:val="bottom"/>
            <w:gridSpan w:val="5"/>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20" w:type="dxa"/>
            <w:vAlign w:val="bottom"/>
            <w:tcBorders>
              <w:left w:val="single" w:sz="8" w:color="auto"/>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080" w:type="dxa"/>
            <w:vAlign w:val="bottom"/>
            <w:tcBorders>
              <w:bottom w:val="single" w:sz="8" w:color="auto"/>
            </w:tcBorders>
            <w:gridSpan w:val="3"/>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tcBorders>
              <w:right w:val="single" w:sz="8" w:color="auto"/>
            </w:tcBorders>
          </w:tcPr>
          <w:p>
            <w:pPr>
              <w:spacing w:after="0"/>
              <w:rPr>
                <w:sz w:val="21"/>
                <w:szCs w:val="21"/>
                <w:color w:val="auto"/>
              </w:rPr>
            </w:pPr>
          </w:p>
        </w:tc>
        <w:tc>
          <w:tcPr>
            <w:tcW w:w="9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Hong Kong, China</w:t>
            </w: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7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7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143,345 Class A ordinary shares</w:t>
            </w: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tcBorders>
          </w:tcPr>
          <w:p>
            <w:pPr>
              <w:spacing w:after="0"/>
              <w:rPr>
                <w:sz w:val="2"/>
                <w:szCs w:val="2"/>
                <w:color w:val="auto"/>
              </w:rPr>
            </w:pPr>
          </w:p>
        </w:tc>
        <w:tc>
          <w:tcPr>
            <w:tcW w:w="1640" w:type="dxa"/>
            <w:vAlign w:val="bottom"/>
            <w:tcBorders>
              <w:right w:val="single" w:sz="8" w:color="auto"/>
            </w:tcBorders>
            <w:gridSpan w:val="2"/>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0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20" w:type="dxa"/>
            <w:vAlign w:val="bottom"/>
            <w:tcBorders>
              <w:left w:val="single" w:sz="8" w:color="auto"/>
            </w:tcBorders>
          </w:tcPr>
          <w:p>
            <w:pPr>
              <w:spacing w:after="0"/>
              <w:rPr>
                <w:sz w:val="24"/>
                <w:szCs w:val="24"/>
                <w:color w:val="auto"/>
              </w:rPr>
            </w:pPr>
          </w:p>
        </w:tc>
        <w:tc>
          <w:tcPr>
            <w:tcW w:w="164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7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8"/>
              </w:rPr>
              <w:t>SHARES</w:t>
            </w:r>
          </w:p>
        </w:tc>
        <w:tc>
          <w:tcPr>
            <w:tcW w:w="1120" w:type="dxa"/>
            <w:vAlign w:val="bottom"/>
            <w:tcBorders>
              <w:right w:val="single" w:sz="8" w:color="auto"/>
            </w:tcBorders>
          </w:tcPr>
          <w:p>
            <w:pPr>
              <w:spacing w:after="0"/>
              <w:rPr>
                <w:sz w:val="18"/>
                <w:szCs w:val="18"/>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BENEFICIALLY</w:t>
            </w:r>
          </w:p>
        </w:tc>
        <w:tc>
          <w:tcPr>
            <w:tcW w:w="112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60" w:type="dxa"/>
            <w:vAlign w:val="bottom"/>
            <w:tcBorders>
              <w:left w:val="single" w:sz="8" w:color="auto"/>
              <w:right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OWNED BY EACH</w:t>
            </w:r>
          </w:p>
        </w:tc>
        <w:tc>
          <w:tcPr>
            <w:tcW w:w="112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9.</w:t>
            </w:r>
          </w:p>
        </w:tc>
        <w:tc>
          <w:tcPr>
            <w:tcW w:w="70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SOLE DISPOSITIVE POWER</w:t>
            </w: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8"/>
              </w:rPr>
              <w:t>REPORTING</w:t>
            </w:r>
          </w:p>
        </w:tc>
        <w:tc>
          <w:tcPr>
            <w:tcW w:w="11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20" w:type="dxa"/>
            <w:vAlign w:val="bottom"/>
            <w:tcBorders>
              <w:left w:val="single" w:sz="8" w:color="auto"/>
            </w:tcBorders>
          </w:tcPr>
          <w:p>
            <w:pPr>
              <w:spacing w:after="0"/>
              <w:rPr>
                <w:sz w:val="22"/>
                <w:szCs w:val="22"/>
                <w:color w:val="auto"/>
              </w:rPr>
            </w:pPr>
          </w:p>
        </w:tc>
        <w:tc>
          <w:tcPr>
            <w:tcW w:w="164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PERSON WITH</w:t>
            </w:r>
          </w:p>
        </w:tc>
        <w:tc>
          <w:tcPr>
            <w:tcW w:w="1120" w:type="dxa"/>
            <w:vAlign w:val="bottom"/>
            <w:tcBorders>
              <w:right w:val="single" w:sz="8" w:color="auto"/>
            </w:tcBorders>
          </w:tcPr>
          <w:p>
            <w:pPr>
              <w:spacing w:after="0"/>
              <w:rPr>
                <w:sz w:val="22"/>
                <w:szCs w:val="22"/>
                <w:color w:val="auto"/>
              </w:rPr>
            </w:pPr>
          </w:p>
        </w:tc>
        <w:tc>
          <w:tcPr>
            <w:tcW w:w="7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143,345 Class A ordinary shares</w:t>
            </w:r>
          </w:p>
        </w:tc>
        <w:tc>
          <w:tcPr>
            <w:tcW w:w="1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0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7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0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tcBorders>
              <w:right w:val="single" w:sz="8" w:color="auto"/>
            </w:tcBorders>
          </w:tcPr>
          <w:p>
            <w:pPr>
              <w:spacing w:after="0"/>
              <w:rPr>
                <w:sz w:val="21"/>
                <w:szCs w:val="21"/>
                <w:color w:val="auto"/>
              </w:rPr>
            </w:pPr>
          </w:p>
        </w:tc>
        <w:tc>
          <w:tcPr>
            <w:tcW w:w="9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143,345 Class A ordinary shares</w:t>
            </w: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0" w:type="dxa"/>
            <w:vAlign w:val="bottom"/>
            <w:tcBorders>
              <w:bottom w:val="single" w:sz="8" w:color="auto"/>
            </w:tcBorders>
            <w:gridSpan w:val="5"/>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tcBorders>
              <w:right w:val="single" w:sz="8" w:color="auto"/>
            </w:tcBorders>
          </w:tcPr>
          <w:p>
            <w:pPr>
              <w:spacing w:after="0"/>
              <w:rPr>
                <w:sz w:val="24"/>
                <w:szCs w:val="24"/>
                <w:color w:val="auto"/>
              </w:rPr>
            </w:pPr>
          </w:p>
        </w:tc>
        <w:tc>
          <w:tcPr>
            <w:tcW w:w="9000" w:type="dxa"/>
            <w:vAlign w:val="bottom"/>
            <w:gridSpan w:val="5"/>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000" w:type="dxa"/>
            <w:vAlign w:val="bottom"/>
            <w:tcBorders>
              <w:bottom w:val="single" w:sz="8" w:color="auto"/>
            </w:tcBorders>
            <w:gridSpan w:val="5"/>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13.</w:t>
            </w:r>
          </w:p>
        </w:tc>
        <w:tc>
          <w:tcPr>
            <w:tcW w:w="840" w:type="dxa"/>
            <w:vAlign w:val="bottom"/>
            <w:tcBorders>
              <w:right w:val="single" w:sz="8" w:color="auto"/>
            </w:tcBorders>
          </w:tcPr>
          <w:p>
            <w:pPr>
              <w:spacing w:after="0"/>
              <w:rPr>
                <w:sz w:val="21"/>
                <w:szCs w:val="21"/>
                <w:color w:val="auto"/>
              </w:rPr>
            </w:pPr>
          </w:p>
        </w:tc>
        <w:tc>
          <w:tcPr>
            <w:tcW w:w="9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0.3%</w:t>
            </w:r>
            <w:r>
              <w:rPr>
                <w:rFonts w:ascii="Times New Roman" w:cs="Times New Roman" w:eastAsia="Times New Roman" w:hAnsi="Times New Roman"/>
                <w:sz w:val="29"/>
                <w:szCs w:val="29"/>
                <w:color w:val="auto"/>
                <w:vertAlign w:val="superscript"/>
              </w:rPr>
              <w:t>1</w:t>
            </w:r>
          </w:p>
        </w:tc>
        <w:tc>
          <w:tcPr>
            <w:tcW w:w="1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tcBorders>
              <w:right w:val="single" w:sz="8" w:color="auto"/>
            </w:tcBorders>
          </w:tcPr>
          <w:p>
            <w:pPr>
              <w:spacing w:after="0"/>
              <w:rPr>
                <w:sz w:val="21"/>
                <w:szCs w:val="21"/>
                <w:color w:val="auto"/>
              </w:rPr>
            </w:pPr>
          </w:p>
        </w:tc>
        <w:tc>
          <w:tcPr>
            <w:tcW w:w="9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right="20" w:hanging="332"/>
        <w:spacing w:after="0" w:line="195" w:lineRule="auto"/>
        <w:tabs>
          <w:tab w:leader="none" w:pos="34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 ownership calculation assumes that there is a total of 44,477,356 Class A Ordinary Shares outstanding, as specified in the Merger Agreement (as defined herein) filed by the Issuer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196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1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right w:val="single" w:sz="8" w:color="auto"/>
            </w:tcBorders>
          </w:tcPr>
          <w:p>
            <w:pPr>
              <w:spacing w:after="0"/>
              <w:rPr>
                <w:sz w:val="19"/>
                <w:szCs w:val="19"/>
                <w:color w:val="auto"/>
              </w:rPr>
            </w:pPr>
          </w:p>
        </w:tc>
        <w:tc>
          <w:tcPr>
            <w:tcW w:w="3700" w:type="dxa"/>
            <w:vAlign w:val="bottom"/>
            <w:tcBorders>
              <w:top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26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98"/>
              </w:rPr>
              <w:t>Page 3 of 8</w:t>
            </w:r>
          </w:p>
        </w:tc>
        <w:tc>
          <w:tcPr>
            <w:tcW w:w="0" w:type="dxa"/>
            <w:vAlign w:val="bottom"/>
          </w:tcPr>
          <w:p>
            <w:pPr>
              <w:spacing w:after="0"/>
              <w:rPr>
                <w:sz w:val="1"/>
                <w:szCs w:val="1"/>
                <w:color w:val="auto"/>
              </w:rPr>
            </w:pPr>
          </w:p>
        </w:tc>
      </w:tr>
      <w:tr>
        <w:trPr>
          <w:trHeight w:val="217"/>
        </w:trPr>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80" w:type="dxa"/>
            <w:vAlign w:val="bottom"/>
            <w:tcBorders>
              <w:bottom w:val="single" w:sz="8" w:color="auto"/>
            </w:tcBorders>
            <w:gridSpan w:val="3"/>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Borders>
              <w:right w:val="single" w:sz="8" w:color="auto"/>
            </w:tcBorders>
          </w:tcPr>
          <w:p>
            <w:pPr>
              <w:spacing w:after="0"/>
              <w:rPr>
                <w:sz w:val="21"/>
                <w:szCs w:val="21"/>
                <w:color w:val="auto"/>
              </w:rPr>
            </w:pPr>
          </w:p>
        </w:tc>
        <w:tc>
          <w:tcPr>
            <w:tcW w:w="9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Cheer Lead Global Limited</w:t>
            </w: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Borders>
              <w:right w:val="single" w:sz="8" w:color="auto"/>
            </w:tcBorders>
          </w:tcPr>
          <w:p>
            <w:pPr>
              <w:spacing w:after="0"/>
              <w:rPr>
                <w:sz w:val="21"/>
                <w:szCs w:val="21"/>
                <w:color w:val="auto"/>
              </w:rPr>
            </w:pPr>
          </w:p>
        </w:tc>
        <w:tc>
          <w:tcPr>
            <w:tcW w:w="9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tcBorders>
              <w:right w:val="single" w:sz="8" w:color="auto"/>
            </w:tcBorders>
          </w:tcPr>
          <w:p>
            <w:pPr>
              <w:spacing w:after="0"/>
              <w:rPr>
                <w:sz w:val="21"/>
                <w:szCs w:val="21"/>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7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tcBorders>
              <w:right w:val="single" w:sz="8" w:color="auto"/>
            </w:tcBorders>
          </w:tcPr>
          <w:p>
            <w:pPr>
              <w:spacing w:after="0"/>
              <w:rPr>
                <w:sz w:val="21"/>
                <w:szCs w:val="21"/>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7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PF</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tcBorders>
              <w:right w:val="single" w:sz="8" w:color="auto"/>
            </w:tcBorders>
          </w:tcPr>
          <w:p>
            <w:pPr>
              <w:spacing w:after="0"/>
              <w:rPr>
                <w:sz w:val="24"/>
                <w:szCs w:val="24"/>
                <w:color w:val="auto"/>
              </w:rPr>
            </w:pPr>
          </w:p>
        </w:tc>
        <w:tc>
          <w:tcPr>
            <w:tcW w:w="9000" w:type="dxa"/>
            <w:vAlign w:val="bottom"/>
            <w:gridSpan w:val="5"/>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20" w:type="dxa"/>
            <w:vAlign w:val="bottom"/>
            <w:tcBorders>
              <w:left w:val="single" w:sz="8" w:color="auto"/>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080" w:type="dxa"/>
            <w:vAlign w:val="bottom"/>
            <w:tcBorders>
              <w:bottom w:val="single" w:sz="8" w:color="auto"/>
            </w:tcBorders>
            <w:gridSpan w:val="3"/>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tcBorders>
              <w:right w:val="single" w:sz="8" w:color="auto"/>
            </w:tcBorders>
          </w:tcPr>
          <w:p>
            <w:pPr>
              <w:spacing w:after="0"/>
              <w:rPr>
                <w:sz w:val="21"/>
                <w:szCs w:val="21"/>
                <w:color w:val="auto"/>
              </w:rPr>
            </w:pPr>
          </w:p>
        </w:tc>
        <w:tc>
          <w:tcPr>
            <w:tcW w:w="9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British Virgin Islands</w:t>
            </w: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7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7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143,345 Class A ordinary shares</w:t>
            </w: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tcBorders>
          </w:tcPr>
          <w:p>
            <w:pPr>
              <w:spacing w:after="0"/>
              <w:rPr>
                <w:sz w:val="2"/>
                <w:szCs w:val="2"/>
                <w:color w:val="auto"/>
              </w:rPr>
            </w:pPr>
          </w:p>
        </w:tc>
        <w:tc>
          <w:tcPr>
            <w:tcW w:w="1640" w:type="dxa"/>
            <w:vAlign w:val="bottom"/>
            <w:tcBorders>
              <w:right w:val="single" w:sz="8" w:color="auto"/>
            </w:tcBorders>
            <w:gridSpan w:val="2"/>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0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20" w:type="dxa"/>
            <w:vAlign w:val="bottom"/>
            <w:tcBorders>
              <w:left w:val="single" w:sz="8" w:color="auto"/>
            </w:tcBorders>
          </w:tcPr>
          <w:p>
            <w:pPr>
              <w:spacing w:after="0"/>
              <w:rPr>
                <w:sz w:val="24"/>
                <w:szCs w:val="24"/>
                <w:color w:val="auto"/>
              </w:rPr>
            </w:pPr>
          </w:p>
        </w:tc>
        <w:tc>
          <w:tcPr>
            <w:tcW w:w="164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7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8"/>
              </w:rPr>
              <w:t>SHARES</w:t>
            </w:r>
          </w:p>
        </w:tc>
        <w:tc>
          <w:tcPr>
            <w:tcW w:w="1120" w:type="dxa"/>
            <w:vAlign w:val="bottom"/>
            <w:tcBorders>
              <w:right w:val="single" w:sz="8" w:color="auto"/>
            </w:tcBorders>
          </w:tcPr>
          <w:p>
            <w:pPr>
              <w:spacing w:after="0"/>
              <w:rPr>
                <w:sz w:val="18"/>
                <w:szCs w:val="18"/>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BENEFICIALLY</w:t>
            </w:r>
          </w:p>
        </w:tc>
        <w:tc>
          <w:tcPr>
            <w:tcW w:w="112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60" w:type="dxa"/>
            <w:vAlign w:val="bottom"/>
            <w:tcBorders>
              <w:left w:val="single" w:sz="8" w:color="auto"/>
              <w:right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OWNED BY EACH</w:t>
            </w:r>
          </w:p>
        </w:tc>
        <w:tc>
          <w:tcPr>
            <w:tcW w:w="112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9.</w:t>
            </w:r>
          </w:p>
        </w:tc>
        <w:tc>
          <w:tcPr>
            <w:tcW w:w="70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SOLE DISPOSITIVE POWER</w:t>
            </w: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64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8"/>
              </w:rPr>
              <w:t>REPORTING</w:t>
            </w:r>
          </w:p>
        </w:tc>
        <w:tc>
          <w:tcPr>
            <w:tcW w:w="112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20" w:type="dxa"/>
            <w:vAlign w:val="bottom"/>
            <w:tcBorders>
              <w:left w:val="single" w:sz="8" w:color="auto"/>
            </w:tcBorders>
          </w:tcPr>
          <w:p>
            <w:pPr>
              <w:spacing w:after="0"/>
              <w:rPr>
                <w:sz w:val="22"/>
                <w:szCs w:val="22"/>
                <w:color w:val="auto"/>
              </w:rPr>
            </w:pPr>
          </w:p>
        </w:tc>
        <w:tc>
          <w:tcPr>
            <w:tcW w:w="164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PERSON WITH</w:t>
            </w:r>
          </w:p>
        </w:tc>
        <w:tc>
          <w:tcPr>
            <w:tcW w:w="1120" w:type="dxa"/>
            <w:vAlign w:val="bottom"/>
            <w:tcBorders>
              <w:right w:val="single" w:sz="8" w:color="auto"/>
            </w:tcBorders>
          </w:tcPr>
          <w:p>
            <w:pPr>
              <w:spacing w:after="0"/>
              <w:rPr>
                <w:sz w:val="22"/>
                <w:szCs w:val="22"/>
                <w:color w:val="auto"/>
              </w:rPr>
            </w:pPr>
          </w:p>
        </w:tc>
        <w:tc>
          <w:tcPr>
            <w:tcW w:w="7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143,345 Class A ordinary shares</w:t>
            </w:r>
          </w:p>
        </w:tc>
        <w:tc>
          <w:tcPr>
            <w:tcW w:w="1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0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7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0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tcBorders>
              <w:right w:val="single" w:sz="8" w:color="auto"/>
            </w:tcBorders>
          </w:tcPr>
          <w:p>
            <w:pPr>
              <w:spacing w:after="0"/>
              <w:rPr>
                <w:sz w:val="21"/>
                <w:szCs w:val="21"/>
                <w:color w:val="auto"/>
              </w:rPr>
            </w:pPr>
          </w:p>
        </w:tc>
        <w:tc>
          <w:tcPr>
            <w:tcW w:w="9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143,345 Class A ordinary shares</w:t>
            </w: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0" w:type="dxa"/>
            <w:vAlign w:val="bottom"/>
            <w:tcBorders>
              <w:bottom w:val="single" w:sz="8" w:color="auto"/>
            </w:tcBorders>
            <w:gridSpan w:val="5"/>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tcBorders>
              <w:right w:val="single" w:sz="8" w:color="auto"/>
            </w:tcBorders>
          </w:tcPr>
          <w:p>
            <w:pPr>
              <w:spacing w:after="0"/>
              <w:rPr>
                <w:sz w:val="24"/>
                <w:szCs w:val="24"/>
                <w:color w:val="auto"/>
              </w:rPr>
            </w:pPr>
          </w:p>
        </w:tc>
        <w:tc>
          <w:tcPr>
            <w:tcW w:w="9000" w:type="dxa"/>
            <w:vAlign w:val="bottom"/>
            <w:gridSpan w:val="5"/>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9000" w:type="dxa"/>
            <w:vAlign w:val="bottom"/>
            <w:tcBorders>
              <w:bottom w:val="single" w:sz="8" w:color="auto"/>
            </w:tcBorders>
            <w:gridSpan w:val="5"/>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13.</w:t>
            </w:r>
          </w:p>
        </w:tc>
        <w:tc>
          <w:tcPr>
            <w:tcW w:w="840" w:type="dxa"/>
            <w:vAlign w:val="bottom"/>
            <w:tcBorders>
              <w:right w:val="single" w:sz="8" w:color="auto"/>
            </w:tcBorders>
          </w:tcPr>
          <w:p>
            <w:pPr>
              <w:spacing w:after="0"/>
              <w:rPr>
                <w:sz w:val="21"/>
                <w:szCs w:val="21"/>
                <w:color w:val="auto"/>
              </w:rPr>
            </w:pPr>
          </w:p>
        </w:tc>
        <w:tc>
          <w:tcPr>
            <w:tcW w:w="9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0.3%</w:t>
            </w:r>
            <w:r>
              <w:rPr>
                <w:rFonts w:ascii="Times New Roman" w:cs="Times New Roman" w:eastAsia="Times New Roman" w:hAnsi="Times New Roman"/>
                <w:sz w:val="29"/>
                <w:szCs w:val="29"/>
                <w:color w:val="auto"/>
                <w:vertAlign w:val="superscript"/>
              </w:rPr>
              <w:t>2</w:t>
            </w:r>
          </w:p>
        </w:tc>
        <w:tc>
          <w:tcPr>
            <w:tcW w:w="1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tcBorders>
              <w:right w:val="single" w:sz="8" w:color="auto"/>
            </w:tcBorders>
          </w:tcPr>
          <w:p>
            <w:pPr>
              <w:spacing w:after="0"/>
              <w:rPr>
                <w:sz w:val="21"/>
                <w:szCs w:val="21"/>
                <w:color w:val="auto"/>
              </w:rPr>
            </w:pPr>
          </w:p>
        </w:tc>
        <w:tc>
          <w:tcPr>
            <w:tcW w:w="9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right="20" w:hanging="332"/>
        <w:spacing w:after="0" w:line="195" w:lineRule="auto"/>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 ownership calculation assumes that there is a total of 44,477,356 Class A Ordinary Shares outstanding, as specified in the Merger Agreement filed by the Issuer with the SEC on November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700" w:type="dxa"/>
            <w:vAlign w:val="bottom"/>
            <w:tcBorders>
              <w:top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bottom w:val="single" w:sz="8" w:color="auto"/>
              <w:right w:val="single" w:sz="8" w:color="auto"/>
            </w:tcBorders>
          </w:tcPr>
          <w:p>
            <w:pPr>
              <w:ind w:left="2860"/>
              <w:spacing w:after="0"/>
              <w:rPr>
                <w:sz w:val="20"/>
                <w:szCs w:val="20"/>
                <w:color w:val="auto"/>
              </w:rPr>
            </w:pPr>
            <w:r>
              <w:rPr>
                <w:rFonts w:ascii="Times New Roman" w:cs="Times New Roman" w:eastAsia="Times New Roman" w:hAnsi="Times New Roman"/>
                <w:sz w:val="18"/>
                <w:szCs w:val="18"/>
                <w:b w:val="1"/>
                <w:bCs w:val="1"/>
                <w:color w:val="auto"/>
                <w:w w:val="95"/>
              </w:rPr>
              <w:t>Page 4 of 8</w:t>
            </w: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SECURITIES AND ISSUER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Schedule 13D relates to Class A ordinary shares, par value $0.001 per share (the “</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of iClick Interactive Asia Group Limited, a company incorporated in the Cayman Islands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which address and principal executive office is 15/F Prosperity Millennia Plaza, 663 King’s Road, Quarry Bay, Hong Kong S.A.R., People’s Republic of China.</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Issuer’s ordinary shares consist of Class A Ordinary Shares and Class B ordinary shares, par value of $0.001 per share (the “</w:t>
      </w:r>
      <w:r>
        <w:rPr>
          <w:rFonts w:ascii="Times New Roman" w:cs="Times New Roman" w:eastAsia="Times New Roman" w:hAnsi="Times New Roman"/>
          <w:sz w:val="18"/>
          <w:szCs w:val="18"/>
          <w:u w:val="single" w:color="auto"/>
          <w:color w:val="auto"/>
        </w:rPr>
        <w:t>Class B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together with the Class A Ordinary Shares,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(1) vote per share.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Issuer’s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(one representing five Class A Ordinary Shares) are listed on the NASDAQ Global Market under the symbol “ICLK.”</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IDENTITY AND BACKGROUND</w:t>
      </w:r>
    </w:p>
    <w:p>
      <w:pPr>
        <w:spacing w:after="0" w:line="229" w:lineRule="exact"/>
        <w:rPr>
          <w:sz w:val="20"/>
          <w:szCs w:val="20"/>
          <w:color w:val="auto"/>
        </w:rPr>
      </w:pPr>
    </w:p>
    <w:p>
      <w:pPr>
        <w:ind w:left="660" w:right="2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being filed jointly on behalf of (1) Hui Tung Wai, a citizen of the People’s Republic of China, and (2) Cheer Lead Global Limited (“</w:t>
      </w:r>
      <w:r>
        <w:rPr>
          <w:rFonts w:ascii="Times New Roman" w:cs="Times New Roman" w:eastAsia="Times New Roman" w:hAnsi="Times New Roman"/>
          <w:sz w:val="18"/>
          <w:szCs w:val="18"/>
          <w:u w:val="single" w:color="auto"/>
          <w:color w:val="auto"/>
        </w:rPr>
        <w:t>Cheer Lead Global</w:t>
      </w:r>
      <w:r>
        <w:rPr>
          <w:rFonts w:ascii="Times New Roman" w:cs="Times New Roman" w:eastAsia="Times New Roman" w:hAnsi="Times New Roman"/>
          <w:sz w:val="18"/>
          <w:szCs w:val="18"/>
          <w:color w:val="auto"/>
        </w:rPr>
        <w:t>”), a British Virgin Islands company (each a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or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the Reporting Persons is Unit 1803, 18/F, Stelux House, 698 Prince Edward Road East, San Po Kong.</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Hui is the sole shareholder and sole director of Cheer Lead Global. Mr. Hui’s principal occupation is as Director of Infinity Global Fund SPC and Infinity Capital (Cayman Islands) Limited, both of which are investment holding companies. The principal business of Cheer Lead Global is the acquiring, holding, managing, supervising and disposing of investments for its sole shareholder.</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paragraph (a) above for the citizenship of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700" w:type="dxa"/>
            <w:vAlign w:val="bottom"/>
            <w:tcBorders>
              <w:top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bottom w:val="single" w:sz="8" w:color="auto"/>
              <w:right w:val="single" w:sz="8" w:color="auto"/>
            </w:tcBorders>
          </w:tcPr>
          <w:p>
            <w:pPr>
              <w:ind w:left="2860"/>
              <w:spacing w:after="0"/>
              <w:rPr>
                <w:sz w:val="20"/>
                <w:szCs w:val="20"/>
                <w:color w:val="auto"/>
              </w:rPr>
            </w:pPr>
            <w:r>
              <w:rPr>
                <w:rFonts w:ascii="Times New Roman" w:cs="Times New Roman" w:eastAsia="Times New Roman" w:hAnsi="Times New Roman"/>
                <w:sz w:val="18"/>
                <w:szCs w:val="18"/>
                <w:b w:val="1"/>
                <w:bCs w:val="1"/>
                <w:color w:val="auto"/>
                <w:w w:val="95"/>
              </w:rPr>
              <w:t>Page 5 of 8</w:t>
            </w: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Class A Ordinary Shares were purchased by the Reporting Persons in connection with the transaction giving rise to the filing of this Schedule 13D and thus no funds were used by any of the Reporting Persons for such purpose.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24, 2023, the Issuer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TSH Investment Holding Limited, an exempted company with limited liability incorporated under the laws of the Cayman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TSH Merger Sub Limited, an exempted company with limited liability incorporated under the laws of the Cayman Islands and a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and subject to the terms and conditions thereof, Merger Sub will merge with and into the Issuer, with the Issuer continuing as the surviving company and becoming a wholly-owned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The descriptions of the Merger and the Merger Agreement set forth in Item 4 below are incorporated by reference in their entirety in this Item 3. The information disclosed in this paragraph does not purport to be complete and is qualified in its entirety by reference to the Merger Agreement, a copy of which is filed as </w:t>
      </w:r>
      <w:r>
        <w:rPr>
          <w:rFonts w:ascii="Times New Roman" w:cs="Times New Roman" w:eastAsia="Times New Roman" w:hAnsi="Times New Roman"/>
          <w:sz w:val="18"/>
          <w:szCs w:val="18"/>
          <w:u w:val="single" w:color="auto"/>
          <w:color w:val="auto"/>
        </w:rPr>
        <w:t>Exhibit 99.2</w:t>
      </w:r>
      <w:r>
        <w:rPr>
          <w:rFonts w:ascii="Times New Roman" w:cs="Times New Roman" w:eastAsia="Times New Roman" w:hAnsi="Times New Roman"/>
          <w:sz w:val="18"/>
          <w:szCs w:val="18"/>
          <w:color w:val="auto"/>
        </w:rPr>
        <w:t xml:space="preserve"> and is incorporated herein by reference in its entirety.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anticipated that the Buyer Group (as defined below) intend to fund the Merger through a combination of (i) equity financing provided by the Sponsor (as defined below) in an aggregate amount of up to US$8,000,000 in cash pursuant to an equity commitment letter, dated November 24, 2023, by and among Huang Jianjun and Rise Chain Investment Limited (together,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Parent, (ii) rollover financing comprised of the Rollover Shares (as defined below) pursuant to the Support Agreement (as defined below), and (iii) debt financing provided by New Age SP II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pursuant to a facility agreement, dated as of November 24, 2023, by and between Merger Sub and Lender.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or incorporated by reference in Items 4 and 5 of this Schedule 13D is incorporated by reference in its entirety into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24, 2023, the Issuer announced in a press release that it had entered into the Merger Agreement with Parent and Merger Sub, pursuant to which, and subject to the terms and conditions thereof, Merger Sub will merge with and into the Issuer, with the Issuer continuing as the surviving company and becoming a wholly-owned subsidiary of Parent.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Merger Agreement, 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each Ordinary Share issued and outstanding immediately prior to the Effective Time, will be cancelled in exchange for the right to receive US$0.816 in cash per Ordinary Share without interest, except for (i) the Ordinary Shares held by Parent and Merger Sub, (ii) the Ordinary Shares held by the Issuer and any of its subsidiaries or in its treasury, (iii) the Ordinary Shares owned by Igomax Inc., Jian Tang, Bubinga Holdings Limited, Wing Hong Sammy Hsieh (collectively, the “</w:t>
      </w:r>
      <w:r>
        <w:rPr>
          <w:rFonts w:ascii="Times New Roman" w:cs="Times New Roman" w:eastAsia="Times New Roman" w:hAnsi="Times New Roman"/>
          <w:sz w:val="18"/>
          <w:szCs w:val="18"/>
          <w:u w:val="single" w:color="auto"/>
          <w:color w:val="auto"/>
        </w:rPr>
        <w:t>Founders Group</w:t>
      </w:r>
      <w:r>
        <w:rPr>
          <w:rFonts w:ascii="Times New Roman" w:cs="Times New Roman" w:eastAsia="Times New Roman" w:hAnsi="Times New Roman"/>
          <w:sz w:val="18"/>
          <w:szCs w:val="18"/>
          <w:color w:val="auto"/>
        </w:rPr>
        <w:t>”) and Huang Jianjun (the Founders Group, together with Mr. Huang and Rise Chain Investment Limited, a company wholly owned by Mr. Huang, the “</w:t>
      </w:r>
      <w:r>
        <w:rPr>
          <w:rFonts w:ascii="Times New Roman" w:cs="Times New Roman" w:eastAsia="Times New Roman" w:hAnsi="Times New Roman"/>
          <w:sz w:val="18"/>
          <w:szCs w:val="18"/>
          <w:u w:val="single" w:color="auto"/>
          <w:color w:val="auto"/>
        </w:rPr>
        <w:t>Buyer Group</w:t>
      </w:r>
      <w:r>
        <w:rPr>
          <w:rFonts w:ascii="Times New Roman" w:cs="Times New Roman" w:eastAsia="Times New Roman" w:hAnsi="Times New Roman"/>
          <w:sz w:val="18"/>
          <w:szCs w:val="18"/>
          <w:color w:val="auto"/>
        </w:rPr>
        <w:t>”), Marine Central Limited, Creative Big Limited, Cheer Lead Global Limited, Huge Superpower Limited, Capable Excel Limited, Infinity Global Fund SPC, Integrated Asset Management (Asia) Limited, Chan Nai Hang, Likeable Limited, Tsang Hing Sze, Lau Ying Wai, Chik Yu Chung Roni, Tse Kok Yu Ryan, Imen Pang, Zhao Yong and Yang Xin (such shareholders collectively, but excluding Rise Chain Investment Limited, the “</w:t>
      </w:r>
      <w:r>
        <w:rPr>
          <w:rFonts w:ascii="Times New Roman" w:cs="Times New Roman" w:eastAsia="Times New Roman" w:hAnsi="Times New Roman"/>
          <w:sz w:val="18"/>
          <w:szCs w:val="18"/>
          <w:u w:val="single" w:color="auto"/>
          <w:color w:val="auto"/>
        </w:rPr>
        <w:t>Rollover Shareholders</w:t>
      </w:r>
      <w:r>
        <w:rPr>
          <w:rFonts w:ascii="Times New Roman" w:cs="Times New Roman" w:eastAsia="Times New Roman" w:hAnsi="Times New Roman"/>
          <w:sz w:val="18"/>
          <w:szCs w:val="18"/>
          <w:color w:val="auto"/>
        </w:rPr>
        <w:t>”, and such Ordinary Shares, the “</w:t>
      </w:r>
      <w:r>
        <w:rPr>
          <w:rFonts w:ascii="Times New Roman" w:cs="Times New Roman" w:eastAsia="Times New Roman" w:hAnsi="Times New Roman"/>
          <w:sz w:val="18"/>
          <w:szCs w:val="18"/>
          <w:u w:val="single" w:color="auto"/>
          <w:color w:val="auto"/>
        </w:rPr>
        <w:t>Rollover Shares</w:t>
      </w:r>
      <w:r>
        <w:rPr>
          <w:rFonts w:ascii="Times New Roman" w:cs="Times New Roman" w:eastAsia="Times New Roman" w:hAnsi="Times New Roman"/>
          <w:sz w:val="18"/>
          <w:szCs w:val="18"/>
          <w:color w:val="auto"/>
        </w:rPr>
        <w:t>”), (iv) the Ordinary Shares held by the Issuer and the depositary of the Issuer’s ADS program and reserved for issuance and allocation pursuant to the Issuer’s share incentive plan ((i) – (iv), collectively, the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and (v) the Ordinary Shares that are held by shareholders who have validly exercised and not effectively withdrawn or lost their rights to dissent from the Merger pursuant to Section 238 of Companies Act (Revised) of the Cayman Islands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Immediately prior to the effective time of the Merger, the Rollover Shares will be cancelled for no cash consideration, and the Rollover Shareholders will subscribe for or otherwise receive newly issued shares of Parent. Each Dissenting Share issued and outstanding immediately prior to the Effective Time will be cancelled for the right to receive the fair value of such Shares determined in accordance with, the provisions of Section 238 of the Companies Act (Revised) of the Cayman Islands.</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ADS issued and outstanding immediately prior to the Effective Time (other than ADSs representing the Excluded Shares), together with each Ordinary Share represented by such ADSs, will be cancelled in exchange for the right to receive US$4.08 in cash per ADS without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700" w:type="dxa"/>
            <w:vAlign w:val="bottom"/>
            <w:tcBorders>
              <w:top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bottom w:val="single" w:sz="8" w:color="auto"/>
              <w:right w:val="single" w:sz="8" w:color="auto"/>
            </w:tcBorders>
          </w:tcPr>
          <w:p>
            <w:pPr>
              <w:ind w:left="2860"/>
              <w:spacing w:after="0"/>
              <w:rPr>
                <w:sz w:val="20"/>
                <w:szCs w:val="20"/>
                <w:color w:val="auto"/>
              </w:rPr>
            </w:pPr>
            <w:r>
              <w:rPr>
                <w:rFonts w:ascii="Times New Roman" w:cs="Times New Roman" w:eastAsia="Times New Roman" w:hAnsi="Times New Roman"/>
                <w:sz w:val="18"/>
                <w:szCs w:val="18"/>
                <w:b w:val="1"/>
                <w:bCs w:val="1"/>
                <w:color w:val="auto"/>
                <w:w w:val="95"/>
              </w:rPr>
              <w:t>Page 6 of 8</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Merger, which is currently expected to close in the first quarter of 2024, is subject to customary closing conditions including an affirmative vote of shareholders representing at least two-thirds of the voting power of the outstanding Ordinary Shares present and voting in person or by proxy at a meeting of the Issuer’s shareholders. The purpose of the Transactions (as defined below), including the Merger, is to acquire all of the shares of the Ordinary Shares held by shareholders of the Issuer other than the Rollover Shares.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consummation of the Merger, the Issuer will become a wholly-owned subsidiary of the Parent. In addition, if the Merger is consummated, the Issuer will be privately-held by the Rollover Shareholders, including the Reporting Persons, and its ADSs will no longer be listed on the Nasdaq Global Market.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Merger Agreement, Parent and the Rollover Shareholders executed a support agreement (the “</w:t>
      </w:r>
      <w:r>
        <w:rPr>
          <w:rFonts w:ascii="Times New Roman" w:cs="Times New Roman" w:eastAsia="Times New Roman" w:hAnsi="Times New Roman"/>
          <w:sz w:val="18"/>
          <w:szCs w:val="18"/>
          <w:u w:val="single" w:color="auto"/>
          <w:color w:val="auto"/>
        </w:rPr>
        <w:t>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each of the Rollover Shareholders has agreed to, subject to the terms and conditions set forth therein and among other obligations, (i) the cancellation of the Rollover Shares held by such Rollover Shareholders for no consideration, (ii) subscribe for newly issued ordinary shares of Parent immediately prior to the closing of the Merger and (iii) vote in favor of authorization and approval of the Merger Agreement and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xml:space="preserve">”), including the Merger. The information disclosed in this paragraph does not purport to be complete and is qualified in its entirety by reference to the Support Agreement, a copy of which is filed as </w:t>
      </w:r>
      <w:r>
        <w:rPr>
          <w:rFonts w:ascii="Times New Roman" w:cs="Times New Roman" w:eastAsia="Times New Roman" w:hAnsi="Times New Roman"/>
          <w:sz w:val="18"/>
          <w:szCs w:val="18"/>
          <w:u w:val="single" w:color="auto"/>
          <w:color w:val="auto"/>
        </w:rPr>
        <w:t>Exhibit 99.3</w:t>
      </w:r>
      <w:r>
        <w:rPr>
          <w:rFonts w:ascii="Times New Roman" w:cs="Times New Roman" w:eastAsia="Times New Roman" w:hAnsi="Times New Roman"/>
          <w:sz w:val="18"/>
          <w:szCs w:val="18"/>
          <w:color w:val="auto"/>
        </w:rPr>
        <w:t xml:space="preserve"> and incorporated herein by reference in its entirety.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3 is incorporated herein by reference in its entirety.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described above, the Reporting Persons have no plans or proposals which relate to or would result in any of the actions specified in paragraphs (a) through (j) of Item 4 of Schedule 13D. The Reporting Persons may, at any time and from time to time, formulate other purposes, plans or proposals regarding the Issuer, or any other actions that could involve one or more of the types of transactions or have one or more of the results described in paragraphs (a) through (j) of Item 4 of Schedule 13D.</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(a)-(b)</w:t>
        <w:tab/>
        <w:t>The responses of each of the Reporting Persons with respect to Rows 11, 12, and 13 of the cover pages of this Schedule 13D that relate to the aggregate number and percentage of Class A Ordinary Shares (including but not limited to footnotes to such information) are incorporated herein by reference.</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responses of each of the Reporting Persons with respect to Rows 7, 8, 9, and 10 of the cover pages of this Schedule 13D that relate to the number of Class A Ordinary Shares as to which such Reporting Persons have sole or shared power to vote or to direct the vote of and sole or shared power to dispose of or to direct the disposition of (including but not limited to footnotes to such information) are incorporated herein by reference.</w:t>
      </w:r>
    </w:p>
    <w:p>
      <w:pPr>
        <w:spacing w:after="0" w:line="18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As a result of entering into the Support Agreement, the Reporting Persons may be deemed to be a member of a “group” with certain other shareholders of the Issuer that entered into the Support Agreement (collectively, the “</w:t>
      </w:r>
      <w:r>
        <w:rPr>
          <w:rFonts w:ascii="Times New Roman" w:cs="Times New Roman" w:eastAsia="Times New Roman" w:hAnsi="Times New Roman"/>
          <w:sz w:val="18"/>
          <w:szCs w:val="18"/>
          <w:u w:val="single" w:color="auto"/>
          <w:color w:val="auto"/>
        </w:rPr>
        <w:t>Other Rollover Shareholders</w:t>
      </w:r>
      <w:r>
        <w:rPr>
          <w:rFonts w:ascii="Times New Roman" w:cs="Times New Roman" w:eastAsia="Times New Roman" w:hAnsi="Times New Roman"/>
          <w:sz w:val="18"/>
          <w:szCs w:val="18"/>
          <w:color w:val="auto"/>
        </w:rPr>
        <w:t>,” and with the Reporting Persons, the “</w:t>
      </w:r>
      <w:r>
        <w:rPr>
          <w:rFonts w:ascii="Times New Roman" w:cs="Times New Roman" w:eastAsia="Times New Roman" w:hAnsi="Times New Roman"/>
          <w:sz w:val="18"/>
          <w:szCs w:val="18"/>
          <w:u w:val="single" w:color="auto"/>
          <w:color w:val="auto"/>
        </w:rPr>
        <w:t>Rollover Shareholders Group</w:t>
      </w:r>
      <w:r>
        <w:rPr>
          <w:rFonts w:ascii="Times New Roman" w:cs="Times New Roman" w:eastAsia="Times New Roman" w:hAnsi="Times New Roman"/>
          <w:sz w:val="18"/>
          <w:szCs w:val="18"/>
          <w:color w:val="auto"/>
        </w:rPr>
        <w:t>”) pursuant to Section 13(d) of the Exchange Act, who are separately reporting beneficial ownership on Schedules 13D. The Rollover Shareholders Group is deemed to collectively own 17,492,686 Class A Ordinary Shares in the aggregate, representing 13,107,608 Class A Ordinary Shares (including 10,107,975 Class A Ordinary Shares represented by 2,021,595 ADSs) and 4,385,078 Class A Ordinary Shares issuable upon conversion of 4,385,078 Class B Ordinary Shares held by the Rollover Shareholders Group. Such aggregate ownership represents 39% of the outstanding Class A Ordinary Shares and 69% of the total voting power of the Ordinary Shares (Class A Ordinary Shares and Class B Ordinary Shares, which vote together) as of November 24, 2023.</w:t>
      </w:r>
    </w:p>
    <w:p>
      <w:pPr>
        <w:spacing w:after="0" w:line="19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However, each Reporting Person expressly disclaims beneficial ownership of the Ordinary Shares beneficially owned (or deemed to be beneficially owned) by any of the Other Rollover Shareholders and neither the filing of this Schedule 13D nor any of its contents shall be deemed to constitute an admission that any of the Reporting Persons beneficially owns any Ordinary Shares that are beneficially owned (or deemed to be beneficially owned) by any of the Other Rollover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700" w:type="dxa"/>
            <w:vAlign w:val="bottom"/>
            <w:tcBorders>
              <w:top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bottom w:val="single" w:sz="8" w:color="auto"/>
              <w:right w:val="single" w:sz="8" w:color="auto"/>
            </w:tcBorders>
          </w:tcPr>
          <w:p>
            <w:pPr>
              <w:ind w:left="2860"/>
              <w:spacing w:after="0"/>
              <w:rPr>
                <w:sz w:val="20"/>
                <w:szCs w:val="20"/>
                <w:color w:val="auto"/>
              </w:rPr>
            </w:pPr>
            <w:r>
              <w:rPr>
                <w:rFonts w:ascii="Times New Roman" w:cs="Times New Roman" w:eastAsia="Times New Roman" w:hAnsi="Times New Roman"/>
                <w:sz w:val="18"/>
                <w:szCs w:val="18"/>
                <w:b w:val="1"/>
                <w:bCs w:val="1"/>
                <w:color w:val="auto"/>
                <w:w w:val="95"/>
              </w:rPr>
              <w:t>Page 7 of 8</w:t>
            </w:r>
          </w:p>
        </w:tc>
      </w:tr>
    </w:tbl>
    <w:p>
      <w:pPr>
        <w:spacing w:after="0" w:line="19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Reporting Persons are only responsible for the information contained in this Schedule 13D and assume no responsibility for information contained in the Schedules 13D filed by the Other Rollover Shareholders. The filing of this Schedule 13D shall not be construed as an admission that any of the Reporting Persons is, for purposes of Section 13(d) or 13(g) of the Act or for any other purpose, the beneficial owner of any securities (other than the securities directly held by such Reporting Person) covered by this Schedule 13D.</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Items 2 and 4 above is hereby incorporated by reference. Mr. Hui is the sole shareholder and sole director of Cheer Lead Global. Pursuant to Section 13(d) of the Exchange Act and the rules promulgated thereunder, Mr. Hui may be deemed to beneficially own all of the Class A Ordinary Shares held by Cheer Lead Global.</w:t>
      </w:r>
    </w:p>
    <w:p>
      <w:pPr>
        <w:spacing w:after="0" w:line="176" w:lineRule="exact"/>
        <w:rPr>
          <w:sz w:val="20"/>
          <w:szCs w:val="20"/>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Schedule 13D, the Reporting Persons have not entered into any transactions in the Ordinary Shares (including Class A Ordinary Shares represented by ADSs) during the past sixty days.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Schedule 13D, no person is known to have the right to receive or the power to direct the receipt of dividends from, or the proceeds from the sale of, the Class A Ordinary Shares, other than the Reporting Persons.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CONTRACTS, ARRANGEMENTS, UNDERSTANDINGS OR RELATIONSHIPS WITH RESPECT TO SECURITIES OF THE ISSUER.</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Items 3, 4 and 5 of this Schedule 13D is hereby incorporated by reference in its entirety into this Item 6. Except as otherwise described herein, there are no contracts, arrangements, understandings or relationships (legal or otherwise) between the Reporting Persons and any other person with respect to the voting or disposition of the Class A Ordinary Shares owned by the Reporting Persons.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MATERIAL TO BE FILED AS EXHIBITS</w:t>
      </w:r>
    </w:p>
    <w:p>
      <w:pPr>
        <w:spacing w:after="0" w:line="22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Joint Filing Agreement, dated December 14, 2023, by and between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jc w:val="both"/>
        <w:ind w:left="1260" w:hanging="1241"/>
        <w:spacing w:after="0" w:line="250"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99.2</w:t>
      </w:r>
      <w:r>
        <w:rPr>
          <w:sz w:val="20"/>
          <w:szCs w:val="20"/>
          <w:color w:val="auto"/>
        </w:rPr>
        <w:tab/>
      </w:r>
      <w:hyperlink r:id="rId25">
        <w:r>
          <w:rPr>
            <w:rFonts w:ascii="Times New Roman" w:cs="Times New Roman" w:eastAsia="Times New Roman" w:hAnsi="Times New Roman"/>
            <w:sz w:val="18"/>
            <w:szCs w:val="18"/>
            <w:u w:val="single" w:color="auto"/>
            <w:color w:val="0000EE"/>
          </w:rPr>
          <w:t>Agreement and Plan of Merger, dated as of November 24, 2023, by and between TSH Investment Holding Limited, TSH Merger Sub</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Limited and iClick Interactive Asia Group Limited, incorporated herein by reference to Exhibit 99.2 to the Report on Form 6-K furnished</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by the Issuer to the SEC on November 24,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685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jc w:val="both"/>
        <w:ind w:left="1260" w:hanging="1241"/>
        <w:spacing w:after="0" w:line="271" w:lineRule="auto"/>
        <w:tabs>
          <w:tab w:leader="none" w:pos="12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Exhibit 99.3</w:t>
      </w:r>
      <w:r>
        <w:rPr>
          <w:sz w:val="20"/>
          <w:szCs w:val="20"/>
          <w:color w:val="auto"/>
        </w:rPr>
        <w:tab/>
      </w:r>
      <w:hyperlink r:id="rId27">
        <w:r>
          <w:rPr>
            <w:rFonts w:ascii="Times New Roman" w:cs="Times New Roman" w:eastAsia="Times New Roman" w:hAnsi="Times New Roman"/>
            <w:sz w:val="17"/>
            <w:szCs w:val="17"/>
            <w:u w:val="single" w:color="auto"/>
            <w:color w:val="0000EE"/>
          </w:rPr>
          <w:t>Support Agreement, dated November 24, 2023, by and among TSH Investment Holding Limited, Igomax Inc., Jian Tang, Bubinga</w:t>
        </w:r>
      </w:hyperlink>
      <w:r>
        <w:rPr>
          <w:rFonts w:ascii="Times New Roman" w:cs="Times New Roman" w:eastAsia="Times New Roman" w:hAnsi="Times New Roman"/>
          <w:sz w:val="17"/>
          <w:szCs w:val="17"/>
          <w:u w:val="single" w:color="auto"/>
          <w:color w:val="0000EE"/>
        </w:rPr>
        <w:t xml:space="preserve"> </w:t>
      </w:r>
      <w:hyperlink r:id="rId27">
        <w:r>
          <w:rPr>
            <w:rFonts w:ascii="Times New Roman" w:cs="Times New Roman" w:eastAsia="Times New Roman" w:hAnsi="Times New Roman"/>
            <w:sz w:val="17"/>
            <w:szCs w:val="17"/>
            <w:u w:val="single" w:color="auto"/>
            <w:color w:val="0000EE"/>
          </w:rPr>
          <w:t>Holdings Limited, Wing Hong Sammy Hsieh, Huang Jianjun, Marine Central Limited, Creative Big Limited, Cheer Lead Global Limited,</w:t>
        </w:r>
      </w:hyperlink>
      <w:r>
        <w:rPr>
          <w:rFonts w:ascii="Times New Roman" w:cs="Times New Roman" w:eastAsia="Times New Roman" w:hAnsi="Times New Roman"/>
          <w:sz w:val="17"/>
          <w:szCs w:val="17"/>
          <w:u w:val="single" w:color="auto"/>
          <w:color w:val="0000EE"/>
        </w:rPr>
        <w:t xml:space="preserve"> </w:t>
      </w:r>
      <w:hyperlink r:id="rId27">
        <w:r>
          <w:rPr>
            <w:rFonts w:ascii="Times New Roman" w:cs="Times New Roman" w:eastAsia="Times New Roman" w:hAnsi="Times New Roman"/>
            <w:sz w:val="17"/>
            <w:szCs w:val="17"/>
            <w:u w:val="single" w:color="auto"/>
            <w:color w:val="0000EE"/>
          </w:rPr>
          <w:t>Huge Superpower Limited, Capable Excel Limited, Infinity Global Fund SPC, Integrated Asset Management (Asia) Limited, Chang Nai</w:t>
        </w:r>
      </w:hyperlink>
      <w:r>
        <w:rPr>
          <w:rFonts w:ascii="Times New Roman" w:cs="Times New Roman" w:eastAsia="Times New Roman" w:hAnsi="Times New Roman"/>
          <w:sz w:val="17"/>
          <w:szCs w:val="17"/>
          <w:u w:val="single" w:color="auto"/>
          <w:color w:val="0000EE"/>
        </w:rPr>
        <w:t xml:space="preserve"> </w:t>
      </w:r>
      <w:hyperlink r:id="rId27">
        <w:r>
          <w:rPr>
            <w:rFonts w:ascii="Times New Roman" w:cs="Times New Roman" w:eastAsia="Times New Roman" w:hAnsi="Times New Roman"/>
            <w:sz w:val="17"/>
            <w:szCs w:val="17"/>
            <w:u w:val="single" w:color="auto"/>
            <w:color w:val="0000EE"/>
          </w:rPr>
          <w:t>Hang, Likeable Limited, Tsang Hing Sze, Lau Ying Wai, Chik Yu Chung Roni, Tse Kok Yu Ryan, Imen Pang, Zhao Yong and Yang Xin,</w:t>
        </w:r>
      </w:hyperlink>
      <w:r>
        <w:rPr>
          <w:rFonts w:ascii="Times New Roman" w:cs="Times New Roman" w:eastAsia="Times New Roman" w:hAnsi="Times New Roman"/>
          <w:sz w:val="17"/>
          <w:szCs w:val="17"/>
          <w:u w:val="single" w:color="auto"/>
          <w:color w:val="0000EE"/>
        </w:rPr>
        <w:t xml:space="preserve"> </w:t>
      </w:r>
      <w:hyperlink r:id="rId27">
        <w:r>
          <w:rPr>
            <w:rFonts w:ascii="Times New Roman" w:cs="Times New Roman" w:eastAsia="Times New Roman" w:hAnsi="Times New Roman"/>
            <w:sz w:val="17"/>
            <w:szCs w:val="17"/>
            <w:u w:val="single" w:color="auto"/>
            <w:color w:val="0000EE"/>
          </w:rPr>
          <w:t>incorporated herein by reference to Exhibit 99.5 to the Schedule 13D/A filed by the Founders Group with the SEC on November 27, 2023.</w:t>
        </w:r>
      </w:hyperlink>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G47048 106</w:t>
            </w:r>
          </w:p>
        </w:tc>
        <w:tc>
          <w:tcPr>
            <w:tcW w:w="3700" w:type="dxa"/>
            <w:vAlign w:val="bottom"/>
            <w:tcBorders>
              <w:top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bottom w:val="single" w:sz="8" w:color="auto"/>
              <w:right w:val="single" w:sz="8" w:color="auto"/>
            </w:tcBorders>
          </w:tcPr>
          <w:p>
            <w:pPr>
              <w:ind w:left="2860"/>
              <w:spacing w:after="0"/>
              <w:rPr>
                <w:sz w:val="20"/>
                <w:szCs w:val="20"/>
                <w:color w:val="auto"/>
              </w:rPr>
            </w:pPr>
            <w:r>
              <w:rPr>
                <w:rFonts w:ascii="Times New Roman" w:cs="Times New Roman" w:eastAsia="Times New Roman" w:hAnsi="Times New Roman"/>
                <w:sz w:val="18"/>
                <w:szCs w:val="18"/>
                <w:b w:val="1"/>
                <w:bCs w:val="1"/>
                <w:color w:val="auto"/>
                <w:w w:val="95"/>
              </w:rPr>
              <w:t>Page 8 of 8</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certifies that the information set forth in this statement is true, complete and correct.</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December 14, 2023</w:t>
      </w:r>
      <w:r>
        <w:rPr>
          <w:sz w:val="20"/>
          <w:szCs w:val="20"/>
          <w:color w:val="auto"/>
        </w:rPr>
        <w:tab/>
      </w:r>
      <w:r>
        <w:rPr>
          <w:rFonts w:ascii="Times New Roman" w:cs="Times New Roman" w:eastAsia="Times New Roman" w:hAnsi="Times New Roman"/>
          <w:sz w:val="17"/>
          <w:szCs w:val="17"/>
          <w:b w:val="1"/>
          <w:bCs w:val="1"/>
          <w:color w:val="auto"/>
        </w:rPr>
        <w:t>Hui Tung Wai</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Hui Tung Wai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Hui Tung Wai</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Cheer Lead Global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Hui Tung Wai</w:t>
            </w:r>
          </w:p>
        </w:tc>
      </w:tr>
      <w:tr>
        <w:trPr>
          <w:trHeight w:val="198"/>
        </w:trPr>
        <w:tc>
          <w:tcPr>
            <w:tcW w:w="7320" w:type="dxa"/>
            <w:vAlign w:val="bottom"/>
          </w:tcPr>
          <w:p>
            <w:pPr>
              <w:ind w:left="67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Hui Tung Wai</w:t>
            </w:r>
          </w:p>
        </w:tc>
      </w:tr>
      <w:tr>
        <w:trPr>
          <w:trHeight w:val="234"/>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55"/>
        </w:trPr>
        <w:tc>
          <w:tcPr>
            <w:tcW w:w="7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OF JOINT FILING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parties listed below agree that the Schedule 13D to which this agreement is attached as an exhibit, and all further amendments thereto, shall be filed on behalf of each of them. This Agreement is intended to satisfy Rule 13d-1(k)(1) under the Securities Exchange Act of 1934, as amended. This Agreement may be executed in any number of counterparts, each of which shall be deemed an original, but all of which together shall constitute one and the same instrument.</w:t>
      </w:r>
    </w:p>
    <w:p>
      <w:pPr>
        <w:spacing w:after="0" w:line="176"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December 14, 2023</w:t>
      </w:r>
      <w:r>
        <w:rPr>
          <w:sz w:val="20"/>
          <w:szCs w:val="20"/>
          <w:color w:val="auto"/>
        </w:rPr>
        <w:tab/>
      </w:r>
      <w:r>
        <w:rPr>
          <w:rFonts w:ascii="Times New Roman" w:cs="Times New Roman" w:eastAsia="Times New Roman" w:hAnsi="Times New Roman"/>
          <w:sz w:val="17"/>
          <w:szCs w:val="17"/>
          <w:b w:val="1"/>
          <w:bCs w:val="1"/>
          <w:color w:val="auto"/>
        </w:rPr>
        <w:t>Hui Tung Wai</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Hui Tung Wai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Hui Tung Wai</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Cheer Lead Global Limited</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5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Hui Tung Wai</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Hui Tung Wai</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6"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25" Type="http://schemas.openxmlformats.org/officeDocument/2006/relationships/hyperlink" Target="http://www.sec.gov/Archives/edgar/data/1697818/000110465923120926/tm2331491d1_ex99-2.htm" TargetMode="External"/><Relationship Id="rId27" Type="http://schemas.openxmlformats.org/officeDocument/2006/relationships/hyperlink" Target="http://www.sec.gov/Archives/edgar/data/1697818/000121390023089945/ea189015ex99-5_icli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2023-12-14T15:40:56Z</dcterms:created>
  <dcterms:modified xsi:type="dcterms:W3CDTF">2023-12-14T15:40:56Z</dcterms:modified>
</cp:coreProperties>
</file>