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announced, iClick Interactive Asia Group Limited (“iClick”) consummated a merger (the “Merger”) with Amber DWM Holding Limited (“Amber DWM”) on March 12, 2025, with Amber DWM continuing as the surviving entity and becoming a wholly-owned subsidiary of the iClick, and iClick being renamed Amber International Holding Limited.</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Merger, Amber DWM changed its fiscal year end from June 30 to December 31, effective for the fiscal year beginning January 1, 2025, to align with the fiscal year end of Amber International Holding Limited (previously known as iClick).</w:t>
      </w: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Josephine Ngai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Josephine Ngai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2025-04-08T06:18:23Z</dcterms:created>
  <dcterms:modified xsi:type="dcterms:W3CDTF">2025-04-08T06:18:23Z</dcterms:modified>
</cp:coreProperties>
</file>