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38" w:lineRule="auto"/>
        <w:rPr>
          <w:sz w:val="20"/>
          <w:szCs w:val="20"/>
          <w:color w:val="auto"/>
        </w:rPr>
      </w:pPr>
      <w:r>
        <w:rPr>
          <w:rFonts w:ascii="Courier New" w:cs="Courier New" w:eastAsia="Courier New" w:hAnsi="Courier New"/>
          <w:sz w:val="18"/>
          <w:szCs w:val="18"/>
          <w:color w:val="auto"/>
        </w:rPr>
        <w:t>iClick Interactive Asia Group Limited</w:t>
      </w:r>
    </w:p>
    <w:p>
      <w:pPr>
        <w:spacing w:after="0"/>
        <w:rPr>
          <w:sz w:val="20"/>
          <w:szCs w:val="20"/>
          <w:color w:val="auto"/>
        </w:rPr>
      </w:pPr>
      <w:r>
        <w:rPr>
          <w:rFonts w:ascii="Courier New" w:cs="Courier New" w:eastAsia="Courier New" w:hAnsi="Courier New"/>
          <w:sz w:val="18"/>
          <w:szCs w:val="18"/>
          <w:color w:val="auto"/>
        </w:rPr>
        <w:t>(Name of Issuer)</w:t>
      </w:r>
    </w:p>
    <w:p>
      <w:pPr>
        <w:spacing w:after="0" w:line="3" w:lineRule="exact"/>
        <w:rPr>
          <w:sz w:val="24"/>
          <w:szCs w:val="24"/>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Class A Ordinary Shares, Par Value of $0.001 per share (Title of Class of Securities)</w:t>
      </w:r>
    </w:p>
    <w:p>
      <w:pPr>
        <w:spacing w:after="0"/>
        <w:rPr>
          <w:sz w:val="20"/>
          <w:szCs w:val="20"/>
          <w:color w:val="auto"/>
        </w:rPr>
      </w:pPr>
      <w:r>
        <w:rPr>
          <w:rFonts w:ascii="Courier New" w:cs="Courier New" w:eastAsia="Courier New" w:hAnsi="Courier New"/>
          <w:sz w:val="18"/>
          <w:szCs w:val="18"/>
          <w:color w:val="auto"/>
        </w:rPr>
        <w:t>G47048 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December 6, 2018</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380" w:hanging="529"/>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7"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which would alter the disclosures provided in a prior cover page.</w:t>
      </w:r>
    </w:p>
    <w:p>
      <w:pPr>
        <w:spacing w:after="0" w:line="207" w:lineRule="exact"/>
        <w:rPr>
          <w:sz w:val="24"/>
          <w:szCs w:val="24"/>
          <w:color w:val="auto"/>
        </w:rPr>
      </w:pPr>
    </w:p>
    <w:p>
      <w:pPr>
        <w:ind w:right="519"/>
        <w:spacing w:after="0" w:line="23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w:t>
      </w:r>
    </w:p>
    <w:p>
      <w:pPr>
        <w:spacing w:after="0" w:line="6" w:lineRule="exact"/>
        <w:rPr>
          <w:sz w:val="24"/>
          <w:szCs w:val="24"/>
          <w:color w:val="auto"/>
        </w:rPr>
      </w:pPr>
    </w:p>
    <w:p>
      <w:pPr>
        <w:ind w:right="1039"/>
        <w:spacing w:after="0" w:line="235" w:lineRule="auto"/>
        <w:rPr>
          <w:sz w:val="20"/>
          <w:szCs w:val="20"/>
          <w:color w:val="auto"/>
        </w:rPr>
      </w:pPr>
      <w:r>
        <w:rPr>
          <w:rFonts w:ascii="Courier New" w:cs="Courier New" w:eastAsia="Courier New" w:hAnsi="Courier New"/>
          <w:sz w:val="18"/>
          <w:szCs w:val="18"/>
          <w:color w:val="auto"/>
        </w:rPr>
        <w:t>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SCHEDULE 13G</w:t>
            </w:r>
          </w:p>
        </w:tc>
        <w:tc>
          <w:tcPr>
            <w:tcW w:w="12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G47048 106</w:t>
            </w:r>
          </w:p>
        </w:tc>
      </w:tr>
    </w:tbl>
    <w:p>
      <w:pPr>
        <w:spacing w:after="0" w:line="207" w:lineRule="exact"/>
        <w:rPr>
          <w:sz w:val="24"/>
          <w:szCs w:val="24"/>
          <w:color w:val="auto"/>
        </w:rPr>
      </w:pPr>
    </w:p>
    <w:p>
      <w:pPr>
        <w:ind w:left="1700" w:right="5779" w:hanging="849"/>
        <w:spacing w:after="0" w:line="235"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Jiping Liu</w:t>
      </w: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2220" w:hanging="526"/>
        <w:spacing w:after="0" w:line="238" w:lineRule="auto"/>
        <w:tabs>
          <w:tab w:leader="none" w:pos="2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20" w:hanging="526"/>
        <w:spacing w:after="0" w:line="238" w:lineRule="auto"/>
        <w:tabs>
          <w:tab w:leader="none" w:pos="2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p>
      <w:pPr>
        <w:spacing w:after="0" w:line="209" w:lineRule="exact"/>
        <w:rPr>
          <w:sz w:val="24"/>
          <w:szCs w:val="24"/>
          <w:color w:val="auto"/>
        </w:rPr>
      </w:pPr>
    </w:p>
    <w:p>
      <w:pPr>
        <w:ind w:left="1700" w:right="6739" w:hanging="849"/>
        <w:spacing w:after="0" w:line="235"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489,750</w:t>
      </w:r>
    </w:p>
    <w:p>
      <w:pPr>
        <w:ind w:left="1700" w:hanging="849"/>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700"/>
        <w:spacing w:after="0" w:line="238" w:lineRule="auto"/>
        <w:rPr>
          <w:sz w:val="20"/>
          <w:szCs w:val="20"/>
          <w:color w:val="auto"/>
        </w:rPr>
      </w:pPr>
      <w:r>
        <w:rPr>
          <w:rFonts w:ascii="Courier New" w:cs="Courier New" w:eastAsia="Courier New" w:hAnsi="Courier New"/>
          <w:sz w:val="18"/>
          <w:szCs w:val="18"/>
          <w:color w:val="auto"/>
        </w:rPr>
        <w:t>2,011,997</w:t>
      </w:r>
    </w:p>
    <w:p>
      <w:pPr>
        <w:spacing w:after="0" w:line="5" w:lineRule="exact"/>
        <w:rPr>
          <w:sz w:val="24"/>
          <w:szCs w:val="24"/>
          <w:color w:val="auto"/>
        </w:rPr>
      </w:pPr>
    </w:p>
    <w:p>
      <w:pPr>
        <w:ind w:left="1700" w:right="6199" w:hanging="849"/>
        <w:spacing w:after="0" w:line="235"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489,750</w:t>
      </w:r>
    </w:p>
    <w:p>
      <w:pPr>
        <w:spacing w:after="0" w:line="6" w:lineRule="exact"/>
        <w:rPr>
          <w:sz w:val="24"/>
          <w:szCs w:val="24"/>
          <w:color w:val="auto"/>
        </w:rPr>
      </w:pPr>
    </w:p>
    <w:p>
      <w:pPr>
        <w:ind w:left="1700" w:right="5999" w:hanging="849"/>
        <w:spacing w:after="0" w:line="235"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2,011,997</w:t>
      </w:r>
    </w:p>
    <w:p>
      <w:pPr>
        <w:ind w:left="1700" w:hanging="84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1700"/>
        <w:spacing w:after="0" w:line="238" w:lineRule="auto"/>
        <w:rPr>
          <w:sz w:val="20"/>
          <w:szCs w:val="20"/>
          <w:color w:val="auto"/>
        </w:rPr>
      </w:pPr>
      <w:r>
        <w:rPr>
          <w:rFonts w:ascii="Courier New" w:cs="Courier New" w:eastAsia="Courier New" w:hAnsi="Courier New"/>
          <w:sz w:val="18"/>
          <w:szCs w:val="18"/>
          <w:color w:val="auto"/>
        </w:rPr>
        <w:t>2,501,747</w:t>
      </w:r>
    </w:p>
    <w:p>
      <w:pPr>
        <w:spacing w:after="0" w:line="5" w:lineRule="exact"/>
        <w:rPr>
          <w:sz w:val="24"/>
          <w:szCs w:val="24"/>
          <w:color w:val="auto"/>
        </w:rPr>
      </w:pPr>
    </w:p>
    <w:p>
      <w:pPr>
        <w:ind w:left="1700" w:right="3899" w:hanging="849"/>
        <w:spacing w:after="0" w:line="268" w:lineRule="auto"/>
        <w:tabs>
          <w:tab w:leader="none" w:pos="1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6"/>
          <w:szCs w:val="16"/>
          <w:color w:val="auto"/>
        </w:rPr>
      </w:pPr>
    </w:p>
    <w:p>
      <w:pPr>
        <w:ind w:left="1700" w:right="335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8.14%</w:t>
      </w:r>
    </w:p>
    <w:p>
      <w:pPr>
        <w:spacing w:after="0" w:line="1" w:lineRule="exact"/>
        <w:rPr>
          <w:rFonts w:ascii="Courier New" w:cs="Courier New" w:eastAsia="Courier New" w:hAnsi="Courier New"/>
          <w:sz w:val="18"/>
          <w:szCs w:val="18"/>
          <w:color w:val="auto"/>
        </w:rPr>
      </w:pPr>
    </w:p>
    <w:p>
      <w:pPr>
        <w:ind w:left="1700" w:hanging="849"/>
        <w:spacing w:after="0" w:line="238"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iClick Interactive Asia Group Limited</w:t>
      </w:r>
    </w:p>
    <w:p>
      <w:pPr>
        <w:spacing w:after="0" w:line="4" w:lineRule="exact"/>
        <w:rPr>
          <w:rFonts w:ascii="Courier New" w:cs="Courier New" w:eastAsia="Courier New" w:hAnsi="Courier New"/>
          <w:sz w:val="18"/>
          <w:szCs w:val="18"/>
          <w:color w:val="auto"/>
        </w:rPr>
      </w:pPr>
    </w:p>
    <w:p>
      <w:pPr>
        <w:ind w:left="860" w:right="4199" w:hanging="852"/>
        <w:spacing w:after="0" w:line="23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15/F, Prosperity Millennia Plaza, 663 Kings Road, Quarry Bay, Hong Kong</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4" w:lineRule="exact"/>
        <w:rPr>
          <w:sz w:val="24"/>
          <w:szCs w:val="24"/>
          <w:color w:val="auto"/>
        </w:rPr>
      </w:pPr>
    </w:p>
    <w:p>
      <w:pPr>
        <w:ind w:left="860" w:right="6839" w:hanging="852"/>
        <w:spacing w:after="0" w:line="290"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Valuable Capital Limited</w:t>
      </w:r>
    </w:p>
    <w:p>
      <w:pPr>
        <w:sectPr>
          <w:pgSz w:w="11900" w:h="16892" w:orient="portrait"/>
          <w:cols w:equalWidth="0" w:num="1">
            <w:col w:w="10219"/>
          </w:cols>
          <w:pgMar w:left="240" w:top="852" w:right="1440" w:bottom="0" w:gutter="0" w:footer="0" w:header="0"/>
        </w:sectPr>
      </w:pPr>
    </w:p>
    <w:bookmarkStart w:id="1" w:name="page2"/>
    <w:bookmarkEnd w:id="1"/>
    <w:p>
      <w:pPr>
        <w:ind w:left="860" w:right="4200" w:hanging="852"/>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Room 2807-2809, 28/F, China Merchants Tower,</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Shun Tak Centre,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168-200 Connaught Road Central, Hong Kong</w:t>
      </w: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r>
        <w:rPr>
          <w:rFonts w:ascii="Courier New" w:cs="Courier New" w:eastAsia="Courier New" w:hAnsi="Courier New"/>
          <w:sz w:val="16"/>
          <w:szCs w:val="16"/>
          <w:color w:val="auto"/>
        </w:rPr>
        <w:t>Hong Kong</w:t>
      </w:r>
    </w:p>
    <w:p>
      <w:pPr>
        <w:spacing w:after="0" w:line="4" w:lineRule="exact"/>
        <w:rPr>
          <w:rFonts w:ascii="Courier New" w:cs="Courier New" w:eastAsia="Courier New" w:hAnsi="Courier New"/>
          <w:sz w:val="18"/>
          <w:szCs w:val="18"/>
          <w:color w:val="auto"/>
        </w:rPr>
      </w:pPr>
    </w:p>
    <w:p>
      <w:pPr>
        <w:ind w:left="860" w:right="4740" w:hanging="852"/>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Class A ordinary shares, par value of US$0.001 per share</w:t>
      </w:r>
    </w:p>
    <w:p>
      <w:pPr>
        <w:spacing w:after="0"/>
        <w:tabs>
          <w:tab w:leader="none" w:pos="840" w:val="left"/>
          <w:tab w:leader="none" w:pos="252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G47048 106</w:t>
      </w:r>
    </w:p>
    <w:p>
      <w:pPr>
        <w:spacing w:after="0" w:line="207" w:lineRule="exact"/>
        <w:rPr>
          <w:sz w:val="20"/>
          <w:szCs w:val="20"/>
          <w:color w:val="auto"/>
        </w:rPr>
      </w:pPr>
    </w:p>
    <w:p>
      <w:pPr>
        <w:ind w:left="1700" w:right="1780" w:hanging="1685"/>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240.13d-1(b) or 240.13d-2(b) or (c), check whether the person filing is a:</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Broker or dealer registered under Section 15 of the Act;</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Insurance company as defined in Section 3(a)(19) of the Act;</w:t>
      </w:r>
    </w:p>
    <w:p>
      <w:pPr>
        <w:spacing w:after="0" w:line="4" w:lineRule="exact"/>
        <w:rPr>
          <w:rFonts w:ascii="Courier New" w:cs="Courier New" w:eastAsia="Courier New" w:hAnsi="Courier New"/>
          <w:sz w:val="18"/>
          <w:szCs w:val="18"/>
          <w:color w:val="auto"/>
        </w:rPr>
      </w:pPr>
    </w:p>
    <w:p>
      <w:pPr>
        <w:ind w:left="1700" w:right="4200" w:hanging="1692"/>
        <w:spacing w:after="0" w:line="235" w:lineRule="auto"/>
        <w:tabs>
          <w:tab w:leader="none" w:pos="85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investment adviser in accordance with Rule 13d-1(b)(1)(ii)(E);</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An employee benefit plan or endowment fund</w:t>
      </w:r>
    </w:p>
    <w:p>
      <w:pPr>
        <w:ind w:left="1700"/>
        <w:spacing w:after="0"/>
        <w:rPr>
          <w:sz w:val="20"/>
          <w:szCs w:val="20"/>
          <w:color w:val="auto"/>
        </w:rPr>
      </w:pPr>
      <w:r>
        <w:rPr>
          <w:rFonts w:ascii="Courier New" w:cs="Courier New" w:eastAsia="Courier New" w:hAnsi="Courier New"/>
          <w:sz w:val="18"/>
          <w:szCs w:val="18"/>
          <w:color w:val="auto"/>
        </w:rPr>
        <w:t>in accordance with Rule 13d-1(b)(1)(ii)(F);</w:t>
      </w:r>
    </w:p>
    <w:p>
      <w:pPr>
        <w:spacing w:after="0" w:line="3" w:lineRule="exact"/>
        <w:rPr>
          <w:sz w:val="20"/>
          <w:szCs w:val="20"/>
          <w:color w:val="auto"/>
        </w:rPr>
      </w:pPr>
    </w:p>
    <w:p>
      <w:pPr>
        <w:ind w:left="1700" w:right="5160" w:hanging="1692"/>
        <w:spacing w:after="0" w:line="268" w:lineRule="auto"/>
        <w:tabs>
          <w:tab w:leader="none" w:pos="8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 parent holding company or control person in accordance with Rule 13d-1(b)(1)(ii)(G);</w:t>
      </w:r>
    </w:p>
    <w:p>
      <w:pPr>
        <w:ind w:left="1700" w:right="3780" w:hanging="1692"/>
        <w:spacing w:after="0" w:line="235" w:lineRule="auto"/>
        <w:tabs>
          <w:tab w:leader="none" w:pos="8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 church plan that is excluded from the definition of</w:t>
      </w:r>
    </w:p>
    <w:p>
      <w:pPr>
        <w:ind w:left="1700"/>
        <w:spacing w:after="0"/>
        <w:rPr>
          <w:sz w:val="20"/>
          <w:szCs w:val="20"/>
          <w:color w:val="auto"/>
        </w:rPr>
      </w:pPr>
      <w:r>
        <w:rPr>
          <w:rFonts w:ascii="Courier New" w:cs="Courier New" w:eastAsia="Courier New" w:hAnsi="Courier New"/>
          <w:sz w:val="18"/>
          <w:szCs w:val="18"/>
          <w:color w:val="auto"/>
        </w:rPr>
        <w:t>an investment company under section 3(c)(14) of the Investment Company Act of 1940;</w:t>
      </w: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 non-U.S. institution in accordance with Rule 240.13d-1(b)(1)(ii)(J);</w:t>
      </w:r>
    </w:p>
    <w:p>
      <w:pPr>
        <w:spacing w:after="0" w:line="4" w:lineRule="exact"/>
        <w:rPr>
          <w:rFonts w:ascii="Courier New" w:cs="Courier New" w:eastAsia="Courier New" w:hAnsi="Courier New"/>
          <w:sz w:val="18"/>
          <w:szCs w:val="18"/>
          <w:color w:val="auto"/>
        </w:rPr>
      </w:pPr>
    </w:p>
    <w:p>
      <w:pPr>
        <w:ind w:left="1700" w:hanging="1692"/>
        <w:spacing w:after="0" w:line="290" w:lineRule="auto"/>
        <w:tabs>
          <w:tab w:leader="none" w:pos="8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Rule 240.13d-1(b)(1)(ii)(K). If filing as a non-U.S. institution in accordance with Rule 240.13d-1(b)(1)(ii)(J), please specify the type of institution: ____</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line="238" w:lineRule="auto"/>
        <w:tabs>
          <w:tab w:leader="none" w:pos="17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hanging="849"/>
        <w:spacing w:after="0" w:line="238" w:lineRule="auto"/>
        <w:tabs>
          <w:tab w:leader="none" w:pos="17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hanging="852"/>
        <w:spacing w:after="0" w:line="238"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3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Jiping Liu</w:t>
            </w: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Amount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2,501,747</w:t>
            </w:r>
          </w:p>
        </w:tc>
        <w:tc>
          <w:tcPr>
            <w:tcW w:w="260" w:type="dxa"/>
            <w:vAlign w:val="bottom"/>
          </w:tcPr>
          <w:p>
            <w:pPr>
              <w:spacing w:after="0"/>
              <w:rPr>
                <w:sz w:val="24"/>
                <w:szCs w:val="24"/>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Pecent of Classs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8.14%</w:t>
            </w:r>
          </w:p>
        </w:tc>
        <w:tc>
          <w:tcPr>
            <w:tcW w:w="260" w:type="dxa"/>
            <w:vAlign w:val="bottom"/>
          </w:tcPr>
          <w:p>
            <w:pPr>
              <w:spacing w:after="0"/>
              <w:rPr>
                <w:sz w:val="24"/>
                <w:szCs w:val="24"/>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Sole Power to Vote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489,750</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Direct to Vote</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Shared Power to Vote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2,011,997</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to Direct the Vote</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Sole Power to Dispose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489,750</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or to Direct the Disposition of:</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Shared Power to Dispose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2,011,997</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to Direct the Disposit</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Maestro Investment</w:t>
            </w: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Amount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2,011,997</w:t>
            </w:r>
          </w:p>
        </w:tc>
        <w:tc>
          <w:tcPr>
            <w:tcW w:w="26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Holdings Limited</w:t>
            </w:r>
          </w:p>
        </w:tc>
        <w:tc>
          <w:tcPr>
            <w:tcW w:w="3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Pecent of Classs</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6.55%</w:t>
            </w: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Sole Power to Vote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Direct to Vote</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Shared Power to Vote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2,011,997</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to Direct the Vote</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Sole Power to Dispose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or to Direct the Disposition of:</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Shared Power to Dispose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2,011,997</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to Direct the Disposit</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5960" w:type="dxa"/>
            <w:vAlign w:val="bottom"/>
            <w:gridSpan w:val="2"/>
          </w:tcPr>
          <w:p>
            <w:pPr>
              <w:spacing w:after="0"/>
              <w:rPr>
                <w:sz w:val="20"/>
                <w:szCs w:val="20"/>
                <w:color w:val="auto"/>
              </w:rPr>
            </w:pPr>
            <w:r>
              <w:rPr>
                <w:rFonts w:ascii="Courier New" w:cs="Courier New" w:eastAsia="Courier New" w:hAnsi="Courier New"/>
                <w:sz w:val="18"/>
                <w:szCs w:val="18"/>
                <w:color w:val="auto"/>
              </w:rPr>
              <w:t>Item 5. Ownership of Five Percent or Less of a Class.</w:t>
            </w: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8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If this statement is being filed to report the fact that as of the date hereof</w:t>
            </w:r>
          </w:p>
        </w:tc>
        <w:tc>
          <w:tcPr>
            <w:tcW w:w="260" w:type="dxa"/>
            <w:vAlign w:val="bottom"/>
          </w:tcPr>
          <w:p>
            <w:pPr>
              <w:spacing w:after="0"/>
              <w:rPr>
                <w:sz w:val="17"/>
                <w:szCs w:val="17"/>
                <w:color w:val="auto"/>
              </w:rPr>
            </w:pPr>
          </w:p>
        </w:tc>
      </w:tr>
      <w:tr>
        <w:trPr>
          <w:trHeight w:val="203"/>
        </w:trPr>
        <w:tc>
          <w:tcPr>
            <w:tcW w:w="8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reporting person has ceased to be the beneficial owner</w:t>
            </w:r>
          </w:p>
        </w:tc>
        <w:tc>
          <w:tcPr>
            <w:tcW w:w="260" w:type="dxa"/>
            <w:vAlign w:val="bottom"/>
          </w:tcPr>
          <w:p>
            <w:pPr>
              <w:spacing w:after="0"/>
              <w:rPr>
                <w:sz w:val="17"/>
                <w:szCs w:val="17"/>
                <w:color w:val="auto"/>
              </w:rPr>
            </w:pPr>
          </w:p>
        </w:tc>
      </w:tr>
      <w:tr>
        <w:trPr>
          <w:trHeight w:val="203"/>
        </w:trPr>
        <w:tc>
          <w:tcPr>
            <w:tcW w:w="8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 more than five percent of the class of securities, check the following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1380"/>
          </w:cols>
          <w:pgMar w:left="240" w:top="142" w:right="279" w:bottom="0" w:gutter="0" w:footer="0" w:header="0"/>
        </w:sectPr>
      </w:pPr>
    </w:p>
    <w:bookmarkStart w:id="2" w:name="page3"/>
    <w:bookmarkEnd w:id="2"/>
    <w:p>
      <w:pPr>
        <w:ind w:left="860"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3580"/>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 3, 2018</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/s/Anthony Chan</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Anthony Chan</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Director</w:t>
      </w:r>
    </w:p>
    <w:sectPr>
      <w:pgSz w:w="11900" w:h="16838" w:orient="portrait"/>
      <w:cols w:equalWidth="0" w:num="1">
        <w:col w:w="10760"/>
      </w:cols>
      <w:pgMar w:left="240" w:top="142"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5"/>
      <w:numFmt w:val="bullet"/>
      <w:start w:val="1"/>
    </w:lvl>
  </w:abstractNum>
  <w:abstractNum w:abstractNumId="6">
    <w:nsid w:val="3352255A"/>
    <w:multiLevelType w:val="hybridMultilevel"/>
    <w:lvl w:ilvl="0">
      <w:lvlJc w:val="left"/>
      <w:lvlText w:val="6"/>
      <w:numFmt w:val="bullet"/>
      <w:start w:val="1"/>
    </w:lvl>
  </w:abstractNum>
  <w:abstractNum w:abstractNumId="7">
    <w:nsid w:val="109CF92E"/>
    <w:multiLevelType w:val="hybridMultilevel"/>
    <w:lvl w:ilvl="0">
      <w:lvlJc w:val="left"/>
      <w:lvlText w:val="7"/>
      <w:numFmt w:val="bullet"/>
      <w:start w:val="1"/>
    </w:lvl>
  </w:abstractNum>
  <w:abstractNum w:abstractNumId="8">
    <w:nsid w:val="DED7263"/>
    <w:multiLevelType w:val="hybridMultilevel"/>
    <w:lvl w:ilvl="0">
      <w:lvlJc w:val="left"/>
      <w:lvlText w:val="8"/>
      <w:numFmt w:val="bullet"/>
      <w:start w:val="1"/>
    </w:lvl>
  </w:abstractNum>
  <w:abstractNum w:abstractNumId="9">
    <w:nsid w:val="7FDCC233"/>
    <w:multiLevelType w:val="hybridMultilevel"/>
    <w:lvl w:ilvl="0">
      <w:lvlJc w:val="left"/>
      <w:lvlText w:val="9"/>
      <w:numFmt w:val="bullet"/>
      <w:start w:val="1"/>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7"/>
    </w:lvl>
  </w:abstractNum>
  <w:abstractNum w:abstractNumId="16">
    <w:nsid w:val="431BD7B7"/>
    <w:multiLevelType w:val="hybridMultilevel"/>
    <w:lvl w:ilvl="0">
      <w:lvlJc w:val="left"/>
      <w:lvlText w:val="(%1)"/>
      <w:numFmt w:val="lowerLetter"/>
      <w:start w:val="10"/>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2019-12-08T15:59:13Z</dcterms:created>
  <dcterms:modified xsi:type="dcterms:W3CDTF">2019-12-08T15:59:13Z</dcterms:modified>
</cp:coreProperties>
</file>