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200"/>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ind w:left="492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2420" w:right="880"/>
        <w:spacing w:after="0" w:line="243" w:lineRule="auto"/>
        <w:rPr>
          <w:sz w:val="20"/>
          <w:szCs w:val="20"/>
          <w:color w:val="auto"/>
        </w:rPr>
      </w:pPr>
      <w:r>
        <w:rPr>
          <w:rFonts w:ascii="Arial" w:cs="Arial" w:eastAsia="Arial" w:hAnsi="Arial"/>
          <w:sz w:val="22"/>
          <w:szCs w:val="22"/>
          <w:b w:val="1"/>
          <w:bCs w:val="1"/>
          <w:color w:val="auto"/>
        </w:rPr>
        <w:t>REPORT OF FOREIGN PRIVATE ISSUER PURSUANT TO RULE 13a-16 OR 15d-16 UNDER THE SECURITIES EXCHANGE ACT OF 1934</w:t>
      </w:r>
    </w:p>
    <w:p>
      <w:pPr>
        <w:spacing w:after="0" w:line="186"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For the month of May 2018</w:t>
      </w:r>
    </w:p>
    <w:p>
      <w:pPr>
        <w:spacing w:after="0" w:line="225" w:lineRule="exact"/>
        <w:rPr>
          <w:sz w:val="24"/>
          <w:szCs w:val="24"/>
          <w:color w:val="auto"/>
        </w:rPr>
      </w:pPr>
    </w:p>
    <w:p>
      <w:pPr>
        <w:ind w:left="4280"/>
        <w:spacing w:after="0"/>
        <w:rPr>
          <w:sz w:val="20"/>
          <w:szCs w:val="20"/>
          <w:color w:val="auto"/>
        </w:rPr>
      </w:pPr>
      <w:r>
        <w:rPr>
          <w:rFonts w:ascii="Arial" w:cs="Arial" w:eastAsia="Arial" w:hAnsi="Arial"/>
          <w:sz w:val="18"/>
          <w:szCs w:val="18"/>
          <w:b w:val="1"/>
          <w:bCs w:val="1"/>
          <w:color w:val="auto"/>
        </w:rPr>
        <w:t>Commission File Number: 001-38313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240665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1200"/>
        <w:spacing w:after="0"/>
        <w:rPr>
          <w:sz w:val="20"/>
          <w:szCs w:val="20"/>
          <w:color w:val="auto"/>
        </w:rPr>
      </w:pPr>
      <w:r>
        <w:rPr>
          <w:rFonts w:ascii="Arial" w:cs="Arial" w:eastAsia="Arial" w:hAnsi="Arial"/>
          <w:sz w:val="40"/>
          <w:szCs w:val="40"/>
          <w:b w:val="1"/>
          <w:bCs w:val="1"/>
          <w:color w:val="auto"/>
        </w:rPr>
        <w:t>iClick Interactive Asia Group Limited</w:t>
      </w:r>
    </w:p>
    <w:p>
      <w:pPr>
        <w:spacing w:after="0" w:line="85"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15/F</w:t>
      </w:r>
    </w:p>
    <w:p>
      <w:pPr>
        <w:spacing w:after="0" w:line="27"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Prosperity Millennia Plaza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663 King’s Road, Quarry Bay</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Hong Kong S.A.R., People’s Republic of China</w:t>
      </w:r>
    </w:p>
    <w:p>
      <w:pPr>
        <w:spacing w:after="0" w:line="9" w:lineRule="exact"/>
        <w:rPr>
          <w:sz w:val="24"/>
          <w:szCs w:val="24"/>
          <w:color w:val="auto"/>
        </w:rPr>
      </w:pPr>
    </w:p>
    <w:p>
      <w:pPr>
        <w:jc w:val="center"/>
        <w:ind w:right="-1200"/>
        <w:spacing w:after="0"/>
        <w:rPr>
          <w:sz w:val="20"/>
          <w:szCs w:val="20"/>
          <w:color w:val="auto"/>
        </w:rPr>
      </w:pPr>
      <w:r>
        <w:rPr>
          <w:rFonts w:ascii="Arial" w:cs="Arial" w:eastAsia="Arial" w:hAnsi="Arial"/>
          <w:sz w:val="18"/>
          <w:szCs w:val="18"/>
          <w:b w:val="1"/>
          <w:bCs w:val="1"/>
          <w:color w:val="auto"/>
        </w:rPr>
        <w:t>Tel: +852 3700 9000</w:t>
      </w:r>
    </w:p>
    <w:p>
      <w:pPr>
        <w:spacing w:after="0" w:line="2" w:lineRule="exact"/>
        <w:rPr>
          <w:sz w:val="24"/>
          <w:szCs w:val="24"/>
          <w:color w:val="auto"/>
        </w:rPr>
      </w:pPr>
    </w:p>
    <w:p>
      <w:pPr>
        <w:ind w:left="456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420"/>
        <w:spacing w:after="0" w:line="207" w:lineRule="exact"/>
        <w:tabs>
          <w:tab w:leader="none" w:pos="59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 (1):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 (7):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196215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238760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368"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686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980" w:type="dxa"/>
            <w:vAlign w:val="bottom"/>
          </w:tcPr>
          <w:p>
            <w:pPr>
              <w:spacing w:after="0"/>
              <w:rPr>
                <w:sz w:val="20"/>
                <w:szCs w:val="20"/>
                <w:color w:val="auto"/>
              </w:rPr>
            </w:pPr>
            <w:r>
              <w:rPr>
                <w:rFonts w:ascii="Arial" w:cs="Arial" w:eastAsia="Arial" w:hAnsi="Arial"/>
                <w:sz w:val="18"/>
                <w:szCs w:val="18"/>
                <w:b w:val="1"/>
                <w:bCs w:val="1"/>
                <w:color w:val="auto"/>
              </w:rPr>
              <w:t>iClick Interactive Asia Group Limited</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Jie Jiao</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Jie Jiao</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May 25, 2018</w:t>
      </w:r>
    </w:p>
    <w:p>
      <w:pPr>
        <w:sectPr>
          <w:pgSz w:w="11900" w:h="16838" w:orient="portrait"/>
          <w:cols w:equalWidth="0" w:num="1">
            <w:col w:w="11420"/>
          </w:cols>
          <w:pgMar w:left="240" w:top="270" w:right="239" w:bottom="1440" w:gutter="0" w:footer="0" w:header="0"/>
        </w:sectPr>
      </w:pPr>
    </w:p>
    <w:bookmarkStart w:id="2" w:name="page3"/>
    <w:bookmarkEnd w:id="2"/>
    <w:p>
      <w:pPr>
        <w:jc w:val="right"/>
        <w:ind w:right="37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280"/>
        <w:spacing w:after="0"/>
        <w:tabs>
          <w:tab w:leader="none" w:pos="136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u w:val="single" w:color="auto"/>
          <w:color w:val="auto"/>
        </w:rPr>
        <w:t>Description</w:t>
      </w:r>
    </w:p>
    <w:p>
      <w:pPr>
        <w:spacing w:after="0" w:line="88" w:lineRule="exact"/>
        <w:rPr>
          <w:sz w:val="20"/>
          <w:szCs w:val="20"/>
          <w:color w:val="auto"/>
        </w:rPr>
      </w:pPr>
    </w:p>
    <w:p>
      <w:pPr>
        <w:spacing w:after="0"/>
        <w:tabs>
          <w:tab w:leader="none" w:pos="136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w:t>
      </w:r>
    </w:p>
    <w:p>
      <w:pPr>
        <w:sectPr>
          <w:pgSz w:w="11900" w:h="16838" w:orient="portrait"/>
          <w:cols w:equalWidth="0" w:num="1">
            <w:col w:w="10219"/>
          </w:cols>
          <w:pgMar w:left="240" w:top="270"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 Reports First Quarter 2018 Unaudited Financial Results</w:t>
      </w:r>
    </w:p>
    <w:p>
      <w:pPr>
        <w:spacing w:after="0" w:line="229"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Hong Kong, May 23, 2018 (GLOBE NEWSWIRE) — iClick Interactive Asia Group Limited (“iClick” or the “Company”) (NASDAQ: ICLK), a leading independent online marketing technology platform in China, today announced its unaudited financial results for the first quarter ended March 31, 2018.</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2018 Financial and Operational Highlights: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4"/>
                <w:szCs w:val="14"/>
                <w:color w:val="auto"/>
              </w:rPr>
            </w:pPr>
          </w:p>
        </w:tc>
        <w:tc>
          <w:tcPr>
            <w:tcW w:w="5400" w:type="dxa"/>
            <w:vAlign w:val="bottom"/>
            <w:gridSpan w:val="3"/>
          </w:tcPr>
          <w:p>
            <w:pPr>
              <w:jc w:val="center"/>
              <w:ind w:left="2076"/>
              <w:spacing w:after="0"/>
              <w:rPr>
                <w:sz w:val="20"/>
                <w:szCs w:val="20"/>
                <w:color w:val="auto"/>
              </w:rPr>
            </w:pPr>
            <w:r>
              <w:rPr>
                <w:rFonts w:ascii="Arial" w:cs="Arial" w:eastAsia="Arial" w:hAnsi="Arial"/>
                <w:sz w:val="14"/>
                <w:szCs w:val="14"/>
                <w:color w:val="auto"/>
                <w:w w:val="93"/>
              </w:rPr>
              <w:t>Three Months Ended March 31,</w:t>
            </w:r>
          </w:p>
        </w:tc>
      </w:tr>
      <w:tr>
        <w:trPr>
          <w:trHeight w:val="149"/>
        </w:trPr>
        <w:tc>
          <w:tcPr>
            <w:tcW w:w="6020" w:type="dxa"/>
            <w:vAlign w:val="bottom"/>
          </w:tcPr>
          <w:p>
            <w:pPr>
              <w:spacing w:after="0"/>
              <w:rPr>
                <w:sz w:val="12"/>
                <w:szCs w:val="12"/>
                <w:color w:val="auto"/>
              </w:rPr>
            </w:pPr>
          </w:p>
        </w:tc>
        <w:tc>
          <w:tcPr>
            <w:tcW w:w="3280" w:type="dxa"/>
            <w:vAlign w:val="bottom"/>
          </w:tcPr>
          <w:p>
            <w:pPr>
              <w:jc w:val="center"/>
              <w:ind w:left="2076"/>
              <w:spacing w:after="0" w:line="149" w:lineRule="exact"/>
              <w:rPr>
                <w:sz w:val="20"/>
                <w:szCs w:val="20"/>
                <w:color w:val="auto"/>
              </w:rPr>
            </w:pPr>
            <w:r>
              <w:rPr>
                <w:rFonts w:ascii="Arial" w:cs="Arial" w:eastAsia="Arial" w:hAnsi="Arial"/>
                <w:sz w:val="14"/>
                <w:szCs w:val="14"/>
                <w:color w:val="auto"/>
                <w:w w:val="89"/>
              </w:rPr>
              <w:t>2017</w:t>
            </w:r>
          </w:p>
        </w:tc>
        <w:tc>
          <w:tcPr>
            <w:tcW w:w="1060" w:type="dxa"/>
            <w:vAlign w:val="bottom"/>
          </w:tcPr>
          <w:p>
            <w:pPr>
              <w:jc w:val="center"/>
              <w:spacing w:after="0" w:line="149" w:lineRule="exact"/>
              <w:rPr>
                <w:sz w:val="20"/>
                <w:szCs w:val="20"/>
                <w:color w:val="auto"/>
              </w:rPr>
            </w:pPr>
            <w:r>
              <w:rPr>
                <w:rFonts w:ascii="Arial" w:cs="Arial" w:eastAsia="Arial" w:hAnsi="Arial"/>
                <w:sz w:val="14"/>
                <w:szCs w:val="14"/>
                <w:color w:val="auto"/>
                <w:w w:val="96"/>
              </w:rPr>
              <w:t>2018</w:t>
            </w:r>
          </w:p>
        </w:tc>
        <w:tc>
          <w:tcPr>
            <w:tcW w:w="1060" w:type="dxa"/>
            <w:vAlign w:val="bottom"/>
          </w:tcPr>
          <w:p>
            <w:pPr>
              <w:spacing w:after="0"/>
              <w:rPr>
                <w:sz w:val="12"/>
                <w:szCs w:val="12"/>
                <w:color w:val="auto"/>
              </w:rPr>
            </w:pPr>
          </w:p>
        </w:tc>
      </w:tr>
      <w:tr>
        <w:trPr>
          <w:trHeight w:val="154"/>
        </w:trPr>
        <w:tc>
          <w:tcPr>
            <w:tcW w:w="6020" w:type="dxa"/>
            <w:vAlign w:val="bottom"/>
          </w:tcPr>
          <w:p>
            <w:pPr>
              <w:spacing w:after="0"/>
              <w:rPr>
                <w:sz w:val="13"/>
                <w:szCs w:val="13"/>
                <w:color w:val="auto"/>
              </w:rPr>
            </w:pPr>
          </w:p>
        </w:tc>
        <w:tc>
          <w:tcPr>
            <w:tcW w:w="3280" w:type="dxa"/>
            <w:vAlign w:val="bottom"/>
          </w:tcPr>
          <w:p>
            <w:pPr>
              <w:jc w:val="center"/>
              <w:ind w:left="2076"/>
              <w:spacing w:after="0" w:line="154" w:lineRule="exact"/>
              <w:rPr>
                <w:sz w:val="20"/>
                <w:szCs w:val="20"/>
                <w:color w:val="auto"/>
              </w:rPr>
            </w:pPr>
            <w:r>
              <w:rPr>
                <w:rFonts w:ascii="Arial" w:cs="Arial" w:eastAsia="Arial" w:hAnsi="Arial"/>
                <w:sz w:val="14"/>
                <w:szCs w:val="14"/>
                <w:color w:val="auto"/>
                <w:w w:val="94"/>
              </w:rPr>
              <w:t>(US$ in</w:t>
            </w:r>
          </w:p>
        </w:tc>
        <w:tc>
          <w:tcPr>
            <w:tcW w:w="1060" w:type="dxa"/>
            <w:vAlign w:val="bottom"/>
          </w:tcPr>
          <w:p>
            <w:pPr>
              <w:jc w:val="center"/>
              <w:spacing w:after="0" w:line="154" w:lineRule="exact"/>
              <w:rPr>
                <w:sz w:val="20"/>
                <w:szCs w:val="20"/>
                <w:color w:val="auto"/>
              </w:rPr>
            </w:pPr>
            <w:r>
              <w:rPr>
                <w:rFonts w:ascii="Arial" w:cs="Arial" w:eastAsia="Arial" w:hAnsi="Arial"/>
                <w:sz w:val="14"/>
                <w:szCs w:val="14"/>
                <w:color w:val="auto"/>
                <w:w w:val="98"/>
              </w:rPr>
              <w:t>(US$ in</w:t>
            </w:r>
          </w:p>
        </w:tc>
        <w:tc>
          <w:tcPr>
            <w:tcW w:w="1060" w:type="dxa"/>
            <w:vAlign w:val="bottom"/>
          </w:tcPr>
          <w:p>
            <w:pPr>
              <w:jc w:val="right"/>
              <w:ind w:right="174"/>
              <w:spacing w:after="0" w:line="154" w:lineRule="exact"/>
              <w:rPr>
                <w:sz w:val="20"/>
                <w:szCs w:val="20"/>
                <w:color w:val="auto"/>
              </w:rPr>
            </w:pPr>
            <w:r>
              <w:rPr>
                <w:rFonts w:ascii="Arial" w:cs="Arial" w:eastAsia="Arial" w:hAnsi="Arial"/>
                <w:sz w:val="14"/>
                <w:szCs w:val="14"/>
                <w:color w:val="auto"/>
              </w:rPr>
              <w:t>Percentage</w:t>
            </w:r>
          </w:p>
        </w:tc>
      </w:tr>
      <w:tr>
        <w:trPr>
          <w:trHeight w:val="157"/>
        </w:trPr>
        <w:tc>
          <w:tcPr>
            <w:tcW w:w="6020" w:type="dxa"/>
            <w:vAlign w:val="bottom"/>
          </w:tcPr>
          <w:p>
            <w:pPr>
              <w:spacing w:after="0"/>
              <w:rPr>
                <w:sz w:val="13"/>
                <w:szCs w:val="13"/>
                <w:color w:val="auto"/>
              </w:rPr>
            </w:pPr>
          </w:p>
        </w:tc>
        <w:tc>
          <w:tcPr>
            <w:tcW w:w="3280" w:type="dxa"/>
            <w:vAlign w:val="bottom"/>
          </w:tcPr>
          <w:p>
            <w:pPr>
              <w:jc w:val="center"/>
              <w:ind w:left="2076"/>
              <w:spacing w:after="0" w:line="157" w:lineRule="exact"/>
              <w:rPr>
                <w:sz w:val="20"/>
                <w:szCs w:val="20"/>
                <w:color w:val="auto"/>
              </w:rPr>
            </w:pPr>
            <w:r>
              <w:rPr>
                <w:rFonts w:ascii="Arial" w:cs="Arial" w:eastAsia="Arial" w:hAnsi="Arial"/>
                <w:sz w:val="14"/>
                <w:szCs w:val="14"/>
                <w:color w:val="auto"/>
                <w:w w:val="92"/>
              </w:rPr>
              <w:t>thousands)</w:t>
            </w:r>
          </w:p>
        </w:tc>
        <w:tc>
          <w:tcPr>
            <w:tcW w:w="1060" w:type="dxa"/>
            <w:vAlign w:val="bottom"/>
          </w:tcPr>
          <w:p>
            <w:pPr>
              <w:jc w:val="center"/>
              <w:spacing w:after="0" w:line="157" w:lineRule="exact"/>
              <w:rPr>
                <w:sz w:val="20"/>
                <w:szCs w:val="20"/>
                <w:color w:val="auto"/>
              </w:rPr>
            </w:pPr>
            <w:r>
              <w:rPr>
                <w:rFonts w:ascii="Arial" w:cs="Arial" w:eastAsia="Arial" w:hAnsi="Arial"/>
                <w:sz w:val="14"/>
                <w:szCs w:val="14"/>
                <w:color w:val="auto"/>
                <w:w w:val="89"/>
              </w:rPr>
              <w:t>thousands)</w:t>
            </w:r>
          </w:p>
        </w:tc>
        <w:tc>
          <w:tcPr>
            <w:tcW w:w="1060" w:type="dxa"/>
            <w:vAlign w:val="bottom"/>
          </w:tcPr>
          <w:p>
            <w:pPr>
              <w:jc w:val="right"/>
              <w:ind w:right="294"/>
              <w:spacing w:after="0" w:line="157" w:lineRule="exact"/>
              <w:rPr>
                <w:sz w:val="20"/>
                <w:szCs w:val="20"/>
                <w:color w:val="auto"/>
              </w:rPr>
            </w:pPr>
            <w:r>
              <w:rPr>
                <w:rFonts w:ascii="Arial" w:cs="Arial" w:eastAsia="Arial" w:hAnsi="Arial"/>
                <w:sz w:val="14"/>
                <w:szCs w:val="14"/>
                <w:color w:val="auto"/>
              </w:rPr>
              <w:t>change</w:t>
            </w:r>
          </w:p>
        </w:tc>
      </w:tr>
      <w:tr>
        <w:trPr>
          <w:trHeight w:val="167"/>
        </w:trPr>
        <w:tc>
          <w:tcPr>
            <w:tcW w:w="6020" w:type="dxa"/>
            <w:vAlign w:val="bottom"/>
          </w:tcPr>
          <w:p>
            <w:pPr>
              <w:spacing w:after="0"/>
              <w:rPr>
                <w:sz w:val="14"/>
                <w:szCs w:val="14"/>
                <w:color w:val="auto"/>
              </w:rPr>
            </w:pPr>
          </w:p>
        </w:tc>
        <w:tc>
          <w:tcPr>
            <w:tcW w:w="4340" w:type="dxa"/>
            <w:vAlign w:val="bottom"/>
            <w:gridSpan w:val="2"/>
          </w:tcPr>
          <w:p>
            <w:pPr>
              <w:jc w:val="right"/>
              <w:ind w:right="654"/>
              <w:spacing w:after="0"/>
              <w:rPr>
                <w:sz w:val="20"/>
                <w:szCs w:val="20"/>
                <w:color w:val="auto"/>
              </w:rPr>
            </w:pPr>
            <w:r>
              <w:rPr>
                <w:rFonts w:ascii="Arial" w:cs="Arial" w:eastAsia="Arial" w:hAnsi="Arial"/>
                <w:sz w:val="14"/>
                <w:szCs w:val="14"/>
                <w:i w:val="1"/>
                <w:iCs w:val="1"/>
                <w:color w:val="auto"/>
              </w:rPr>
              <w:t>(Unaudited)</w:t>
            </w:r>
          </w:p>
        </w:tc>
        <w:tc>
          <w:tcPr>
            <w:tcW w:w="1060" w:type="dxa"/>
            <w:vAlign w:val="bottom"/>
          </w:tcPr>
          <w:p>
            <w:pPr>
              <w:spacing w:after="0"/>
              <w:rPr>
                <w:sz w:val="14"/>
                <w:szCs w:val="14"/>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Financial Metrics:</w:t>
            </w:r>
          </w:p>
        </w:tc>
        <w:tc>
          <w:tcPr>
            <w:tcW w:w="3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Net revenues</w:t>
            </w:r>
          </w:p>
        </w:tc>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revenues from mobile audience solutions</w:t>
            </w:r>
          </w:p>
        </w:tc>
        <w:tc>
          <w:tcPr>
            <w:tcW w:w="3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18,170</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30,884</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70.0%</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Net revenues from other solutions</w:t>
            </w:r>
          </w:p>
        </w:tc>
        <w:tc>
          <w:tcPr>
            <w:tcW w:w="3280" w:type="dxa"/>
            <w:vAlign w:val="bottom"/>
          </w:tcPr>
          <w:p>
            <w:pPr>
              <w:jc w:val="right"/>
              <w:ind w:right="156"/>
              <w:spacing w:after="0"/>
              <w:rPr>
                <w:sz w:val="20"/>
                <w:szCs w:val="20"/>
                <w:color w:val="auto"/>
              </w:rPr>
            </w:pPr>
            <w:r>
              <w:rPr>
                <w:rFonts w:ascii="Arial" w:cs="Arial" w:eastAsia="Arial" w:hAnsi="Arial"/>
                <w:sz w:val="18"/>
                <w:szCs w:val="18"/>
                <w:color w:val="auto"/>
              </w:rPr>
              <w:t>7,714</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4,345</w:t>
            </w:r>
          </w:p>
        </w:tc>
        <w:tc>
          <w:tcPr>
            <w:tcW w:w="1060" w:type="dxa"/>
            <w:vAlign w:val="bottom"/>
          </w:tcPr>
          <w:p>
            <w:pPr>
              <w:jc w:val="right"/>
              <w:spacing w:after="0"/>
              <w:rPr>
                <w:sz w:val="20"/>
                <w:szCs w:val="20"/>
                <w:color w:val="auto"/>
              </w:rPr>
            </w:pPr>
            <w:r>
              <w:rPr>
                <w:rFonts w:ascii="Arial" w:cs="Arial" w:eastAsia="Arial" w:hAnsi="Arial"/>
                <w:sz w:val="18"/>
                <w:szCs w:val="18"/>
                <w:color w:val="auto"/>
              </w:rPr>
              <w:t>(43.7%)</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net revenues</w:t>
            </w:r>
          </w:p>
        </w:tc>
        <w:tc>
          <w:tcPr>
            <w:tcW w:w="3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25,884</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35,229</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36.1%</w:t>
            </w: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Adjusted EBITDA</w:t>
            </w:r>
            <w:r>
              <w:rPr>
                <w:rFonts w:ascii="Arial" w:cs="Arial" w:eastAsia="Arial" w:hAnsi="Arial"/>
                <w:sz w:val="15"/>
                <w:szCs w:val="15"/>
                <w:color w:val="auto"/>
              </w:rPr>
              <w:t>1</w:t>
            </w:r>
          </w:p>
        </w:tc>
        <w:tc>
          <w:tcPr>
            <w:tcW w:w="3280" w:type="dxa"/>
            <w:vAlign w:val="bottom"/>
          </w:tcPr>
          <w:p>
            <w:pPr>
              <w:jc w:val="right"/>
              <w:ind w:right="96"/>
              <w:spacing w:after="0"/>
              <w:rPr>
                <w:sz w:val="20"/>
                <w:szCs w:val="20"/>
                <w:color w:val="auto"/>
              </w:rPr>
            </w:pPr>
            <w:r>
              <w:rPr>
                <w:rFonts w:ascii="Arial" w:cs="Arial" w:eastAsia="Arial" w:hAnsi="Arial"/>
                <w:sz w:val="18"/>
                <w:szCs w:val="18"/>
                <w:color w:val="auto"/>
              </w:rPr>
              <w:t>(1,911)</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409</w:t>
            </w:r>
          </w:p>
        </w:tc>
        <w:tc>
          <w:tcPr>
            <w:tcW w:w="10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r>
              <w:rPr>
                <w:rFonts w:ascii="Arial" w:cs="Arial" w:eastAsia="Arial" w:hAnsi="Arial"/>
                <w:sz w:val="15"/>
                <w:szCs w:val="15"/>
                <w:color w:val="auto"/>
              </w:rPr>
              <w:t>1</w:t>
            </w:r>
          </w:p>
        </w:tc>
        <w:tc>
          <w:tcPr>
            <w:tcW w:w="32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(3,479)</w:t>
            </w:r>
          </w:p>
        </w:tc>
        <w:tc>
          <w:tcPr>
            <w:tcW w:w="106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rPr>
              <w:t>(1,418)</w:t>
            </w:r>
          </w:p>
        </w:tc>
        <w:tc>
          <w:tcPr>
            <w:tcW w:w="10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Diluted adjusted net loss per ADS</w:t>
            </w:r>
            <w:r>
              <w:rPr>
                <w:rFonts w:ascii="Arial" w:cs="Arial" w:eastAsia="Arial" w:hAnsi="Arial"/>
                <w:sz w:val="15"/>
                <w:szCs w:val="15"/>
                <w:color w:val="auto"/>
              </w:rPr>
              <w:t>1</w:t>
            </w:r>
          </w:p>
        </w:tc>
        <w:tc>
          <w:tcPr>
            <w:tcW w:w="3280" w:type="dxa"/>
            <w:vAlign w:val="bottom"/>
          </w:tcPr>
          <w:p>
            <w:pPr>
              <w:jc w:val="right"/>
              <w:ind w:right="96"/>
              <w:spacing w:after="0"/>
              <w:rPr>
                <w:sz w:val="20"/>
                <w:szCs w:val="20"/>
                <w:color w:val="auto"/>
              </w:rPr>
            </w:pPr>
            <w:r>
              <w:rPr>
                <w:rFonts w:ascii="Arial" w:cs="Arial" w:eastAsia="Arial" w:hAnsi="Arial"/>
                <w:sz w:val="18"/>
                <w:szCs w:val="18"/>
                <w:color w:val="auto"/>
              </w:rPr>
              <w:t>(0.15)</w:t>
            </w:r>
          </w:p>
        </w:tc>
        <w:tc>
          <w:tcPr>
            <w:tcW w:w="1060" w:type="dxa"/>
            <w:vAlign w:val="bottom"/>
          </w:tcPr>
          <w:p>
            <w:pPr>
              <w:jc w:val="right"/>
              <w:ind w:right="114"/>
              <w:spacing w:after="0"/>
              <w:rPr>
                <w:sz w:val="20"/>
                <w:szCs w:val="20"/>
                <w:color w:val="auto"/>
              </w:rPr>
            </w:pPr>
            <w:r>
              <w:rPr>
                <w:rFonts w:ascii="Arial" w:cs="Arial" w:eastAsia="Arial" w:hAnsi="Arial"/>
                <w:sz w:val="18"/>
                <w:szCs w:val="18"/>
                <w:color w:val="auto"/>
              </w:rPr>
              <w:t>(0.03)</w:t>
            </w:r>
          </w:p>
        </w:tc>
        <w:tc>
          <w:tcPr>
            <w:tcW w:w="1060" w:type="dxa"/>
            <w:vAlign w:val="bottom"/>
          </w:tcPr>
          <w:p>
            <w:pPr>
              <w:spacing w:after="0"/>
              <w:rPr>
                <w:sz w:val="18"/>
                <w:szCs w:val="18"/>
                <w:color w:val="auto"/>
              </w:rPr>
            </w:pP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Metrics:</w:t>
            </w:r>
          </w:p>
        </w:tc>
        <w:tc>
          <w:tcPr>
            <w:tcW w:w="3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16"/>
        </w:trPr>
        <w:tc>
          <w:tcPr>
            <w:tcW w:w="6020" w:type="dxa"/>
            <w:vAlign w:val="bottom"/>
          </w:tcPr>
          <w:p>
            <w:pPr>
              <w:spacing w:after="0"/>
              <w:rPr>
                <w:sz w:val="20"/>
                <w:szCs w:val="20"/>
                <w:color w:val="auto"/>
              </w:rPr>
            </w:pPr>
            <w:r>
              <w:rPr>
                <w:rFonts w:ascii="Arial" w:cs="Arial" w:eastAsia="Arial" w:hAnsi="Arial"/>
                <w:sz w:val="18"/>
                <w:szCs w:val="18"/>
                <w:color w:val="auto"/>
              </w:rPr>
              <w:t>Gross billing</w:t>
            </w:r>
          </w:p>
        </w:tc>
        <w:tc>
          <w:tcPr>
            <w:tcW w:w="3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16"/>
        </w:trPr>
        <w:tc>
          <w:tcPr>
            <w:tcW w:w="6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billing from mobile audience solutions</w:t>
            </w:r>
          </w:p>
        </w:tc>
        <w:tc>
          <w:tcPr>
            <w:tcW w:w="3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24,993</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73,575</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194.4%</w:t>
            </w:r>
          </w:p>
        </w:tc>
      </w:tr>
      <w:tr>
        <w:trPr>
          <w:trHeight w:val="216"/>
        </w:trPr>
        <w:tc>
          <w:tcPr>
            <w:tcW w:w="6020" w:type="dxa"/>
            <w:vAlign w:val="bottom"/>
          </w:tcPr>
          <w:p>
            <w:pPr>
              <w:ind w:left="360"/>
              <w:spacing w:after="0"/>
              <w:rPr>
                <w:sz w:val="20"/>
                <w:szCs w:val="20"/>
                <w:color w:val="auto"/>
              </w:rPr>
            </w:pPr>
            <w:r>
              <w:rPr>
                <w:rFonts w:ascii="Arial" w:cs="Arial" w:eastAsia="Arial" w:hAnsi="Arial"/>
                <w:sz w:val="18"/>
                <w:szCs w:val="18"/>
                <w:color w:val="auto"/>
              </w:rPr>
              <w:t>Gross billing from other solutions</w:t>
            </w:r>
          </w:p>
        </w:tc>
        <w:tc>
          <w:tcPr>
            <w:tcW w:w="3280" w:type="dxa"/>
            <w:vAlign w:val="bottom"/>
          </w:tcPr>
          <w:p>
            <w:pPr>
              <w:jc w:val="right"/>
              <w:ind w:right="156"/>
              <w:spacing w:after="0"/>
              <w:rPr>
                <w:sz w:val="20"/>
                <w:szCs w:val="20"/>
                <w:color w:val="auto"/>
              </w:rPr>
            </w:pPr>
            <w:r>
              <w:rPr>
                <w:rFonts w:ascii="Arial" w:cs="Arial" w:eastAsia="Arial" w:hAnsi="Arial"/>
                <w:sz w:val="18"/>
                <w:szCs w:val="18"/>
                <w:color w:val="auto"/>
              </w:rPr>
              <w:t>21,886</w:t>
            </w:r>
          </w:p>
        </w:tc>
        <w:tc>
          <w:tcPr>
            <w:tcW w:w="1060" w:type="dxa"/>
            <w:vAlign w:val="bottom"/>
          </w:tcPr>
          <w:p>
            <w:pPr>
              <w:jc w:val="right"/>
              <w:ind w:right="154"/>
              <w:spacing w:after="0"/>
              <w:rPr>
                <w:sz w:val="20"/>
                <w:szCs w:val="20"/>
                <w:color w:val="auto"/>
              </w:rPr>
            </w:pPr>
            <w:r>
              <w:rPr>
                <w:rFonts w:ascii="Arial" w:cs="Arial" w:eastAsia="Arial" w:hAnsi="Arial"/>
                <w:sz w:val="18"/>
                <w:szCs w:val="18"/>
                <w:color w:val="auto"/>
              </w:rPr>
              <w:t>18,317</w:t>
            </w:r>
          </w:p>
        </w:tc>
        <w:tc>
          <w:tcPr>
            <w:tcW w:w="1060" w:type="dxa"/>
            <w:vAlign w:val="bottom"/>
          </w:tcPr>
          <w:p>
            <w:pPr>
              <w:jc w:val="right"/>
              <w:spacing w:after="0"/>
              <w:rPr>
                <w:sz w:val="20"/>
                <w:szCs w:val="20"/>
                <w:color w:val="auto"/>
              </w:rPr>
            </w:pPr>
            <w:r>
              <w:rPr>
                <w:rFonts w:ascii="Arial" w:cs="Arial" w:eastAsia="Arial" w:hAnsi="Arial"/>
                <w:sz w:val="18"/>
                <w:szCs w:val="18"/>
                <w:color w:val="auto"/>
              </w:rPr>
              <w:t>(16.3%)</w:t>
            </w:r>
          </w:p>
        </w:tc>
      </w:tr>
      <w:tr>
        <w:trPr>
          <w:trHeight w:val="216"/>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Total gross billing</w:t>
            </w:r>
          </w:p>
        </w:tc>
        <w:tc>
          <w:tcPr>
            <w:tcW w:w="3280" w:type="dxa"/>
            <w:vAlign w:val="bottom"/>
            <w:shd w:val="clear" w:color="auto" w:fill="CCEEFF"/>
          </w:tcPr>
          <w:p>
            <w:pPr>
              <w:jc w:val="right"/>
              <w:ind w:right="156"/>
              <w:spacing w:after="0"/>
              <w:rPr>
                <w:sz w:val="20"/>
                <w:szCs w:val="20"/>
                <w:color w:val="auto"/>
              </w:rPr>
            </w:pPr>
            <w:r>
              <w:rPr>
                <w:rFonts w:ascii="Arial" w:cs="Arial" w:eastAsia="Arial" w:hAnsi="Arial"/>
                <w:sz w:val="18"/>
                <w:szCs w:val="18"/>
                <w:color w:val="auto"/>
              </w:rPr>
              <w:t>46,879</w:t>
            </w:r>
          </w:p>
        </w:tc>
        <w:tc>
          <w:tcPr>
            <w:tcW w:w="1060" w:type="dxa"/>
            <w:vAlign w:val="bottom"/>
            <w:shd w:val="clear" w:color="auto" w:fill="CCEEFF"/>
          </w:tcPr>
          <w:p>
            <w:pPr>
              <w:jc w:val="right"/>
              <w:ind w:right="154"/>
              <w:spacing w:after="0"/>
              <w:rPr>
                <w:sz w:val="20"/>
                <w:szCs w:val="20"/>
                <w:color w:val="auto"/>
              </w:rPr>
            </w:pPr>
            <w:r>
              <w:rPr>
                <w:rFonts w:ascii="Arial" w:cs="Arial" w:eastAsia="Arial" w:hAnsi="Arial"/>
                <w:sz w:val="18"/>
                <w:szCs w:val="18"/>
                <w:color w:val="auto"/>
              </w:rPr>
              <w:t>91,892</w:t>
            </w:r>
          </w:p>
        </w:tc>
        <w:tc>
          <w:tcPr>
            <w:tcW w:w="10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96.0%</w:t>
            </w:r>
          </w:p>
        </w:tc>
      </w:tr>
    </w:tbl>
    <w:p>
      <w:pPr>
        <w:spacing w:after="0" w:line="20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are pleased to report strong results for the first quarter of 2018, with an increase of 96.0% in gross billing and an increase of 36.1% in net revenues, from the first quarter of 2017,” said Mr. Sammy Hsieh, Chief Executive Officer and Co-Founder of iClick. “During the traditionally soft first quarter, we witnessed strong sales momentum, driven by our continued strategic commitment on shifting our focus to capture more market demand in mobile audience solutions, with a year-over-year increase of 194.4% in gross billing from our mobile audience solutions, reaching a historical high of US$73.6 million. Net revenues from our mobile audience solutions also experienced an increase of 70% from the first quarter of 2017. On top of our robust growth, we are also delighted to realize a positive adjusted EBITDA earlier than expected. Looking forward to the remaining quarters of 2018, we believe that our investment in enhancing our leadership in the mobile marketing market will bear fruit, as the whole industry shifts focus from PC-end to mobile-end. Building on our technology that empowers more cost-efficient marketing distribution as well as our unparalleled datasets, we believe we are well positioned to capitalize on the tremendous market opportunity that is unfolding before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150495</wp:posOffset>
            </wp:positionV>
            <wp:extent cx="7289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56" w:lineRule="exact"/>
        <w:rPr>
          <w:sz w:val="20"/>
          <w:szCs w:val="20"/>
          <w:color w:val="auto"/>
        </w:rPr>
      </w:pPr>
    </w:p>
    <w:p>
      <w:pPr>
        <w:ind w:left="460" w:right="620" w:hanging="452"/>
        <w:spacing w:after="0" w:line="277" w:lineRule="auto"/>
        <w:tabs>
          <w:tab w:leader="none" w:pos="460" w:val="left"/>
        </w:tabs>
        <w:numPr>
          <w:ilvl w:val="0"/>
          <w:numId w:val="1"/>
        </w:numPr>
        <w:rPr>
          <w:rFonts w:ascii="Arial" w:cs="Arial" w:eastAsia="Arial" w:hAnsi="Arial"/>
          <w:sz w:val="15"/>
          <w:szCs w:val="15"/>
          <w:color w:val="auto"/>
        </w:rPr>
      </w:pPr>
      <w:r>
        <w:rPr>
          <w:rFonts w:ascii="Arial" w:cs="Arial" w:eastAsia="Arial" w:hAnsi="Arial"/>
          <w:sz w:val="18"/>
          <w:szCs w:val="18"/>
          <w:color w:val="auto"/>
        </w:rPr>
        <w:t>For more details on these non-GAAP financial measures, please see the tables captioned “Unaudited Reconciliations of GAAP and Non-GAAP Results” set forth at the end of this press release.</w:t>
      </w:r>
    </w:p>
    <w:p>
      <w:pPr>
        <w:sectPr>
          <w:pgSz w:w="11900" w:h="16838" w:orient="portrait"/>
          <w:cols w:equalWidth="0" w:num="1">
            <w:col w:w="11420"/>
          </w:cols>
          <w:pgMar w:left="240" w:top="270"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First quarter 2018 Financial and Operational Updates:</w:t>
      </w:r>
    </w:p>
    <w:p>
      <w:pPr>
        <w:spacing w:after="0" w:line="11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 xml:space="preserve">Net revenues </w:t>
      </w:r>
      <w:r>
        <w:rPr>
          <w:rFonts w:ascii="Arial" w:cs="Arial" w:eastAsia="Arial" w:hAnsi="Arial"/>
          <w:sz w:val="18"/>
          <w:szCs w:val="18"/>
          <w:color w:val="auto"/>
        </w:rPr>
        <w:t>for the first quarter of 2018 increased by 36.1% to US$35.2 million from US$25.9 million in the first quarter of 2017, primarily as a result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net revenues from mobile audience solutions and partially offset by a decrease in net revenues from other solutions.</w:t>
      </w:r>
    </w:p>
    <w:p>
      <w:pPr>
        <w:spacing w:after="0" w:line="166"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i w:val="1"/>
          <w:iCs w:val="1"/>
          <w:color w:val="auto"/>
        </w:rPr>
        <w:t xml:space="preserve">Net revenues from mobile audience solutions </w:t>
      </w:r>
      <w:r>
        <w:rPr>
          <w:rFonts w:ascii="Arial" w:cs="Arial" w:eastAsia="Arial" w:hAnsi="Arial"/>
          <w:sz w:val="17"/>
          <w:szCs w:val="17"/>
          <w:color w:val="auto"/>
        </w:rPr>
        <w:t>for the first quarter of 2018 increased by 70.0% to US$30.9 million from US$18.2 million in the first quarter of</w:t>
      </w:r>
      <w:r>
        <w:rPr>
          <w:rFonts w:ascii="Arial" w:cs="Arial" w:eastAsia="Arial" w:hAnsi="Arial"/>
          <w:sz w:val="17"/>
          <w:szCs w:val="17"/>
          <w:i w:val="1"/>
          <w:iCs w:val="1"/>
          <w:color w:val="auto"/>
        </w:rPr>
        <w:t xml:space="preserve"> </w:t>
      </w:r>
      <w:r>
        <w:rPr>
          <w:rFonts w:ascii="Arial" w:cs="Arial" w:eastAsia="Arial" w:hAnsi="Arial"/>
          <w:sz w:val="17"/>
          <w:szCs w:val="17"/>
          <w:color w:val="auto"/>
        </w:rPr>
        <w:t>2017, primarily as a result of the Company’s strategic focus shifting to capture more market demand in mobile audience solutions.</w:t>
      </w:r>
    </w:p>
    <w:p>
      <w:pPr>
        <w:spacing w:after="0" w:line="14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Net revenues from other solutions </w:t>
      </w:r>
      <w:r>
        <w:rPr>
          <w:rFonts w:ascii="Arial" w:cs="Arial" w:eastAsia="Arial" w:hAnsi="Arial"/>
          <w:sz w:val="18"/>
          <w:szCs w:val="18"/>
          <w:color w:val="auto"/>
        </w:rPr>
        <w:t>for the first quarter of 2018 decreased by 43.7% to US$4.3 million from US$7.7 million in the first quarter of 2017,</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as a result of the Company’s continued strategic shift away from other solutions.</w:t>
      </w:r>
    </w:p>
    <w:p>
      <w:pPr>
        <w:spacing w:after="0" w:line="166"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 xml:space="preserve">Gross profit </w:t>
      </w:r>
      <w:r>
        <w:rPr>
          <w:rFonts w:ascii="Arial" w:cs="Arial" w:eastAsia="Arial" w:hAnsi="Arial"/>
          <w:sz w:val="18"/>
          <w:szCs w:val="18"/>
          <w:color w:val="auto"/>
        </w:rPr>
        <w:t>for the first quarter of 2018 increased by 27.8% to US$8.1 million from US$6.4 million in the first quarter of 2017, primarily as a result of an</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gross profit from mobile audience solutions and partially offset by a decrease in gross profit from other solutions.</w:t>
      </w:r>
    </w:p>
    <w:p>
      <w:pPr>
        <w:spacing w:after="0" w:line="162" w:lineRule="exact"/>
        <w:rPr>
          <w:sz w:val="20"/>
          <w:szCs w:val="20"/>
          <w:color w:val="auto"/>
        </w:rPr>
      </w:pPr>
    </w:p>
    <w:p>
      <w:pPr>
        <w:ind w:right="80"/>
        <w:spacing w:after="0" w:line="266" w:lineRule="auto"/>
        <w:rPr>
          <w:sz w:val="20"/>
          <w:szCs w:val="20"/>
          <w:color w:val="auto"/>
        </w:rPr>
      </w:pPr>
      <w:r>
        <w:rPr>
          <w:rFonts w:ascii="Arial" w:cs="Arial" w:eastAsia="Arial" w:hAnsi="Arial"/>
          <w:sz w:val="18"/>
          <w:szCs w:val="18"/>
          <w:b w:val="1"/>
          <w:bCs w:val="1"/>
          <w:color w:val="auto"/>
        </w:rPr>
        <w:t xml:space="preserve">Total operating expenses </w:t>
      </w:r>
      <w:r>
        <w:rPr>
          <w:rFonts w:ascii="Arial" w:cs="Arial" w:eastAsia="Arial" w:hAnsi="Arial"/>
          <w:sz w:val="18"/>
          <w:szCs w:val="18"/>
          <w:color w:val="auto"/>
        </w:rPr>
        <w:t>decreased by 8.5% to US$9.9 million for the first quarter of 2018 from US$10.8 million for the first quarter of 2017. The decrease</w:t>
      </w:r>
      <w:r>
        <w:rPr>
          <w:rFonts w:ascii="Arial" w:cs="Arial" w:eastAsia="Arial" w:hAnsi="Arial"/>
          <w:sz w:val="18"/>
          <w:szCs w:val="18"/>
          <w:b w:val="1"/>
          <w:bCs w:val="1"/>
          <w:color w:val="auto"/>
        </w:rPr>
        <w:t xml:space="preserve"> </w:t>
      </w:r>
      <w:r>
        <w:rPr>
          <w:rFonts w:ascii="Arial" w:cs="Arial" w:eastAsia="Arial" w:hAnsi="Arial"/>
          <w:sz w:val="18"/>
          <w:szCs w:val="18"/>
          <w:color w:val="auto"/>
        </w:rPr>
        <w:t>was primarily due to lower headcount and a decrease in share-based compensation expenses from US$1.1 million in the first quarter of 2017 to US$0.8 million in the first quarter of 2018.</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Operating loss </w:t>
      </w:r>
      <w:r>
        <w:rPr>
          <w:rFonts w:ascii="Arial" w:cs="Arial" w:eastAsia="Arial" w:hAnsi="Arial"/>
          <w:sz w:val="17"/>
          <w:szCs w:val="17"/>
          <w:color w:val="auto"/>
        </w:rPr>
        <w:t>for the first quarter of 2018 was US$1.7 million, compared with US$4.4 million during the first quarter of 2017, as a result of the above.</w:t>
      </w:r>
    </w:p>
    <w:p>
      <w:pPr>
        <w:spacing w:after="0" w:line="237"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 xml:space="preserve">Net loss </w:t>
      </w:r>
      <w:r>
        <w:rPr>
          <w:rFonts w:ascii="Arial" w:cs="Arial" w:eastAsia="Arial" w:hAnsi="Arial"/>
          <w:sz w:val="18"/>
          <w:szCs w:val="18"/>
          <w:color w:val="auto"/>
        </w:rPr>
        <w:t>totaled US$0.1 million for the first quarter of 2018, decreasing from US$12.0 million for the first quarter of 2017. Net loss attributable to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shareholders per diluted ADS was US$0.0021, compared with US$0.4635 in the first quarter of 2017.</w:t>
      </w:r>
    </w:p>
    <w:p>
      <w:pPr>
        <w:spacing w:after="0" w:line="162" w:lineRule="exact"/>
        <w:rPr>
          <w:sz w:val="20"/>
          <w:szCs w:val="20"/>
          <w:color w:val="auto"/>
        </w:rPr>
      </w:pPr>
    </w:p>
    <w:p>
      <w:pPr>
        <w:ind w:right="400"/>
        <w:spacing w:after="0" w:line="258" w:lineRule="auto"/>
        <w:rPr>
          <w:sz w:val="20"/>
          <w:szCs w:val="20"/>
          <w:color w:val="auto"/>
        </w:rPr>
      </w:pPr>
      <w:r>
        <w:rPr>
          <w:rFonts w:ascii="Arial" w:cs="Arial" w:eastAsia="Arial" w:hAnsi="Arial"/>
          <w:sz w:val="18"/>
          <w:szCs w:val="18"/>
          <w:b w:val="1"/>
          <w:bCs w:val="1"/>
          <w:color w:val="auto"/>
        </w:rPr>
        <w:t>Gross billing</w:t>
      </w:r>
      <w:r>
        <w:rPr>
          <w:rFonts w:ascii="Arial" w:cs="Arial" w:eastAsia="Arial" w:hAnsi="Arial"/>
          <w:sz w:val="15"/>
          <w:szCs w:val="15"/>
          <w:b w:val="1"/>
          <w:bCs w:val="1"/>
          <w:color w:val="auto"/>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reached US$91.9 million during the first quarter of 2018, an increase of 96.0% from the first quarter of 2017, primarily as a result of</w:t>
      </w:r>
      <w:r>
        <w:rPr>
          <w:rFonts w:ascii="Arial" w:cs="Arial" w:eastAsia="Arial" w:hAnsi="Arial"/>
          <w:sz w:val="18"/>
          <w:szCs w:val="18"/>
          <w:b w:val="1"/>
          <w:bCs w:val="1"/>
          <w:color w:val="auto"/>
        </w:rPr>
        <w:t xml:space="preserve"> </w:t>
      </w:r>
      <w:r>
        <w:rPr>
          <w:rFonts w:ascii="Arial" w:cs="Arial" w:eastAsia="Arial" w:hAnsi="Arial"/>
          <w:sz w:val="18"/>
          <w:szCs w:val="18"/>
          <w:color w:val="auto"/>
        </w:rPr>
        <w:t>significant growth in mobile audience solutions. Gross billing from mobile audience solutions was US$73.6 million during the first quarter of 2018, an increase of 194.4% from the first quarter of 2017, as a result of clients generating larger mobile marketing spend. Gross billing from other solutions was US$18.3 million during the first quarter of 2018, a decrease of 16.3% from the first quarter of 2017, primarily as a result of the strategic focus shifting to mobile audience solutions.</w:t>
      </w:r>
    </w:p>
    <w:p>
      <w:pPr>
        <w:spacing w:after="0" w:line="184"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 xml:space="preserve">Adjusted EBITDA </w:t>
      </w:r>
      <w:r>
        <w:rPr>
          <w:rFonts w:ascii="Arial" w:cs="Arial" w:eastAsia="Arial" w:hAnsi="Arial"/>
          <w:sz w:val="18"/>
          <w:szCs w:val="18"/>
          <w:color w:val="auto"/>
        </w:rPr>
        <w:t>for the first quarter of 2018 was US$0.4 million, compared with a loss of US$1.9 million during the first quarter of 2017, primarily as a</w:t>
      </w:r>
      <w:r>
        <w:rPr>
          <w:rFonts w:ascii="Arial" w:cs="Arial" w:eastAsia="Arial" w:hAnsi="Arial"/>
          <w:sz w:val="18"/>
          <w:szCs w:val="18"/>
          <w:b w:val="1"/>
          <w:bCs w:val="1"/>
          <w:color w:val="auto"/>
        </w:rPr>
        <w:t xml:space="preserve"> </w:t>
      </w:r>
      <w:r>
        <w:rPr>
          <w:rFonts w:ascii="Arial" w:cs="Arial" w:eastAsia="Arial" w:hAnsi="Arial"/>
          <w:sz w:val="18"/>
          <w:szCs w:val="18"/>
          <w:color w:val="auto"/>
        </w:rPr>
        <w:t>result of a substantial decrease of the operating loss. For a reconciliation of the Company’s adjusted EBITDA to net loss, its most comparable GAAP measure, please refer to “Unaudited Reconciliations of GAAP and Non-GAAP Results.”</w:t>
      </w:r>
    </w:p>
    <w:p>
      <w:pPr>
        <w:spacing w:after="0" w:line="176" w:lineRule="exact"/>
        <w:rPr>
          <w:sz w:val="20"/>
          <w:szCs w:val="20"/>
          <w:color w:val="auto"/>
        </w:rPr>
      </w:pPr>
    </w:p>
    <w:p>
      <w:pPr>
        <w:ind w:right="20"/>
        <w:spacing w:after="0" w:line="314" w:lineRule="auto"/>
        <w:rPr>
          <w:sz w:val="20"/>
          <w:szCs w:val="20"/>
          <w:color w:val="auto"/>
        </w:rPr>
      </w:pPr>
      <w:r>
        <w:rPr>
          <w:rFonts w:ascii="Arial" w:cs="Arial" w:eastAsia="Arial" w:hAnsi="Arial"/>
          <w:sz w:val="16"/>
          <w:szCs w:val="16"/>
          <w:b w:val="1"/>
          <w:bCs w:val="1"/>
          <w:color w:val="auto"/>
        </w:rPr>
        <w:t xml:space="preserve">Adjusted net loss </w:t>
      </w:r>
      <w:r>
        <w:rPr>
          <w:rFonts w:ascii="Arial" w:cs="Arial" w:eastAsia="Arial" w:hAnsi="Arial"/>
          <w:sz w:val="16"/>
          <w:szCs w:val="16"/>
          <w:color w:val="auto"/>
        </w:rPr>
        <w:t>for the first quarter of 2018 attributable to the Company’s shareholders, which excludes share-based compensation expenses, fair value loss</w:t>
      </w:r>
      <w:r>
        <w:rPr>
          <w:rFonts w:ascii="Arial" w:cs="Arial" w:eastAsia="Arial" w:hAnsi="Arial"/>
          <w:sz w:val="16"/>
          <w:szCs w:val="16"/>
          <w:b w:val="1"/>
          <w:bCs w:val="1"/>
          <w:color w:val="auto"/>
        </w:rPr>
        <w:t xml:space="preserve"> </w:t>
      </w:r>
      <w:r>
        <w:rPr>
          <w:rFonts w:ascii="Arial" w:cs="Arial" w:eastAsia="Arial" w:hAnsi="Arial"/>
          <w:sz w:val="16"/>
          <w:szCs w:val="16"/>
          <w:color w:val="auto"/>
        </w:rPr>
        <w:t>on derivative liabilities, and other losses/(gains), decreased to US$1.4 million from US$3.5 million in the first quarter of 2017. For a reconciliation of the Company’s adjusted net loss to net loss, its most comparable GAAP measure, please refer to “Unaudited Reconciliations of GAAP and Non-GAAP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89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21"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4"/>
          <w:szCs w:val="14"/>
          <w:color w:val="auto"/>
        </w:rPr>
      </w:pPr>
      <w:r>
        <w:rPr>
          <w:rFonts w:ascii="Arial" w:cs="Arial" w:eastAsia="Arial" w:hAnsi="Arial"/>
          <w:sz w:val="17"/>
          <w:szCs w:val="17"/>
          <w:color w:val="auto"/>
        </w:rPr>
        <w:t>Gross billing is defined as the aggregate dollar amount that clients pay the Company after deducting rebates paid and discounts given to clients.</w:t>
      </w:r>
    </w:p>
    <w:p>
      <w:pPr>
        <w:sectPr>
          <w:pgSz w:w="11900" w:h="16838" w:orient="portrait"/>
          <w:cols w:equalWidth="0" w:num="1">
            <w:col w:w="11420"/>
          </w:cols>
          <w:pgMar w:left="240" w:top="270" w:right="239" w:bottom="1440" w:gutter="0" w:footer="0" w:header="0"/>
        </w:sectPr>
      </w:pPr>
    </w:p>
    <w:bookmarkStart w:id="5" w:name="page6"/>
    <w:bookmarkEnd w:id="5"/>
    <w:p>
      <w:pPr>
        <w:ind w:right="2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As of March 31, 2018, the Company’s cash and cash equivalents and time deposit amounted to US$23.5 million and US$14.8 million, respectively, compared with US$19.4 million cash and cash equivalents and US$25.0 million time deposit as of December 31, 2017.</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Based on the information available as of the date of this press release, the Company provides the following outlook:</w:t>
      </w:r>
    </w:p>
    <w:p>
      <w:pPr>
        <w:spacing w:after="0" w:line="131" w:lineRule="exact"/>
        <w:rPr>
          <w:sz w:val="20"/>
          <w:szCs w:val="20"/>
          <w:color w:val="auto"/>
        </w:rPr>
      </w:pPr>
    </w:p>
    <w:p>
      <w:pPr>
        <w:ind w:left="2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Net revenues are estimated to be between US$175 million and US$180 million for the full year 2018, representing a growth between 39.7% to 43.7% from the full year 2017.</w:t>
      </w:r>
    </w:p>
    <w:p>
      <w:pPr>
        <w:spacing w:after="0" w:line="75" w:lineRule="exact"/>
        <w:rPr>
          <w:rFonts w:ascii="Arial" w:cs="Arial" w:eastAsia="Arial" w:hAnsi="Arial"/>
          <w:sz w:val="18"/>
          <w:szCs w:val="18"/>
          <w:color w:val="auto"/>
        </w:rPr>
      </w:pPr>
    </w:p>
    <w:p>
      <w:pPr>
        <w:ind w:left="220" w:right="120" w:hanging="212"/>
        <w:spacing w:after="0" w:line="277"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Gross billing is estimated to be between US$380 million and US$420 million for the full year 2018, representing a growth between 53.1% to 69.2% from the full year 2017.</w:t>
      </w:r>
    </w:p>
    <w:p>
      <w:pPr>
        <w:spacing w:after="0" w:line="170"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color w:val="auto"/>
        </w:rPr>
        <w:t>The above outlook is based on the current market conditions and reflects the Company’s preliminary estimates of market and operating conditions, and customer demand, which are all subject to change.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w:t>
      </w:r>
    </w:p>
    <w:p>
      <w:pPr>
        <w:spacing w:after="0" w:line="12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The Company’s management will host an earnings conference call at 8:00 AM U.S. Eastern Time on May 23, 2018 (8:00 PM Beijing/Hong Kong time on May 23,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Dial-in details for the earnings conference call are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United States:</w:t>
            </w:r>
          </w:p>
        </w:tc>
        <w:tc>
          <w:tcPr>
            <w:tcW w:w="1460" w:type="dxa"/>
            <w:vAlign w:val="bottom"/>
          </w:tcPr>
          <w:p>
            <w:pPr>
              <w:ind w:left="200"/>
              <w:spacing w:after="0"/>
              <w:rPr>
                <w:sz w:val="20"/>
                <w:szCs w:val="20"/>
                <w:color w:val="auto"/>
              </w:rPr>
            </w:pPr>
            <w:r>
              <w:rPr>
                <w:rFonts w:ascii="Arial" w:cs="Arial" w:eastAsia="Arial" w:hAnsi="Arial"/>
                <w:sz w:val="18"/>
                <w:szCs w:val="18"/>
                <w:color w:val="auto"/>
                <w:w w:val="89"/>
              </w:rPr>
              <w:t>+1-845-675-0437</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International:</w:t>
            </w:r>
          </w:p>
        </w:tc>
        <w:tc>
          <w:tcPr>
            <w:tcW w:w="1460" w:type="dxa"/>
            <w:vAlign w:val="bottom"/>
          </w:tcPr>
          <w:p>
            <w:pPr>
              <w:ind w:left="200"/>
              <w:spacing w:after="0"/>
              <w:rPr>
                <w:sz w:val="20"/>
                <w:szCs w:val="20"/>
                <w:color w:val="auto"/>
              </w:rPr>
            </w:pPr>
            <w:r>
              <w:rPr>
                <w:rFonts w:ascii="Arial" w:cs="Arial" w:eastAsia="Arial" w:hAnsi="Arial"/>
                <w:sz w:val="18"/>
                <w:szCs w:val="18"/>
                <w:color w:val="auto"/>
              </w:rPr>
              <w:t>+65-6713-5090</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Hong Kong:</w:t>
            </w:r>
          </w:p>
        </w:tc>
        <w:tc>
          <w:tcPr>
            <w:tcW w:w="1460" w:type="dxa"/>
            <w:vAlign w:val="bottom"/>
          </w:tcPr>
          <w:p>
            <w:pPr>
              <w:ind w:left="200"/>
              <w:spacing w:after="0"/>
              <w:rPr>
                <w:sz w:val="20"/>
                <w:szCs w:val="20"/>
                <w:color w:val="auto"/>
              </w:rPr>
            </w:pPr>
            <w:r>
              <w:rPr>
                <w:rFonts w:ascii="Arial" w:cs="Arial" w:eastAsia="Arial" w:hAnsi="Arial"/>
                <w:sz w:val="18"/>
                <w:szCs w:val="18"/>
                <w:color w:val="auto"/>
                <w:w w:val="93"/>
              </w:rPr>
              <w:t>+852-3018-6771</w:t>
            </w:r>
          </w:p>
        </w:tc>
      </w:tr>
      <w:tr>
        <w:trPr>
          <w:trHeight w:val="216"/>
        </w:trPr>
        <w:tc>
          <w:tcPr>
            <w:tcW w:w="1300" w:type="dxa"/>
            <w:vAlign w:val="bottom"/>
          </w:tcPr>
          <w:p>
            <w:pPr>
              <w:spacing w:after="0"/>
              <w:rPr>
                <w:sz w:val="20"/>
                <w:szCs w:val="20"/>
                <w:color w:val="auto"/>
              </w:rPr>
            </w:pPr>
            <w:r>
              <w:rPr>
                <w:rFonts w:ascii="Arial" w:cs="Arial" w:eastAsia="Arial" w:hAnsi="Arial"/>
                <w:sz w:val="18"/>
                <w:szCs w:val="18"/>
                <w:color w:val="auto"/>
              </w:rPr>
              <w:t>China:</w:t>
            </w:r>
          </w:p>
        </w:tc>
        <w:tc>
          <w:tcPr>
            <w:tcW w:w="1460" w:type="dxa"/>
            <w:vAlign w:val="bottom"/>
          </w:tcPr>
          <w:p>
            <w:pPr>
              <w:ind w:left="200"/>
              <w:spacing w:after="0"/>
              <w:rPr>
                <w:sz w:val="20"/>
                <w:szCs w:val="20"/>
                <w:color w:val="auto"/>
              </w:rPr>
            </w:pPr>
            <w:r>
              <w:rPr>
                <w:rFonts w:ascii="Arial" w:cs="Arial" w:eastAsia="Arial" w:hAnsi="Arial"/>
                <w:sz w:val="18"/>
                <w:szCs w:val="18"/>
                <w:color w:val="auto"/>
              </w:rPr>
              <w:t>400-620-8038</w:t>
            </w:r>
          </w:p>
        </w:tc>
      </w:tr>
      <w:tr>
        <w:trPr>
          <w:trHeight w:val="230"/>
        </w:trPr>
        <w:tc>
          <w:tcPr>
            <w:tcW w:w="1300" w:type="dxa"/>
            <w:vAlign w:val="bottom"/>
          </w:tcPr>
          <w:p>
            <w:pPr>
              <w:spacing w:after="0"/>
              <w:rPr>
                <w:sz w:val="20"/>
                <w:szCs w:val="20"/>
                <w:color w:val="auto"/>
              </w:rPr>
            </w:pPr>
            <w:r>
              <w:rPr>
                <w:rFonts w:ascii="Arial" w:cs="Arial" w:eastAsia="Arial" w:hAnsi="Arial"/>
                <w:sz w:val="18"/>
                <w:szCs w:val="18"/>
                <w:color w:val="auto"/>
              </w:rPr>
              <w:t>Conference ID:</w:t>
            </w:r>
          </w:p>
        </w:tc>
        <w:tc>
          <w:tcPr>
            <w:tcW w:w="1460" w:type="dxa"/>
            <w:vAlign w:val="bottom"/>
          </w:tcPr>
          <w:p>
            <w:pPr>
              <w:ind w:left="200"/>
              <w:spacing w:after="0"/>
              <w:rPr>
                <w:sz w:val="20"/>
                <w:szCs w:val="20"/>
                <w:color w:val="auto"/>
              </w:rPr>
            </w:pPr>
            <w:r>
              <w:rPr>
                <w:rFonts w:ascii="Arial" w:cs="Arial" w:eastAsia="Arial" w:hAnsi="Arial"/>
                <w:sz w:val="18"/>
                <w:szCs w:val="18"/>
                <w:color w:val="auto"/>
              </w:rPr>
              <w:t>7393816</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Participants should dial-in at least 5 minutes before the scheduled start time and ask to be connected to the call for “iClick Interactive.”</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Additionally, a live and archived webcast of the conference call will be available on the Company’s investor relations website at </w:t>
      </w:r>
      <w:r>
        <w:rPr>
          <w:rFonts w:ascii="Arial" w:cs="Arial" w:eastAsia="Arial" w:hAnsi="Arial"/>
          <w:sz w:val="17"/>
          <w:szCs w:val="17"/>
          <w:u w:val="single" w:color="auto"/>
          <w:color w:val="auto"/>
        </w:rPr>
        <w:t>http://ir.i-click.com</w:t>
      </w:r>
      <w:r>
        <w:rPr>
          <w:rFonts w:ascii="Arial" w:cs="Arial" w:eastAsia="Arial" w:hAnsi="Arial"/>
          <w:sz w:val="17"/>
          <w:szCs w:val="17"/>
          <w:color w:val="auto"/>
        </w:rPr>
        <w:t>.</w:t>
      </w:r>
    </w:p>
    <w:p>
      <w:pPr>
        <w:spacing w:after="0" w:line="237"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A replay of the conference call will be accessible approximately one hour after the conclusion of the live call until May 30, 2018, by dialling the following telephone numbers: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United States:</w:t>
            </w:r>
          </w:p>
        </w:tc>
        <w:tc>
          <w:tcPr>
            <w:tcW w:w="1540" w:type="dxa"/>
            <w:vAlign w:val="bottom"/>
          </w:tcPr>
          <w:p>
            <w:pPr>
              <w:ind w:left="280"/>
              <w:spacing w:after="0"/>
              <w:rPr>
                <w:sz w:val="20"/>
                <w:szCs w:val="20"/>
                <w:color w:val="auto"/>
              </w:rPr>
            </w:pPr>
            <w:r>
              <w:rPr>
                <w:rFonts w:ascii="Arial" w:cs="Arial" w:eastAsia="Arial" w:hAnsi="Arial"/>
                <w:sz w:val="18"/>
                <w:szCs w:val="18"/>
                <w:color w:val="auto"/>
                <w:w w:val="89"/>
              </w:rPr>
              <w:t>+1-855-452-5696</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International:</w:t>
            </w:r>
          </w:p>
        </w:tc>
        <w:tc>
          <w:tcPr>
            <w:tcW w:w="1540" w:type="dxa"/>
            <w:vAlign w:val="bottom"/>
          </w:tcPr>
          <w:p>
            <w:pPr>
              <w:ind w:left="280"/>
              <w:spacing w:after="0"/>
              <w:rPr>
                <w:sz w:val="20"/>
                <w:szCs w:val="20"/>
                <w:color w:val="auto"/>
              </w:rPr>
            </w:pPr>
            <w:r>
              <w:rPr>
                <w:rFonts w:ascii="Arial" w:cs="Arial" w:eastAsia="Arial" w:hAnsi="Arial"/>
                <w:sz w:val="18"/>
                <w:szCs w:val="18"/>
                <w:color w:val="auto"/>
                <w:w w:val="89"/>
              </w:rPr>
              <w:t>+61-2-8199-0299</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Hong Kong:</w:t>
            </w:r>
          </w:p>
        </w:tc>
        <w:tc>
          <w:tcPr>
            <w:tcW w:w="1540" w:type="dxa"/>
            <w:vAlign w:val="bottom"/>
          </w:tcPr>
          <w:p>
            <w:pPr>
              <w:ind w:left="280"/>
              <w:spacing w:after="0"/>
              <w:rPr>
                <w:sz w:val="20"/>
                <w:szCs w:val="20"/>
                <w:color w:val="auto"/>
              </w:rPr>
            </w:pPr>
            <w:r>
              <w:rPr>
                <w:rFonts w:ascii="Arial" w:cs="Arial" w:eastAsia="Arial" w:hAnsi="Arial"/>
                <w:sz w:val="18"/>
                <w:szCs w:val="18"/>
                <w:color w:val="auto"/>
              </w:rPr>
              <w:t>800-963-117</w:t>
            </w:r>
          </w:p>
        </w:tc>
      </w:tr>
      <w:tr>
        <w:trPr>
          <w:trHeight w:val="216"/>
        </w:trPr>
        <w:tc>
          <w:tcPr>
            <w:tcW w:w="1800" w:type="dxa"/>
            <w:vAlign w:val="bottom"/>
          </w:tcPr>
          <w:p>
            <w:pPr>
              <w:spacing w:after="0"/>
              <w:rPr>
                <w:sz w:val="20"/>
                <w:szCs w:val="20"/>
                <w:color w:val="auto"/>
              </w:rPr>
            </w:pPr>
            <w:r>
              <w:rPr>
                <w:rFonts w:ascii="Arial" w:cs="Arial" w:eastAsia="Arial" w:hAnsi="Arial"/>
                <w:sz w:val="18"/>
                <w:szCs w:val="18"/>
                <w:color w:val="auto"/>
              </w:rPr>
              <w:t>China:</w:t>
            </w:r>
          </w:p>
        </w:tc>
        <w:tc>
          <w:tcPr>
            <w:tcW w:w="1540" w:type="dxa"/>
            <w:vAlign w:val="bottom"/>
          </w:tcPr>
          <w:p>
            <w:pPr>
              <w:ind w:left="280"/>
              <w:spacing w:after="0"/>
              <w:rPr>
                <w:sz w:val="20"/>
                <w:szCs w:val="20"/>
                <w:color w:val="auto"/>
              </w:rPr>
            </w:pPr>
            <w:r>
              <w:rPr>
                <w:rFonts w:ascii="Arial" w:cs="Arial" w:eastAsia="Arial" w:hAnsi="Arial"/>
                <w:sz w:val="18"/>
                <w:szCs w:val="18"/>
                <w:color w:val="auto"/>
              </w:rPr>
              <w:t>400-632-2162</w:t>
            </w:r>
          </w:p>
        </w:tc>
      </w:t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Replay Access Code:</w:t>
            </w:r>
          </w:p>
        </w:tc>
        <w:tc>
          <w:tcPr>
            <w:tcW w:w="1540" w:type="dxa"/>
            <w:vAlign w:val="bottom"/>
          </w:tcPr>
          <w:p>
            <w:pPr>
              <w:ind w:left="280"/>
              <w:spacing w:after="0"/>
              <w:rPr>
                <w:sz w:val="20"/>
                <w:szCs w:val="20"/>
                <w:color w:val="auto"/>
              </w:rPr>
            </w:pPr>
            <w:r>
              <w:rPr>
                <w:rFonts w:ascii="Arial" w:cs="Arial" w:eastAsia="Arial" w:hAnsi="Arial"/>
                <w:sz w:val="18"/>
                <w:szCs w:val="18"/>
                <w:color w:val="auto"/>
              </w:rPr>
              <w:t>7393816</w:t>
            </w:r>
          </w:p>
        </w:tc>
      </w:tr>
    </w:tbl>
    <w:p>
      <w:pPr>
        <w:sectPr>
          <w:pgSz w:w="11900" w:h="16838" w:orient="portrait"/>
          <w:cols w:equalWidth="0" w:num="1">
            <w:col w:w="11400"/>
          </w:cols>
          <w:pgMar w:left="240" w:top="274"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About iClick Interactive Asia Group Limited</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iClick Interactive Asia Group Limited (NASDAQ:ICLK) is an independent online marketing technology platform that connects worldwide marketers with audiences in China. Built on cutting-edge technologies, our proprietary platform possesses omni-channel marketing capabilities and fulfils various marketing objectives in a data-driven and automated manner, helping both international and domestic marketers reach their target audiences in China. Headquartered in Hong Kong, iClick was established in 2009, currently operating in eight locations worldwide including Asia and London.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For more information, please visit http://ir.i-click.com.</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Financial Measures</w:t>
      </w:r>
    </w:p>
    <w:p>
      <w:pPr>
        <w:spacing w:after="0" w:line="1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Company uses adjusted EBITDA, adjusted net loss, and diluted adjusted net loss per ADS, each a non-GAAP financial measure, in evaluating the Company’s operating results and for financial and operational decision making purposes.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believes that adjusted EBITDA, adjusted net loss, and diluted adjusted net loss per ADS help identify underlying trends in the Company’s business that could otherwise be distorted by the effect of the expenses and gains that the Company includes in net loss. The Company believes that adjusted EBITDA and adjusted net loss provide useful information about the Company’s operating results, enhance the overall understanding of the Company’s past performance and future prospects and allow for greater visibility with respect to key metrics used by the Company’s management in its financial and operational decision-making.</w:t>
      </w:r>
    </w:p>
    <w:p>
      <w:pPr>
        <w:spacing w:after="0" w:line="188" w:lineRule="exact"/>
        <w:rPr>
          <w:sz w:val="20"/>
          <w:szCs w:val="20"/>
          <w:color w:val="auto"/>
        </w:rPr>
      </w:pPr>
    </w:p>
    <w:p>
      <w:pPr>
        <w:jc w:val="both"/>
        <w:ind w:right="80"/>
        <w:spacing w:after="0" w:line="273" w:lineRule="auto"/>
        <w:rPr>
          <w:sz w:val="20"/>
          <w:szCs w:val="20"/>
          <w:color w:val="auto"/>
        </w:rPr>
      </w:pPr>
      <w:r>
        <w:rPr>
          <w:rFonts w:ascii="Arial" w:cs="Arial" w:eastAsia="Arial" w:hAnsi="Arial"/>
          <w:sz w:val="17"/>
          <w:szCs w:val="17"/>
          <w:color w:val="auto"/>
        </w:rPr>
        <w:t>Adjusted EBITDA, adjusted net loss, and diluted adjusted net loss per ADS should not be considered in isolation or construed as an alternative to net loss or any other measure of performance or as an indicator of the Company’s operating performance. Investors are encouraged to review the historical non-GAAP financial measures to the most directly comparable GAAP measures. Adjusted EBITDA, adjusted net loss, and diluted adjusted net loss per ADS presented here may not be comparable to similarly titled measures presented by other companies. Other companies may calculate similarly titled measures differently, limiting their usefulness as comparative measures to the Company’s data. The Company encourages investors and others to review the Company’s financial information in its entirety and not rely on a single financial measure.</w:t>
      </w:r>
    </w:p>
    <w:p>
      <w:pPr>
        <w:spacing w:after="0" w:line="178" w:lineRule="exact"/>
        <w:rPr>
          <w:sz w:val="20"/>
          <w:szCs w:val="20"/>
          <w:color w:val="auto"/>
        </w:rPr>
      </w:pPr>
    </w:p>
    <w:p>
      <w:pPr>
        <w:jc w:val="both"/>
        <w:ind w:right="80"/>
        <w:spacing w:after="0" w:line="277" w:lineRule="auto"/>
        <w:rPr>
          <w:sz w:val="20"/>
          <w:szCs w:val="20"/>
          <w:color w:val="auto"/>
        </w:rPr>
      </w:pPr>
      <w:r>
        <w:rPr>
          <w:rFonts w:ascii="Arial" w:cs="Arial" w:eastAsia="Arial" w:hAnsi="Arial"/>
          <w:sz w:val="18"/>
          <w:szCs w:val="18"/>
          <w:color w:val="auto"/>
        </w:rPr>
        <w:t>For more information on these non-GAAP financial measures, please see the table captioned “Unaudited Reconciliations of GAAP and Non-GAAP results” set forth at the end of this press release.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Statement Regarding Preliminary Unaudited Financial Information</w:t>
      </w:r>
    </w:p>
    <w:p>
      <w:pPr>
        <w:spacing w:after="0" w:line="121"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unaudited financial information set out in this press release is preliminary and subject to potential adjustments. Adjustments to the consolidated financial statements may be identified when audit work has been performed for the Company’s year-end audit, which could result in significant differences from this preliminary unaudited financial information.</w:t>
      </w:r>
    </w:p>
    <w:p>
      <w:pPr>
        <w:sectPr>
          <w:pgSz w:w="11900" w:h="16838" w:orient="portrait"/>
          <w:cols w:equalWidth="0" w:num="1">
            <w:col w:w="11340"/>
          </w:cols>
          <w:pgMar w:left="240" w:top="270" w:right="31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Safe Harbor Statement</w:t>
      </w:r>
    </w:p>
    <w:p>
      <w:pPr>
        <w:spacing w:after="0" w:line="12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This announcement contains forward-looking statements. These statements constitute “forward-looking” statements within the meaning of Section 21E of the Securities Exchange Act of 1934, as amended, and as defined in the U.S. Private Securities Litigation Reform Act of 1995. These forward-looking statements can be identified by terminology such as “will,” “expects,” “anticipates,” “future,” “intends,” “plans,” “believes,” “estimates,” “confident” and similar statements. Such statements are based upon management’s current expectations and current market and operating conditions, and relate to events that involve known or unknown risks, uncertainties and other factors, all of which are difficult to predict and many of which are beyond the Company’s control. Forward-looking statements involve inherent risks and uncertainties. A number of factors could cause actual results to differ materially from those contained in any forward-looking statement, including but not limited to the following: the Company’s fluctuations in growth; its success in implementing its mobile strategies; relative percentage of its gross billing recognized as net revenues under the gross and net models; its ability to retain existing clients or attract new ones; its ability to retain content distribution channels and negotiate favourable contractual terms; market competition, including from independent online marketing technology platforms as well as large and well-established internet companies; market acceptance of online marketing technology solutions; effectiveness of its algorithms and data engines; its ability to collect and use data from various sources; and general economic conditions in China. Further information regarding these and other risks is included in the Company’s filings with the SEC. All information provided in this press release and in the attachments is as of the date of this press release, and the Company undertakes no obligation to update any forward-looking statement, except as required under applicable law.</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 China: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iClick Interactive Asia Group Limited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Jie Jiao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+852-3700-9065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ir@i-click.com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Ross Warner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+86 (10) 5730-6201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iclick@tpg-ir.com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In the United States: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Piacente Group,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Alan Wang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 +1-212-481-2050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iclick@tpg-ir.com</w:t>
      </w:r>
    </w:p>
    <w:p>
      <w:pPr>
        <w:sectPr>
          <w:pgSz w:w="11900" w:h="16838" w:orient="portrait"/>
          <w:cols w:equalWidth="0" w:num="1">
            <w:col w:w="11380"/>
          </w:cols>
          <w:pgMar w:left="240" w:top="270" w:right="27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33" w:lineRule="exact"/>
        <w:rPr>
          <w:sz w:val="20"/>
          <w:szCs w:val="20"/>
          <w:color w:val="auto"/>
        </w:rPr>
      </w:pPr>
    </w:p>
    <w:p>
      <w:pPr>
        <w:jc w:val="center"/>
        <w:ind w:left="9040"/>
        <w:spacing w:after="0"/>
        <w:rPr>
          <w:sz w:val="20"/>
          <w:szCs w:val="20"/>
          <w:color w:val="auto"/>
        </w:rPr>
      </w:pPr>
      <w:r>
        <w:rPr>
          <w:rFonts w:ascii="Arial" w:cs="Arial" w:eastAsia="Arial" w:hAnsi="Arial"/>
          <w:sz w:val="14"/>
          <w:szCs w:val="14"/>
          <w:color w:val="auto"/>
        </w:rPr>
        <w:t>Three Months Ended</w:t>
      </w:r>
    </w:p>
    <w:p>
      <w:pPr>
        <w:jc w:val="center"/>
        <w:ind w:left="9040"/>
        <w:spacing w:after="0"/>
        <w:rPr>
          <w:sz w:val="20"/>
          <w:szCs w:val="20"/>
          <w:color w:val="auto"/>
        </w:rPr>
      </w:pPr>
      <w:r>
        <w:rPr>
          <w:rFonts w:ascii="Arial" w:cs="Arial" w:eastAsia="Arial" w:hAnsi="Arial"/>
          <w:sz w:val="14"/>
          <w:szCs w:val="14"/>
          <w:color w:val="auto"/>
        </w:rPr>
        <w:t>March 31,</w:t>
      </w:r>
    </w:p>
    <w:tbl>
      <w:tblPr>
        <w:tblLayout w:type="fixed"/>
        <w:tblInd w:w="0" w:type="dxa"/>
        <w:tblCellMar>
          <w:top w:w="0" w:type="dxa"/>
          <w:left w:w="0" w:type="dxa"/>
          <w:bottom w:w="0" w:type="dxa"/>
          <w:right w:w="0" w:type="dxa"/>
        </w:tblCellMar>
      </w:tblPr>
      <w:tr>
        <w:trPr>
          <w:trHeight w:val="156"/>
        </w:trPr>
        <w:tc>
          <w:tcPr>
            <w:tcW w:w="20" w:type="dxa"/>
            <w:vAlign w:val="bottom"/>
          </w:tcPr>
          <w:p>
            <w:pPr>
              <w:spacing w:after="0"/>
              <w:rPr>
                <w:sz w:val="13"/>
                <w:szCs w:val="13"/>
                <w:color w:val="auto"/>
              </w:rPr>
            </w:pPr>
          </w:p>
        </w:tc>
        <w:tc>
          <w:tcPr>
            <w:tcW w:w="9140" w:type="dxa"/>
            <w:vAlign w:val="bottom"/>
          </w:tcPr>
          <w:p>
            <w:pPr>
              <w:spacing w:after="0"/>
              <w:rPr>
                <w:sz w:val="13"/>
                <w:szCs w:val="13"/>
                <w:color w:val="auto"/>
              </w:rPr>
            </w:pPr>
          </w:p>
        </w:tc>
        <w:tc>
          <w:tcPr>
            <w:tcW w:w="860" w:type="dxa"/>
            <w:vAlign w:val="bottom"/>
          </w:tcPr>
          <w:p>
            <w:pPr>
              <w:jc w:val="right"/>
              <w:ind w:right="211"/>
              <w:spacing w:after="0" w:line="157" w:lineRule="exact"/>
              <w:rPr>
                <w:sz w:val="20"/>
                <w:szCs w:val="20"/>
                <w:color w:val="auto"/>
              </w:rPr>
            </w:pPr>
            <w:r>
              <w:rPr>
                <w:rFonts w:ascii="Arial" w:cs="Arial" w:eastAsia="Arial" w:hAnsi="Arial"/>
                <w:sz w:val="14"/>
                <w:szCs w:val="14"/>
                <w:color w:val="auto"/>
              </w:rPr>
              <w:t>2017</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80" w:type="dxa"/>
            <w:vAlign w:val="bottom"/>
          </w:tcPr>
          <w:p>
            <w:pPr>
              <w:jc w:val="right"/>
              <w:ind w:right="211"/>
              <w:spacing w:after="0" w:line="157" w:lineRule="exact"/>
              <w:rPr>
                <w:sz w:val="20"/>
                <w:szCs w:val="20"/>
                <w:color w:val="auto"/>
              </w:rPr>
            </w:pPr>
            <w:r>
              <w:rPr>
                <w:rFonts w:ascii="Arial" w:cs="Arial" w:eastAsia="Arial" w:hAnsi="Arial"/>
                <w:sz w:val="14"/>
                <w:szCs w:val="14"/>
                <w:color w:val="auto"/>
              </w:rPr>
              <w:t>2018</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revenues</w:t>
            </w:r>
            <w:r>
              <w:rPr>
                <w:rFonts w:ascii="Arial" w:cs="Arial" w:eastAsia="Arial" w:hAnsi="Arial"/>
                <w:sz w:val="15"/>
                <w:szCs w:val="15"/>
                <w:b w:val="1"/>
                <w:bCs w:val="1"/>
                <w:color w:val="auto"/>
              </w:rPr>
              <w:t>3</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25,884</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35,229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Cost of revenues</w:t>
            </w:r>
            <w:r>
              <w:rPr>
                <w:rFonts w:ascii="Arial" w:cs="Arial" w:eastAsia="Arial" w:hAnsi="Arial"/>
                <w:sz w:val="15"/>
                <w:szCs w:val="15"/>
                <w:color w:val="auto"/>
              </w:rPr>
              <w:t>3</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(19,527)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(27,106)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6,357</w:t>
            </w: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Operating expenses</w:t>
            </w:r>
          </w:p>
        </w:tc>
        <w:tc>
          <w:tcPr>
            <w:tcW w:w="8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(1,771)</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(6,617)</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(5,891)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(2,374)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(2,564)</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Total operating expenses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(10,762</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(9,850)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loss</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(4,405)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Interest expense</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(145)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Other (losses)/gains, net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Fair value loss on derivative liabilities</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(7,430)</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(Loss)/profit before income tax expense</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(12,013)</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Income tax benefit/(expenses)</w:t>
            </w: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1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(12,004)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9160" w:type="dxa"/>
            <w:vAlign w:val="bottom"/>
            <w:gridSpan w:val="2"/>
            <w:vMerge w:val="restart"/>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160" w:type="dxa"/>
            <w:vAlign w:val="bottom"/>
            <w:gridSpan w:val="2"/>
            <w:vMerge w:val="continue"/>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(200)</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(415)</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Net loss attributable to iClick Interactive Asia Group Limited’s ordinary shareholders</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(12,619</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(12,004)</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Other comprehensive loss:</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Foreign currency translation adjustment, net of US$nil tax</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(9)</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23"/>
        </w:trPr>
        <w:tc>
          <w:tcPr>
            <w:tcW w:w="9160" w:type="dxa"/>
            <w:vAlign w:val="bottom"/>
            <w:gridSpan w:val="2"/>
          </w:tcPr>
          <w:p>
            <w:pPr>
              <w:spacing w:after="0"/>
              <w:rPr>
                <w:sz w:val="20"/>
                <w:szCs w:val="20"/>
                <w:color w:val="auto"/>
              </w:rPr>
            </w:pPr>
            <w:r>
              <w:rPr>
                <w:rFonts w:ascii="Arial" w:cs="Arial" w:eastAsia="Arial" w:hAnsi="Arial"/>
                <w:sz w:val="18"/>
                <w:szCs w:val="18"/>
                <w:b w:val="1"/>
                <w:bCs w:val="1"/>
                <w:color w:val="auto"/>
              </w:rPr>
              <w:t>Comprehensive loss attributable to iClick Interactive Asia Group Limited</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(12,013</w:t>
            </w:r>
          </w:p>
        </w:tc>
        <w:tc>
          <w:tcPr>
            <w:tcW w:w="420" w:type="dxa"/>
            <w:vAlign w:val="bottom"/>
            <w:gridSpan w:val="2"/>
          </w:tcPr>
          <w:p>
            <w:pPr>
              <w:jc w:val="right"/>
              <w:ind w:right="360"/>
              <w:spacing w:after="0"/>
              <w:rPr>
                <w:sz w:val="20"/>
                <w:szCs w:val="20"/>
                <w:color w:val="auto"/>
              </w:rPr>
            </w:pPr>
            <w:r>
              <w:rPr>
                <w:rFonts w:ascii="Arial" w:cs="Arial" w:eastAsia="Arial" w:hAnsi="Arial"/>
                <w:sz w:val="16"/>
                <w:szCs w:val="16"/>
                <w:color w:val="auto"/>
                <w:w w:val="7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per ADS attributable to iClick Interactive Asia Group Limited</w:t>
            </w: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 Basic</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(0.4635)</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(0.0021)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 Diluted</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(0.4635)</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(0.0021)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b w:val="1"/>
                <w:bCs w:val="1"/>
                <w:color w:val="auto"/>
              </w:rPr>
              <w:t>Weighted average number of ADS used in per share calculation:</w:t>
            </w: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 Basic</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27,224,016</w:t>
            </w:r>
          </w:p>
        </w:tc>
        <w:tc>
          <w:tcPr>
            <w:tcW w:w="4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52,148,518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140" w:type="dxa"/>
            <w:vAlign w:val="bottom"/>
          </w:tcPr>
          <w:p>
            <w:pPr>
              <w:spacing w:after="0"/>
              <w:rPr>
                <w:sz w:val="20"/>
                <w:szCs w:val="20"/>
                <w:color w:val="auto"/>
              </w:rPr>
            </w:pPr>
            <w:r>
              <w:rPr>
                <w:rFonts w:ascii="Arial" w:cs="Arial" w:eastAsia="Arial" w:hAnsi="Arial"/>
                <w:sz w:val="18"/>
                <w:szCs w:val="18"/>
                <w:color w:val="auto"/>
              </w:rPr>
              <w:t>— Diluted</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w w:val="93"/>
              </w:rPr>
              <w:t>27,224,016</w:t>
            </w:r>
          </w:p>
        </w:tc>
        <w:tc>
          <w:tcPr>
            <w:tcW w:w="4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w w:val="95"/>
              </w:rPr>
              <w:t>52,148,518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7289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290" w:lineRule="exact"/>
        <w:rPr>
          <w:sz w:val="20"/>
          <w:szCs w:val="20"/>
          <w:color w:val="auto"/>
        </w:rPr>
      </w:pPr>
    </w:p>
    <w:p>
      <w:pPr>
        <w:ind w:left="460" w:right="40" w:hanging="452"/>
        <w:spacing w:after="0" w:line="264" w:lineRule="auto"/>
        <w:tabs>
          <w:tab w:leader="none" w:pos="4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On January 1, 2018, the Company adopted ASC 606 “Revenue from Contracts with Customers” using the modified retrospective method. The adoption did not have any impact to the accumulated deficit as of January 1, 2018. As a result of the adoption, certain rebates to marketers are presented net of revenues, as opposed to being included in cost of revenues in prior periods.</w:t>
      </w:r>
    </w:p>
    <w:p>
      <w:pPr>
        <w:sectPr>
          <w:pgSz w:w="11900" w:h="16838" w:orient="portrait"/>
          <w:cols w:equalWidth="0" w:num="1">
            <w:col w:w="11420"/>
          </w:cols>
          <w:pgMar w:left="240" w:top="270" w:right="2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(US$’000, except share data and per share data, or otherwise noted, unaudited)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rPr>
              <w:t>As of</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1080" w:type="dxa"/>
            <w:vAlign w:val="bottom"/>
            <w:gridSpan w:val="3"/>
          </w:tcPr>
          <w:p>
            <w:pPr>
              <w:jc w:val="center"/>
              <w:ind w:right="280"/>
              <w:spacing w:after="0"/>
              <w:rPr>
                <w:sz w:val="20"/>
                <w:szCs w:val="20"/>
                <w:color w:val="auto"/>
              </w:rPr>
            </w:pPr>
            <w:r>
              <w:rPr>
                <w:rFonts w:ascii="Arial" w:cs="Arial" w:eastAsia="Arial" w:hAnsi="Arial"/>
                <w:sz w:val="14"/>
                <w:szCs w:val="14"/>
                <w:color w:val="auto"/>
                <w:w w:val="90"/>
              </w:rPr>
              <w:t>December 31,</w:t>
            </w:r>
          </w:p>
        </w:tc>
        <w:tc>
          <w:tcPr>
            <w:tcW w:w="700" w:type="dxa"/>
            <w:vAlign w:val="bottom"/>
            <w:gridSpan w:val="2"/>
          </w:tcPr>
          <w:p>
            <w:pPr>
              <w:jc w:val="center"/>
              <w:ind w:right="60"/>
              <w:spacing w:after="0"/>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620" w:type="dxa"/>
            <w:vAlign w:val="bottom"/>
          </w:tcPr>
          <w:p>
            <w:pPr>
              <w:spacing w:after="0"/>
              <w:rPr>
                <w:sz w:val="14"/>
                <w:szCs w:val="14"/>
                <w:color w:val="auto"/>
              </w:rPr>
            </w:pPr>
          </w:p>
        </w:tc>
        <w:tc>
          <w:tcPr>
            <w:tcW w:w="800" w:type="dxa"/>
            <w:vAlign w:val="bottom"/>
          </w:tcPr>
          <w:p>
            <w:pPr>
              <w:jc w:val="center"/>
              <w:spacing w:after="0"/>
              <w:rPr>
                <w:sz w:val="20"/>
                <w:szCs w:val="20"/>
                <w:color w:val="auto"/>
              </w:rPr>
            </w:pPr>
            <w:r>
              <w:rPr>
                <w:rFonts w:ascii="Arial" w:cs="Arial" w:eastAsia="Arial" w:hAnsi="Arial"/>
                <w:sz w:val="14"/>
                <w:szCs w:val="14"/>
                <w:color w:val="auto"/>
                <w:w w:val="89"/>
              </w:rPr>
              <w:t>2017</w:t>
            </w: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19,401</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23,510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Time deposit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14,750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Accounts receivable, net of allowance for doubtful receivables of US$1,478 and US$1,524 as of December 31, 2017 and</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March 31, 2018, respectively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40,798</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48,342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Rebates receivable</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1,334</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2,146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Prepaid media costs</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37,784</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34,097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current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3,107</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Income tax receivable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Total current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127,427</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124,554</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tax assets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850</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1,165</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Intangible assets, net</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10,600</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9,555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48,496</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Other assets</w:t>
            </w:r>
          </w:p>
        </w:tc>
        <w:tc>
          <w:tcPr>
            <w:tcW w:w="800" w:type="dxa"/>
            <w:vAlign w:val="bottom"/>
          </w:tcPr>
          <w:p>
            <w:pPr>
              <w:jc w:val="right"/>
              <w:spacing w:after="0"/>
              <w:rPr>
                <w:sz w:val="20"/>
                <w:szCs w:val="20"/>
                <w:color w:val="auto"/>
              </w:rPr>
            </w:pPr>
            <w:r>
              <w:rPr>
                <w:rFonts w:ascii="Arial" w:cs="Arial" w:eastAsia="Arial" w:hAnsi="Arial"/>
                <w:sz w:val="18"/>
                <w:szCs w:val="18"/>
                <w:color w:val="auto"/>
              </w:rPr>
              <w:t>284</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61,395</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60,106</w:t>
            </w: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Total assets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188,822</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184,660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6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mezzanine equity and shareholders’ deficit</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Accounts payable (including accounts payable of the consolidated variable interest entity (“VIE”) and its subsidiary without</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recourse to the Company of US$29 and US$31 as of December 31, 2017 and March 31, 2018, respectively)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3,904</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tcPr>
          <w:p>
            <w:pPr>
              <w:spacing w:after="0" w:line="201" w:lineRule="exact"/>
              <w:rPr>
                <w:sz w:val="20"/>
                <w:szCs w:val="20"/>
                <w:color w:val="auto"/>
              </w:rPr>
            </w:pPr>
            <w:r>
              <w:rPr>
                <w:rFonts w:ascii="Arial" w:cs="Arial" w:eastAsia="Arial" w:hAnsi="Arial"/>
                <w:sz w:val="18"/>
                <w:szCs w:val="18"/>
                <w:color w:val="auto"/>
                <w:w w:val="97"/>
              </w:rPr>
              <w:t>Deferred revenue (including deferred revenue of the consolidated VIE and its subsidiary without recourse to the Company of</w:t>
            </w: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tcPr>
          <w:p>
            <w:pPr>
              <w:ind w:left="160"/>
              <w:spacing w:after="0"/>
              <w:rPr>
                <w:sz w:val="20"/>
                <w:szCs w:val="20"/>
                <w:color w:val="auto"/>
              </w:rPr>
            </w:pPr>
            <w:r>
              <w:rPr>
                <w:rFonts w:ascii="Arial" w:cs="Arial" w:eastAsia="Arial" w:hAnsi="Arial"/>
                <w:sz w:val="18"/>
                <w:szCs w:val="18"/>
                <w:color w:val="auto"/>
              </w:rPr>
              <w:t>US$5,986 and US$2,931 as of December 31, 2017 and March 31, 2018, respectively)</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33,037</w:t>
            </w:r>
          </w:p>
        </w:tc>
        <w:tc>
          <w:tcPr>
            <w:tcW w:w="260" w:type="dxa"/>
            <w:vAlign w:val="bottom"/>
          </w:tcPr>
          <w:p>
            <w:pPr>
              <w:spacing w:after="0"/>
              <w:rPr>
                <w:sz w:val="20"/>
                <w:szCs w:val="20"/>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29,998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Accrued liabilities and other current liabilities (including accrued liabilities and other current liabilities of the consolidated VIE</w:t>
            </w: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and its subsidiary without recourse to the Company of US$804 and US$408 as of December 31, 2017 and March 31, 2018,</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6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16,129</w:t>
            </w:r>
          </w:p>
        </w:tc>
        <w:tc>
          <w:tcPr>
            <w:tcW w:w="26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13,082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Bank borrowings</w:t>
            </w: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10,486</w:t>
            </w: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10,790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color w:val="auto"/>
              </w:rPr>
              <w:t>Income tax payable</w:t>
            </w: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2,123</w:t>
            </w: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2,794</w:t>
            </w:r>
          </w:p>
        </w:tc>
        <w:tc>
          <w:tcPr>
            <w:tcW w:w="0" w:type="dxa"/>
            <w:vAlign w:val="bottom"/>
          </w:tcPr>
          <w:p>
            <w:pPr>
              <w:spacing w:after="0"/>
              <w:rPr>
                <w:sz w:val="1"/>
                <w:szCs w:val="1"/>
                <w:color w:val="auto"/>
              </w:rPr>
            </w:pPr>
          </w:p>
        </w:tc>
      </w:tr>
      <w:tr>
        <w:trPr>
          <w:trHeight w:val="230"/>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65,679</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61,199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Non-current liability</w:t>
            </w: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6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800" w:type="dxa"/>
            <w:vAlign w:val="bottom"/>
          </w:tcPr>
          <w:p>
            <w:pPr>
              <w:jc w:val="right"/>
              <w:spacing w:after="0"/>
              <w:rPr>
                <w:sz w:val="20"/>
                <w:szCs w:val="20"/>
                <w:color w:val="auto"/>
              </w:rPr>
            </w:pPr>
            <w:r>
              <w:rPr>
                <w:rFonts w:ascii="Arial" w:cs="Arial" w:eastAsia="Arial" w:hAnsi="Arial"/>
                <w:sz w:val="18"/>
                <w:szCs w:val="18"/>
                <w:color w:val="auto"/>
              </w:rPr>
              <w:t>3,159</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962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liability</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3,159</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2,901</w:t>
            </w:r>
          </w:p>
        </w:tc>
        <w:tc>
          <w:tcPr>
            <w:tcW w:w="0" w:type="dxa"/>
            <w:vAlign w:val="bottom"/>
          </w:tcPr>
          <w:p>
            <w:pPr>
              <w:spacing w:after="0"/>
              <w:rPr>
                <w:sz w:val="1"/>
                <w:szCs w:val="1"/>
                <w:color w:val="auto"/>
              </w:rPr>
            </w:pPr>
          </w:p>
        </w:tc>
      </w:tr>
      <w:tr>
        <w:trPr>
          <w:trHeight w:val="223"/>
        </w:trPr>
        <w:tc>
          <w:tcPr>
            <w:tcW w:w="964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68,838</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0" w:right="239" w:bottom="1440" w:gutter="0" w:footer="0" w:header="0"/>
        </w:sectPr>
      </w:pPr>
    </w:p>
    <w:bookmarkStart w:id="10" w:name="page11"/>
    <w:bookmarkEnd w:id="10"/>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As of</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rPr>
              <w:t>As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1020" w:type="dxa"/>
            <w:vAlign w:val="bottom"/>
            <w:gridSpan w:val="3"/>
          </w:tcPr>
          <w:p>
            <w:pPr>
              <w:jc w:val="center"/>
              <w:ind w:right="200"/>
              <w:spacing w:after="0"/>
              <w:rPr>
                <w:sz w:val="20"/>
                <w:szCs w:val="20"/>
                <w:color w:val="auto"/>
              </w:rPr>
            </w:pPr>
            <w:r>
              <w:rPr>
                <w:rFonts w:ascii="Arial" w:cs="Arial" w:eastAsia="Arial" w:hAnsi="Arial"/>
                <w:sz w:val="14"/>
                <w:szCs w:val="14"/>
                <w:color w:val="auto"/>
                <w:w w:val="93"/>
              </w:rPr>
              <w:t>December 31,</w:t>
            </w:r>
          </w:p>
        </w:tc>
        <w:tc>
          <w:tcPr>
            <w:tcW w:w="820" w:type="dxa"/>
            <w:vAlign w:val="bottom"/>
            <w:gridSpan w:val="2"/>
          </w:tcPr>
          <w:p>
            <w:pPr>
              <w:jc w:val="center"/>
              <w:ind w:right="100"/>
              <w:spacing w:after="0"/>
              <w:rPr>
                <w:sz w:val="20"/>
                <w:szCs w:val="20"/>
                <w:color w:val="auto"/>
              </w:rPr>
            </w:pPr>
            <w:r>
              <w:rPr>
                <w:rFonts w:ascii="Arial" w:cs="Arial" w:eastAsia="Arial" w:hAnsi="Arial"/>
                <w:sz w:val="14"/>
                <w:szCs w:val="14"/>
                <w:color w:val="auto"/>
                <w:w w:val="96"/>
              </w:rPr>
              <w:t>March 31,</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956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color w:val="auto"/>
                <w:w w:val="96"/>
              </w:rPr>
              <w:t>2017</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2018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8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60" w:type="dxa"/>
            <w:vAlign w:val="bottom"/>
          </w:tcPr>
          <w:p>
            <w:pPr>
              <w:ind w:left="340"/>
              <w:spacing w:after="0" w:line="201" w:lineRule="exact"/>
              <w:rPr>
                <w:sz w:val="20"/>
                <w:szCs w:val="20"/>
                <w:color w:val="auto"/>
              </w:rPr>
            </w:pPr>
            <w:r>
              <w:rPr>
                <w:rFonts w:ascii="Arial" w:cs="Arial" w:eastAsia="Arial" w:hAnsi="Arial"/>
                <w:sz w:val="18"/>
                <w:szCs w:val="18"/>
                <w:color w:val="auto"/>
                <w:w w:val="91"/>
              </w:rPr>
              <w:t>Ordinary shares – Class A (US$0.001 par value; 80,000,000 shares authorized as of December 31, 2017 and March 31, 2018,</w:t>
            </w: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520"/>
              <w:spacing w:after="0"/>
              <w:rPr>
                <w:sz w:val="20"/>
                <w:szCs w:val="20"/>
                <w:color w:val="auto"/>
              </w:rPr>
            </w:pPr>
            <w:r>
              <w:rPr>
                <w:rFonts w:ascii="Arial" w:cs="Arial" w:eastAsia="Arial" w:hAnsi="Arial"/>
                <w:sz w:val="18"/>
                <w:szCs w:val="18"/>
                <w:color w:val="auto"/>
                <w:w w:val="94"/>
              </w:rPr>
              <w:t>respectively; 21,238,825 and 21,260,420 shares issued and outstanding as of December 31, 2017 and March 31, 2018,</w:t>
            </w: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tcPr>
          <w:p>
            <w:pPr>
              <w:ind w:left="520"/>
              <w:spacing w:after="0"/>
              <w:rPr>
                <w:sz w:val="20"/>
                <w:szCs w:val="20"/>
                <w:color w:val="auto"/>
              </w:rPr>
            </w:pPr>
            <w:r>
              <w:rPr>
                <w:rFonts w:ascii="Arial" w:cs="Arial" w:eastAsia="Arial" w:hAnsi="Arial"/>
                <w:sz w:val="18"/>
                <w:szCs w:val="18"/>
                <w:color w:val="auto"/>
              </w:rPr>
              <w:t>respectively)</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0"/>
                <w:szCs w:val="20"/>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560" w:type="dxa"/>
            <w:vAlign w:val="bottom"/>
            <w:shd w:val="clear" w:color="auto" w:fill="CCEEFF"/>
          </w:tcPr>
          <w:p>
            <w:pPr>
              <w:ind w:left="340"/>
              <w:spacing w:after="0" w:line="201" w:lineRule="exact"/>
              <w:rPr>
                <w:sz w:val="20"/>
                <w:szCs w:val="20"/>
                <w:color w:val="auto"/>
              </w:rPr>
            </w:pPr>
            <w:r>
              <w:rPr>
                <w:rFonts w:ascii="Arial" w:cs="Arial" w:eastAsia="Arial" w:hAnsi="Arial"/>
                <w:sz w:val="18"/>
                <w:szCs w:val="18"/>
                <w:color w:val="auto"/>
                <w:w w:val="91"/>
              </w:rPr>
              <w:t>Ordinary shares – Class B (US$0.001 par value; 20,000,000 shares authorized as of December 31, 2017 and March 31, 2018,</w:t>
            </w:r>
          </w:p>
        </w:tc>
        <w:tc>
          <w:tcPr>
            <w:tcW w:w="8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560" w:type="dxa"/>
            <w:vAlign w:val="bottom"/>
            <w:shd w:val="clear" w:color="auto" w:fill="CCEEFF"/>
          </w:tcPr>
          <w:p>
            <w:pPr>
              <w:ind w:left="520"/>
              <w:spacing w:after="0"/>
              <w:rPr>
                <w:sz w:val="20"/>
                <w:szCs w:val="20"/>
                <w:color w:val="auto"/>
              </w:rPr>
            </w:pPr>
            <w:r>
              <w:rPr>
                <w:rFonts w:ascii="Arial" w:cs="Arial" w:eastAsia="Arial" w:hAnsi="Arial"/>
                <w:sz w:val="18"/>
                <w:szCs w:val="18"/>
                <w:color w:val="auto"/>
                <w:w w:val="98"/>
              </w:rPr>
              <w:t>respectively; 4,820,608 shares issued and outstanding as of December 31, 2017 and March 31, 2018, respectively)</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w w:val="97"/>
              </w:rPr>
              <w:t>Treasury shares (2,123,382 shares and 2,101,787 shares as of December 31, 2017 and March 31, 2018, respectively)</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(2,093)</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rPr>
              <w:t>(1,780)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274,294</w:t>
            </w:r>
          </w:p>
        </w:tc>
        <w:tc>
          <w:tcPr>
            <w:tcW w:w="18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Statutory reserves</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81</w:t>
            </w:r>
          </w:p>
        </w:tc>
        <w:tc>
          <w:tcPr>
            <w:tcW w:w="1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Accumulated other comprehensive losses</w:t>
            </w: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(3,320)</w:t>
            </w: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560" w:type="dxa"/>
            <w:vAlign w:val="bottom"/>
          </w:tcPr>
          <w:p>
            <w:pPr>
              <w:ind w:left="340"/>
              <w:spacing w:after="0"/>
              <w:rPr>
                <w:sz w:val="20"/>
                <w:szCs w:val="20"/>
                <w:color w:val="auto"/>
              </w:rPr>
            </w:pPr>
            <w:r>
              <w:rPr>
                <w:rFonts w:ascii="Arial" w:cs="Arial" w:eastAsia="Arial" w:hAnsi="Arial"/>
                <w:sz w:val="18"/>
                <w:szCs w:val="18"/>
                <w:color w:val="auto"/>
              </w:rPr>
              <w:t>Accumulated deficit</w:t>
            </w:r>
          </w:p>
        </w:tc>
        <w:tc>
          <w:tcPr>
            <w:tcW w:w="1020" w:type="dxa"/>
            <w:vAlign w:val="bottom"/>
            <w:gridSpan w:val="3"/>
          </w:tcPr>
          <w:p>
            <w:pPr>
              <w:jc w:val="right"/>
              <w:ind w:right="140"/>
              <w:spacing w:after="0"/>
              <w:rPr>
                <w:sz w:val="20"/>
                <w:szCs w:val="20"/>
                <w:color w:val="auto"/>
              </w:rPr>
            </w:pPr>
            <w:r>
              <w:rPr>
                <w:rFonts w:ascii="Arial" w:cs="Arial" w:eastAsia="Arial" w:hAnsi="Arial"/>
                <w:sz w:val="18"/>
                <w:szCs w:val="18"/>
                <w:color w:val="auto"/>
              </w:rPr>
              <w:t>(149,004)</w:t>
            </w:r>
          </w:p>
        </w:tc>
        <w:tc>
          <w:tcPr>
            <w:tcW w:w="82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(149,116)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5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119,984</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5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8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580" w:type="dxa"/>
            <w:vAlign w:val="bottom"/>
            <w:gridSpan w:val="2"/>
            <w:vMerge w:val="continue"/>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188,822</w:t>
            </w:r>
          </w:p>
        </w:tc>
        <w:tc>
          <w:tcPr>
            <w:tcW w:w="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184,660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56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ICLICK INTERACTIVE ASIA GROUP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Reconciliations of GAAP and Non-GAAP Results</w:t>
      </w:r>
    </w:p>
    <w:p>
      <w:pPr>
        <w:spacing w:after="0" w:line="211"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Adjusted EBITDA represents net loss before (i) depreciation and amortization, (ii) interest expense, (iii) income tax (benefit)/expense, (iv) share-based compensation, (v) fair value loss on derivative liabilities, and (vi) other losses/(gains), net.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EBITDA to net loss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320" w:type="dxa"/>
            <w:vAlign w:val="bottom"/>
          </w:tcPr>
          <w:p>
            <w:pPr>
              <w:spacing w:after="0"/>
              <w:rPr>
                <w:sz w:val="14"/>
                <w:szCs w:val="14"/>
                <w:color w:val="auto"/>
              </w:rPr>
            </w:pPr>
          </w:p>
        </w:tc>
        <w:tc>
          <w:tcPr>
            <w:tcW w:w="2100" w:type="dxa"/>
            <w:vAlign w:val="bottom"/>
            <w:gridSpan w:val="4"/>
          </w:tcPr>
          <w:p>
            <w:pPr>
              <w:jc w:val="right"/>
              <w:ind w:right="180"/>
              <w:spacing w:after="0"/>
              <w:rPr>
                <w:sz w:val="20"/>
                <w:szCs w:val="20"/>
                <w:color w:val="auto"/>
              </w:rPr>
            </w:pPr>
            <w:r>
              <w:rPr>
                <w:rFonts w:ascii="Arial" w:cs="Arial" w:eastAsia="Arial" w:hAnsi="Arial"/>
                <w:sz w:val="14"/>
                <w:szCs w:val="14"/>
                <w:color w:val="auto"/>
                <w:w w:val="96"/>
              </w:rPr>
              <w:t>Three Months Ended March 31,</w:t>
            </w:r>
          </w:p>
        </w:tc>
      </w:tr>
      <w:tr>
        <w:trPr>
          <w:trHeight w:val="167"/>
        </w:trPr>
        <w:tc>
          <w:tcPr>
            <w:tcW w:w="9320" w:type="dxa"/>
            <w:vAlign w:val="bottom"/>
          </w:tcPr>
          <w:p>
            <w:pPr>
              <w:spacing w:after="0"/>
              <w:rPr>
                <w:sz w:val="14"/>
                <w:szCs w:val="14"/>
                <w:color w:val="auto"/>
              </w:rPr>
            </w:pPr>
          </w:p>
        </w:tc>
        <w:tc>
          <w:tcPr>
            <w:tcW w:w="860" w:type="dxa"/>
            <w:vAlign w:val="bottom"/>
          </w:tcPr>
          <w:p>
            <w:pPr>
              <w:jc w:val="right"/>
              <w:ind w:right="213"/>
              <w:spacing w:after="0"/>
              <w:rPr>
                <w:sz w:val="20"/>
                <w:szCs w:val="20"/>
                <w:color w:val="auto"/>
              </w:rPr>
            </w:pPr>
            <w:r>
              <w:rPr>
                <w:rFonts w:ascii="Arial" w:cs="Arial" w:eastAsia="Arial" w:hAnsi="Arial"/>
                <w:sz w:val="14"/>
                <w:szCs w:val="14"/>
                <w:color w:val="auto"/>
              </w:rPr>
              <w:t>2017</w:t>
            </w:r>
          </w:p>
        </w:tc>
        <w:tc>
          <w:tcPr>
            <w:tcW w:w="360" w:type="dxa"/>
            <w:vAlign w:val="bottom"/>
          </w:tcPr>
          <w:p>
            <w:pPr>
              <w:spacing w:after="0"/>
              <w:rPr>
                <w:sz w:val="14"/>
                <w:szCs w:val="14"/>
                <w:color w:val="auto"/>
              </w:rPr>
            </w:pPr>
          </w:p>
        </w:tc>
        <w:tc>
          <w:tcPr>
            <w:tcW w:w="780" w:type="dxa"/>
            <w:vAlign w:val="bottom"/>
          </w:tcPr>
          <w:p>
            <w:pPr>
              <w:jc w:val="right"/>
              <w:ind w:right="152"/>
              <w:spacing w:after="0"/>
              <w:rPr>
                <w:sz w:val="20"/>
                <w:szCs w:val="20"/>
                <w:color w:val="auto"/>
              </w:rPr>
            </w:pPr>
            <w:r>
              <w:rPr>
                <w:rFonts w:ascii="Arial" w:cs="Arial" w:eastAsia="Arial" w:hAnsi="Arial"/>
                <w:sz w:val="14"/>
                <w:szCs w:val="14"/>
                <w:color w:val="auto"/>
              </w:rPr>
              <w:t>2018</w:t>
            </w:r>
          </w:p>
        </w:tc>
        <w:tc>
          <w:tcPr>
            <w:tcW w:w="100" w:type="dxa"/>
            <w:vAlign w:val="bottom"/>
          </w:tcPr>
          <w:p>
            <w:pPr>
              <w:spacing w:after="0"/>
              <w:rPr>
                <w:sz w:val="14"/>
                <w:szCs w:val="14"/>
                <w:color w:val="auto"/>
              </w:rPr>
            </w:pP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(Unaudited)</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spacing w:after="0"/>
              <w:rPr>
                <w:sz w:val="20"/>
                <w:szCs w:val="20"/>
                <w:color w:val="auto"/>
              </w:rPr>
            </w:pPr>
            <w:r>
              <w:rPr>
                <w:rFonts w:ascii="Arial" w:cs="Arial" w:eastAsia="Arial" w:hAnsi="Arial"/>
                <w:sz w:val="18"/>
                <w:szCs w:val="18"/>
                <w:color w:val="auto"/>
              </w:rPr>
              <w:t>Net loss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(12,004)</w:t>
            </w: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(112)</w:t>
            </w:r>
          </w:p>
        </w:tc>
      </w:tr>
      <w:tr>
        <w:trPr>
          <w:trHeight w:val="216"/>
        </w:trPr>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Add / (less):</w:t>
            </w: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1,432</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1,362</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145</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Income tax (benefit)/expenses</w:t>
            </w: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(9)</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444</w:t>
            </w:r>
          </w:p>
        </w:tc>
      </w:tr>
      <w:tr>
        <w:trPr>
          <w:trHeight w:val="27"/>
        </w:trPr>
        <w:tc>
          <w:tcPr>
            <w:tcW w:w="932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EBITDA</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(10,436)</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1,715</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Add:</w:t>
            </w: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Share-based compensation</w:t>
            </w: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1,062</w:t>
            </w:r>
          </w:p>
        </w:tc>
        <w:tc>
          <w:tcPr>
            <w:tcW w:w="8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774</w:t>
            </w:r>
          </w:p>
        </w:tc>
      </w:tr>
      <w:tr>
        <w:trPr>
          <w:trHeight w:val="216"/>
        </w:trPr>
        <w:tc>
          <w:tcPr>
            <w:tcW w:w="9320" w:type="dxa"/>
            <w:vAlign w:val="bottom"/>
          </w:tcPr>
          <w:p>
            <w:pPr>
              <w:ind w:left="360"/>
              <w:spacing w:after="0"/>
              <w:rPr>
                <w:sz w:val="20"/>
                <w:szCs w:val="20"/>
                <w:color w:val="auto"/>
              </w:rPr>
            </w:pPr>
            <w:r>
              <w:rPr>
                <w:rFonts w:ascii="Arial" w:cs="Arial" w:eastAsia="Arial" w:hAnsi="Arial"/>
                <w:sz w:val="18"/>
                <w:szCs w:val="18"/>
                <w:color w:val="auto"/>
              </w:rPr>
              <w:t>Fair value loss on derivative liabilities</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7,430</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9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losses/(gains), net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(2,080)</w:t>
            </w:r>
          </w:p>
        </w:tc>
      </w:tr>
      <w:tr>
        <w:trPr>
          <w:trHeight w:val="223"/>
        </w:trPr>
        <w:tc>
          <w:tcPr>
            <w:tcW w:w="9320" w:type="dxa"/>
            <w:vAlign w:val="bottom"/>
          </w:tcPr>
          <w:p>
            <w:pPr>
              <w:ind w:left="360"/>
              <w:spacing w:after="0"/>
              <w:rPr>
                <w:sz w:val="20"/>
                <w:szCs w:val="20"/>
                <w:color w:val="auto"/>
              </w:rPr>
            </w:pPr>
            <w:r>
              <w:rPr>
                <w:rFonts w:ascii="Arial" w:cs="Arial" w:eastAsia="Arial" w:hAnsi="Arial"/>
                <w:sz w:val="18"/>
                <w:szCs w:val="18"/>
                <w:color w:val="auto"/>
              </w:rPr>
              <w:t>Adjusted EBITDA</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(1,911)</w:t>
            </w:r>
          </w:p>
        </w:tc>
        <w:tc>
          <w:tcPr>
            <w:tcW w:w="360" w:type="dxa"/>
            <w:vAlign w:val="bottom"/>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w:t>
            </w:r>
          </w:p>
        </w:tc>
        <w:tc>
          <w:tcPr>
            <w:tcW w:w="100" w:type="dxa"/>
            <w:vAlign w:val="bottom"/>
          </w:tcPr>
          <w:p>
            <w:pPr>
              <w:spacing w:after="0"/>
              <w:rPr>
                <w:sz w:val="19"/>
                <w:szCs w:val="19"/>
                <w:color w:val="auto"/>
              </w:rPr>
            </w:pPr>
          </w:p>
        </w:tc>
      </w:tr>
      <w:tr>
        <w:trPr>
          <w:trHeight w:val="20"/>
        </w:trPr>
        <w:tc>
          <w:tcPr>
            <w:tcW w:w="93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ectPr>
          <w:pgSz w:w="11900" w:h="16838" w:orient="portrait"/>
          <w:cols w:equalWidth="0" w:num="1">
            <w:col w:w="11420"/>
          </w:cols>
          <w:pgMar w:left="240" w:top="257" w:right="239" w:bottom="1440" w:gutter="0" w:footer="0" w:header="0"/>
        </w:sectPr>
      </w:pPr>
    </w:p>
    <w:bookmarkStart w:id="11" w:name="page12"/>
    <w:bookmarkEnd w:id="1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Adjusted net loss represents net loss before (i) share-based compensation, (ii) fair value loss on derivative liabilities, and (iii) other losses/(gains), net.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sets forth a reconciliation of the Company’s adjusted net loss to net loss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160" w:type="dxa"/>
            <w:vAlign w:val="bottom"/>
            <w:gridSpan w:val="5"/>
          </w:tcPr>
          <w:p>
            <w:pPr>
              <w:jc w:val="right"/>
              <w:ind w:right="220"/>
              <w:spacing w:after="0"/>
              <w:rPr>
                <w:sz w:val="20"/>
                <w:szCs w:val="20"/>
                <w:color w:val="auto"/>
              </w:rPr>
            </w:pPr>
            <w:r>
              <w:rPr>
                <w:rFonts w:ascii="Arial" w:cs="Arial" w:eastAsia="Arial" w:hAnsi="Arial"/>
                <w:sz w:val="14"/>
                <w:szCs w:val="14"/>
                <w:color w:val="auto"/>
                <w:w w:val="97"/>
              </w:rPr>
              <w:t>Three Months Ended March 31,</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ind w:right="194"/>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14"/>
                <w:szCs w:val="14"/>
                <w:color w:val="auto"/>
              </w:rPr>
            </w:pPr>
          </w:p>
        </w:tc>
        <w:tc>
          <w:tcPr>
            <w:tcW w:w="860" w:type="dxa"/>
            <w:vAlign w:val="bottom"/>
            <w:gridSpan w:val="2"/>
          </w:tcPr>
          <w:p>
            <w:pPr>
              <w:jc w:val="right"/>
              <w:ind w:right="13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(Unaudited)</w:t>
            </w:r>
          </w:p>
        </w:tc>
        <w:tc>
          <w:tcPr>
            <w:tcW w:w="8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(12,004)</w:t>
            </w: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Add / (less):</w:t>
            </w:r>
          </w:p>
        </w:tc>
        <w:tc>
          <w:tcPr>
            <w:tcW w:w="8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tcPr>
          <w:p>
            <w:pPr>
              <w:ind w:left="360"/>
              <w:spacing w:after="0"/>
              <w:rPr>
                <w:sz w:val="20"/>
                <w:szCs w:val="20"/>
                <w:color w:val="auto"/>
              </w:rPr>
            </w:pPr>
            <w:r>
              <w:rPr>
                <w:rFonts w:ascii="Arial" w:cs="Arial" w:eastAsia="Arial" w:hAnsi="Arial"/>
                <w:sz w:val="18"/>
                <w:szCs w:val="18"/>
                <w:color w:val="auto"/>
              </w:rPr>
              <w:t>Share-based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1,062</w:t>
            </w:r>
          </w:p>
        </w:tc>
        <w:tc>
          <w:tcPr>
            <w:tcW w:w="3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Fair value loss on derivative liabilities</w:t>
            </w:r>
          </w:p>
        </w:tc>
        <w:tc>
          <w:tcPr>
            <w:tcW w:w="8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7,430</w:t>
            </w: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tcPr>
          <w:p>
            <w:pPr>
              <w:ind w:left="360"/>
              <w:spacing w:after="0"/>
              <w:rPr>
                <w:sz w:val="20"/>
                <w:szCs w:val="20"/>
                <w:color w:val="auto"/>
              </w:rPr>
            </w:pPr>
            <w:r>
              <w:rPr>
                <w:rFonts w:ascii="Arial" w:cs="Arial" w:eastAsia="Arial" w:hAnsi="Arial"/>
                <w:sz w:val="18"/>
                <w:szCs w:val="18"/>
                <w:color w:val="auto"/>
              </w:rPr>
              <w:t>Other losses/(gains), net</w:t>
            </w:r>
          </w:p>
        </w:tc>
        <w:tc>
          <w:tcPr>
            <w:tcW w:w="840" w:type="dxa"/>
            <w:vAlign w:val="bottom"/>
          </w:tcPr>
          <w:p>
            <w:pPr>
              <w:jc w:val="right"/>
              <w:spacing w:after="0"/>
              <w:rPr>
                <w:sz w:val="20"/>
                <w:szCs w:val="20"/>
                <w:color w:val="auto"/>
              </w:rPr>
            </w:pPr>
            <w:r>
              <w:rPr>
                <w:rFonts w:ascii="Arial" w:cs="Arial" w:eastAsia="Arial" w:hAnsi="Arial"/>
                <w:sz w:val="18"/>
                <w:szCs w:val="18"/>
                <w:color w:val="auto"/>
              </w:rPr>
              <w:t>33</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(2,080)</w:t>
            </w:r>
          </w:p>
        </w:tc>
        <w:tc>
          <w:tcPr>
            <w:tcW w:w="0" w:type="dxa"/>
            <w:vAlign w:val="bottom"/>
          </w:tcPr>
          <w:p>
            <w:pPr>
              <w:spacing w:after="0"/>
              <w:rPr>
                <w:sz w:val="1"/>
                <w:szCs w:val="1"/>
                <w:color w:val="auto"/>
              </w:rPr>
            </w:pPr>
          </w:p>
        </w:tc>
      </w:tr>
      <w:tr>
        <w:trPr>
          <w:trHeight w:val="27"/>
        </w:trPr>
        <w:tc>
          <w:tcPr>
            <w:tcW w:w="1380" w:type="dxa"/>
            <w:vAlign w:val="bottom"/>
          </w:tcPr>
          <w:p>
            <w:pPr>
              <w:spacing w:after="0"/>
              <w:rPr>
                <w:sz w:val="2"/>
                <w:szCs w:val="2"/>
                <w:color w:val="auto"/>
              </w:rPr>
            </w:pPr>
          </w:p>
        </w:tc>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840" w:type="dxa"/>
            <w:vAlign w:val="bottom"/>
            <w:tcBorders>
              <w:right w:val="single" w:sz="8" w:color="auto"/>
            </w:tcBorders>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Adjusted net loss</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0"/>
        </w:trPr>
        <w:tc>
          <w:tcPr>
            <w:tcW w:w="7900" w:type="dxa"/>
            <w:vAlign w:val="bottom"/>
            <w:gridSpan w:val="3"/>
            <w:vMerge w:val="restart"/>
          </w:tcPr>
          <w:p>
            <w:pPr>
              <w:spacing w:after="0"/>
              <w:rPr>
                <w:sz w:val="20"/>
                <w:szCs w:val="20"/>
                <w:color w:val="auto"/>
              </w:rPr>
            </w:pPr>
            <w:r>
              <w:rPr>
                <w:rFonts w:ascii="Arial" w:cs="Arial" w:eastAsia="Arial" w:hAnsi="Arial"/>
                <w:sz w:val="18"/>
                <w:szCs w:val="18"/>
                <w:color w:val="auto"/>
              </w:rPr>
              <w:t>The basic and diluted adjusted net loss per ADS for the periods indicated are calculated as follows:</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900" w:type="dxa"/>
            <w:vAlign w:val="bottom"/>
            <w:gridSpan w:val="3"/>
            <w:vMerge w:val="continue"/>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3"/>
        </w:trPr>
        <w:tc>
          <w:tcPr>
            <w:tcW w:w="138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160" w:type="dxa"/>
            <w:vAlign w:val="bottom"/>
            <w:gridSpan w:val="5"/>
          </w:tcPr>
          <w:p>
            <w:pPr>
              <w:jc w:val="right"/>
              <w:ind w:right="240"/>
              <w:spacing w:after="0"/>
              <w:rPr>
                <w:sz w:val="20"/>
                <w:szCs w:val="20"/>
                <w:color w:val="auto"/>
              </w:rPr>
            </w:pPr>
            <w:r>
              <w:rPr>
                <w:rFonts w:ascii="Arial" w:cs="Arial" w:eastAsia="Arial" w:hAnsi="Arial"/>
                <w:sz w:val="14"/>
                <w:szCs w:val="14"/>
                <w:color w:val="auto"/>
                <w:w w:val="96"/>
              </w:rPr>
              <w:t>Three Months Ended March 31,</w:t>
            </w:r>
          </w:p>
        </w:tc>
        <w:tc>
          <w:tcPr>
            <w:tcW w:w="0" w:type="dxa"/>
            <w:vAlign w:val="bottom"/>
          </w:tcPr>
          <w:p>
            <w:pPr>
              <w:spacing w:after="0"/>
              <w:rPr>
                <w:sz w:val="1"/>
                <w:szCs w:val="1"/>
                <w:color w:val="auto"/>
              </w:rPr>
            </w:pPr>
          </w:p>
        </w:tc>
      </w:tr>
      <w:tr>
        <w:trPr>
          <w:trHeight w:val="167"/>
        </w:trPr>
        <w:tc>
          <w:tcPr>
            <w:tcW w:w="138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ind w:right="234"/>
              <w:spacing w:after="0"/>
              <w:rPr>
                <w:sz w:val="20"/>
                <w:szCs w:val="20"/>
                <w:color w:val="auto"/>
              </w:rPr>
            </w:pPr>
            <w:r>
              <w:rPr>
                <w:rFonts w:ascii="Arial" w:cs="Arial" w:eastAsia="Arial" w:hAnsi="Arial"/>
                <w:sz w:val="14"/>
                <w:szCs w:val="14"/>
                <w:color w:val="auto"/>
              </w:rPr>
              <w:t>2017</w:t>
            </w:r>
          </w:p>
        </w:tc>
        <w:tc>
          <w:tcPr>
            <w:tcW w:w="340" w:type="dxa"/>
            <w:vAlign w:val="bottom"/>
          </w:tcPr>
          <w:p>
            <w:pPr>
              <w:spacing w:after="0"/>
              <w:rPr>
                <w:sz w:val="14"/>
                <w:szCs w:val="14"/>
                <w:color w:val="auto"/>
              </w:rPr>
            </w:pPr>
          </w:p>
        </w:tc>
        <w:tc>
          <w:tcPr>
            <w:tcW w:w="860" w:type="dxa"/>
            <w:vAlign w:val="bottom"/>
            <w:gridSpan w:val="2"/>
          </w:tcPr>
          <w:p>
            <w:pPr>
              <w:jc w:val="right"/>
              <w:ind w:right="190"/>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(Unaudited)</w:t>
            </w:r>
          </w:p>
        </w:tc>
        <w:tc>
          <w:tcPr>
            <w:tcW w:w="8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b w:val="1"/>
                <w:bCs w:val="1"/>
                <w:color w:val="auto"/>
              </w:rPr>
              <w:t>Numerator:</w:t>
            </w:r>
          </w:p>
        </w:tc>
        <w:tc>
          <w:tcPr>
            <w:tcW w:w="8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(3,479)</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(1,418)</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tcPr>
          <w:p>
            <w:pPr>
              <w:spacing w:after="0"/>
              <w:rPr>
                <w:sz w:val="20"/>
                <w:szCs w:val="20"/>
                <w:color w:val="auto"/>
              </w:rPr>
            </w:pPr>
            <w:r>
              <w:rPr>
                <w:rFonts w:ascii="Arial" w:cs="Arial" w:eastAsia="Arial" w:hAnsi="Arial"/>
                <w:sz w:val="18"/>
                <w:szCs w:val="18"/>
                <w:color w:val="auto"/>
              </w:rPr>
              <w:t>Accretion to convertible redeemable preferred shares redemption value</w:t>
            </w:r>
          </w:p>
        </w:tc>
        <w:tc>
          <w:tcPr>
            <w:tcW w:w="1180" w:type="dxa"/>
            <w:vAlign w:val="bottom"/>
            <w:gridSpan w:val="2"/>
          </w:tcPr>
          <w:p>
            <w:pPr>
              <w:jc w:val="right"/>
              <w:ind w:right="300"/>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8"/>
                <w:szCs w:val="18"/>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Accretion to redeemable ordinary shares redemption value</w:t>
            </w: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(415)</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480" w:type="dxa"/>
            <w:vAlign w:val="bottom"/>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(4,094)</w:t>
            </w:r>
          </w:p>
        </w:tc>
        <w:tc>
          <w:tcPr>
            <w:tcW w:w="340" w:type="dxa"/>
            <w:vAlign w:val="bottom"/>
          </w:tcPr>
          <w:p>
            <w:pPr>
              <w:spacing w:after="0"/>
              <w:rPr>
                <w:sz w:val="19"/>
                <w:szCs w:val="19"/>
                <w:color w:val="auto"/>
              </w:rPr>
            </w:pPr>
          </w:p>
        </w:tc>
        <w:tc>
          <w:tcPr>
            <w:tcW w:w="8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(1,418)</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84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520" w:type="dxa"/>
            <w:vAlign w:val="bottom"/>
            <w:gridSpan w:val="2"/>
          </w:tcPr>
          <w:p>
            <w:pPr>
              <w:spacing w:after="0" w:line="201" w:lineRule="exact"/>
              <w:rPr>
                <w:sz w:val="20"/>
                <w:szCs w:val="20"/>
                <w:color w:val="auto"/>
              </w:rPr>
            </w:pPr>
            <w:r>
              <w:rPr>
                <w:rFonts w:ascii="Arial" w:cs="Arial" w:eastAsia="Arial" w:hAnsi="Arial"/>
                <w:sz w:val="18"/>
                <w:szCs w:val="18"/>
                <w:color w:val="auto"/>
              </w:rPr>
              <w:t>Denominator for basic and diluted net loss per ADS - weighted average ADS</w:t>
            </w: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520" w:type="dxa"/>
            <w:vAlign w:val="bottom"/>
            <w:gridSpan w:val="2"/>
          </w:tcPr>
          <w:p>
            <w:pPr>
              <w:ind w:left="180"/>
              <w:spacing w:after="0"/>
              <w:rPr>
                <w:sz w:val="20"/>
                <w:szCs w:val="20"/>
                <w:color w:val="auto"/>
              </w:rPr>
            </w:pPr>
            <w:r>
              <w:rPr>
                <w:rFonts w:ascii="Arial" w:cs="Arial" w:eastAsia="Arial" w:hAnsi="Arial"/>
                <w:sz w:val="18"/>
                <w:szCs w:val="18"/>
                <w:color w:val="auto"/>
              </w:rPr>
              <w:t>outstanding</w:t>
            </w:r>
          </w:p>
        </w:tc>
        <w:tc>
          <w:tcPr>
            <w:tcW w:w="840" w:type="dxa"/>
            <w:vAlign w:val="bottom"/>
          </w:tcPr>
          <w:p>
            <w:pPr>
              <w:jc w:val="right"/>
              <w:spacing w:after="0"/>
              <w:rPr>
                <w:sz w:val="20"/>
                <w:szCs w:val="20"/>
                <w:color w:val="auto"/>
              </w:rPr>
            </w:pPr>
            <w:r>
              <w:rPr>
                <w:rFonts w:ascii="Arial" w:cs="Arial" w:eastAsia="Arial" w:hAnsi="Arial"/>
                <w:sz w:val="18"/>
                <w:szCs w:val="18"/>
                <w:color w:val="auto"/>
                <w:w w:val="88"/>
              </w:rPr>
              <w:t>27,224,016</w:t>
            </w:r>
          </w:p>
        </w:tc>
        <w:tc>
          <w:tcPr>
            <w:tcW w:w="34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52,148,518</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Basic adjusted net loss per ADS</w:t>
            </w:r>
          </w:p>
        </w:tc>
        <w:tc>
          <w:tcPr>
            <w:tcW w:w="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(0.15)</w:t>
            </w: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786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860" w:type="dxa"/>
            <w:vAlign w:val="bottom"/>
            <w:gridSpan w:val="2"/>
          </w:tcPr>
          <w:p>
            <w:pPr>
              <w:ind w:left="1380"/>
              <w:spacing w:after="0"/>
              <w:rPr>
                <w:sz w:val="20"/>
                <w:szCs w:val="20"/>
                <w:color w:val="auto"/>
              </w:rPr>
            </w:pPr>
            <w:r>
              <w:rPr>
                <w:rFonts w:ascii="Arial" w:cs="Arial" w:eastAsia="Arial" w:hAnsi="Arial"/>
                <w:sz w:val="18"/>
                <w:szCs w:val="18"/>
                <w:color w:val="auto"/>
              </w:rPr>
              <w:t>Diluted adjusted net loss per ADS</w:t>
            </w:r>
          </w:p>
        </w:tc>
        <w:tc>
          <w:tcPr>
            <w:tcW w:w="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(0.15)</w:t>
            </w:r>
          </w:p>
        </w:tc>
        <w:tc>
          <w:tcPr>
            <w:tcW w:w="340" w:type="dxa"/>
            <w:vAlign w:val="bottom"/>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sectPr>
      <w:pgSz w:w="11900" w:h="16838" w:orient="portrait"/>
      <w:cols w:equalWidth="0" w:num="1">
        <w:col w:w="10800"/>
      </w:cols>
      <w:pgMar w:left="240" w:top="274" w:right="8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bullet"/>
      <w:start w:val="1"/>
    </w:lvl>
  </w:abstractNum>
  <w:abstractNum w:abstractNumId="1">
    <w:nsid w:val="19495CFF"/>
    <w:multiLevelType w:val="hybridMultilevel"/>
    <w:lvl w:ilvl="0">
      <w:lvlJc w:val="left"/>
      <w:lvlText w:val="2"/>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2019-12-08T16:43:16Z</dcterms:created>
  <dcterms:modified xsi:type="dcterms:W3CDTF">2019-12-08T16:43:16Z</dcterms:modified>
</cp:coreProperties>
</file>