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6"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August 2020</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4"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168910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836930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80"/>
          </w:cols>
          <w:pgMar w:left="320" w:top="706"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331"/>
        </w:trPr>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w:t>
              </w:r>
            </w:hyperlink>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August 24,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107950</wp:posOffset>
            </wp:positionV>
            <wp:extent cx="1525905" cy="7289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2590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1" w:lineRule="exact"/>
        <w:rPr>
          <w:sz w:val="20"/>
          <w:szCs w:val="20"/>
          <w:color w:val="auto"/>
        </w:rPr>
      </w:pPr>
    </w:p>
    <w:p>
      <w:pPr>
        <w:jc w:val="center"/>
        <w:ind w:right="60"/>
        <w:spacing w:after="0"/>
        <w:rPr>
          <w:sz w:val="20"/>
          <w:szCs w:val="20"/>
          <w:color w:val="auto"/>
        </w:rPr>
      </w:pPr>
      <w:r>
        <w:rPr>
          <w:rFonts w:ascii="Arial" w:cs="Arial" w:eastAsia="Arial" w:hAnsi="Arial"/>
          <w:sz w:val="27"/>
          <w:szCs w:val="27"/>
          <w:b w:val="1"/>
          <w:bCs w:val="1"/>
          <w:color w:val="auto"/>
        </w:rPr>
        <w:t>iClick Interactive Asia Group Limited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Reports 2020 Second-Quarter Unaudited Financial Results</w:t>
      </w:r>
    </w:p>
    <w:p>
      <w:pPr>
        <w:spacing w:after="0" w:line="224" w:lineRule="exact"/>
        <w:rPr>
          <w:sz w:val="20"/>
          <w:szCs w:val="20"/>
          <w:color w:val="auto"/>
        </w:rPr>
      </w:pPr>
    </w:p>
    <w:p>
      <w:pPr>
        <w:ind w:left="3880"/>
        <w:spacing w:after="0"/>
        <w:rPr>
          <w:sz w:val="20"/>
          <w:szCs w:val="20"/>
          <w:color w:val="auto"/>
        </w:rPr>
      </w:pPr>
      <w:r>
        <w:rPr>
          <w:rFonts w:ascii="Arial" w:cs="Arial" w:eastAsia="Arial" w:hAnsi="Arial"/>
          <w:sz w:val="20"/>
          <w:szCs w:val="20"/>
          <w:i w:val="1"/>
          <w:iCs w:val="1"/>
          <w:color w:val="auto"/>
        </w:rPr>
        <w:t>– Reached Another Record Quarter in Key Financials</w:t>
      </w:r>
    </w:p>
    <w:p>
      <w:pPr>
        <w:spacing w:after="0" w:line="237"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Hong Kong, August 24, 2020 </w:t>
      </w:r>
      <w:r>
        <w:rPr>
          <w:rFonts w:ascii="Arial" w:cs="Arial" w:eastAsia="Arial" w:hAnsi="Arial"/>
          <w:sz w:val="20"/>
          <w:szCs w:val="20"/>
          <w:color w:val="auto"/>
        </w:rPr>
        <w:t>-- iClick Interactive Asia Group Limited (“iClick” or the “Company”) (NASDAQ: ICLK), an independent</w:t>
      </w:r>
      <w:r>
        <w:rPr>
          <w:rFonts w:ascii="Arial" w:cs="Arial" w:eastAsia="Arial" w:hAnsi="Arial"/>
          <w:sz w:val="20"/>
          <w:szCs w:val="20"/>
          <w:b w:val="1"/>
          <w:bCs w:val="1"/>
          <w:color w:val="auto"/>
        </w:rPr>
        <w:t xml:space="preserve"> </w:t>
      </w:r>
      <w:r>
        <w:rPr>
          <w:rFonts w:ascii="Arial" w:cs="Arial" w:eastAsia="Arial" w:hAnsi="Arial"/>
          <w:sz w:val="20"/>
          <w:szCs w:val="20"/>
          <w:color w:val="auto"/>
        </w:rPr>
        <w:t>online marketing and enterprise data solutions provider in China, today announced unaudited financial results for the second quarter ended June 30, 2020.</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3260" w:type="dxa"/>
            <w:vAlign w:val="bottom"/>
            <w:tcBorders>
              <w:bottom w:val="single" w:sz="8" w:color="auto"/>
            </w:tcBorders>
            <w:gridSpan w:val="5"/>
          </w:tcPr>
          <w:p>
            <w:pPr>
              <w:ind w:left="1260"/>
              <w:spacing w:after="0"/>
              <w:rPr>
                <w:sz w:val="20"/>
                <w:szCs w:val="20"/>
                <w:color w:val="auto"/>
              </w:rPr>
            </w:pPr>
            <w:r>
              <w:rPr>
                <w:rFonts w:ascii="Arial" w:cs="Arial" w:eastAsia="Arial" w:hAnsi="Arial"/>
                <w:sz w:val="14"/>
                <w:szCs w:val="14"/>
                <w:b w:val="1"/>
                <w:bCs w:val="1"/>
                <w:color w:val="auto"/>
                <w:w w:val="99"/>
              </w:rPr>
              <w:t>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60" w:type="dxa"/>
            <w:vAlign w:val="bottom"/>
          </w:tcPr>
          <w:p>
            <w:pPr>
              <w:spacing w:after="0"/>
              <w:rPr>
                <w:sz w:val="11"/>
                <w:szCs w:val="11"/>
                <w:color w:val="auto"/>
              </w:rPr>
            </w:pPr>
          </w:p>
        </w:tc>
        <w:tc>
          <w:tcPr>
            <w:tcW w:w="130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1"/>
                <w:szCs w:val="11"/>
                <w:color w:val="auto"/>
              </w:rPr>
            </w:pPr>
          </w:p>
        </w:tc>
        <w:tc>
          <w:tcPr>
            <w:tcW w:w="12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Percentage</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60" w:type="dxa"/>
            <w:vAlign w:val="bottom"/>
            <w:vMerge w:val="restart"/>
          </w:tcPr>
          <w:p>
            <w:pPr>
              <w:spacing w:after="0"/>
              <w:rPr>
                <w:sz w:val="20"/>
                <w:szCs w:val="20"/>
                <w:color w:val="auto"/>
              </w:rPr>
            </w:pPr>
            <w:r>
              <w:rPr>
                <w:rFonts w:ascii="Arial" w:cs="Arial" w:eastAsia="Arial" w:hAnsi="Arial"/>
                <w:sz w:val="14"/>
                <w:szCs w:val="14"/>
                <w:i w:val="1"/>
                <w:iCs w:val="1"/>
                <w:color w:val="auto"/>
              </w:rPr>
              <w:t>(US$ in thousands)</w:t>
            </w:r>
          </w:p>
        </w:tc>
        <w:tc>
          <w:tcPr>
            <w:tcW w:w="13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0"/>
        </w:trPr>
        <w:tc>
          <w:tcPr>
            <w:tcW w:w="6460" w:type="dxa"/>
            <w:vAlign w:val="bottom"/>
            <w:vMerge w:val="continue"/>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20"/>
                <w:szCs w:val="20"/>
                <w:color w:val="auto"/>
              </w:rPr>
            </w:pPr>
            <w:r>
              <w:rPr>
                <w:rFonts w:ascii="Arial" w:cs="Arial" w:eastAsia="Arial" w:hAnsi="Arial"/>
                <w:sz w:val="14"/>
                <w:szCs w:val="14"/>
                <w:i w:val="1"/>
                <w:iCs w:val="1"/>
                <w:color w:val="auto"/>
              </w:rPr>
              <w:t>(Unaudited)</w:t>
            </w: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6460" w:type="dxa"/>
            <w:vAlign w:val="bottom"/>
          </w:tcPr>
          <w:p>
            <w:pPr>
              <w:spacing w:after="0"/>
              <w:rPr>
                <w:sz w:val="20"/>
                <w:szCs w:val="20"/>
                <w:color w:val="auto"/>
              </w:rPr>
            </w:pPr>
            <w:r>
              <w:rPr>
                <w:rFonts w:ascii="Arial" w:cs="Arial" w:eastAsia="Arial" w:hAnsi="Arial"/>
                <w:sz w:val="18"/>
                <w:szCs w:val="18"/>
                <w:b w:val="1"/>
                <w:bCs w:val="1"/>
                <w:color w:val="auto"/>
              </w:rPr>
              <w:t>Financial Metrics:</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Revenue</w:t>
            </w: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60" w:type="dxa"/>
            <w:vAlign w:val="bottom"/>
          </w:tcPr>
          <w:p>
            <w:pPr>
              <w:ind w:left="260"/>
              <w:spacing w:after="0"/>
              <w:rPr>
                <w:sz w:val="20"/>
                <w:szCs w:val="20"/>
                <w:color w:val="auto"/>
              </w:rPr>
            </w:pPr>
            <w:r>
              <w:rPr>
                <w:rFonts w:ascii="Arial" w:cs="Arial" w:eastAsia="Arial" w:hAnsi="Arial"/>
                <w:sz w:val="18"/>
                <w:szCs w:val="18"/>
                <w:color w:val="auto"/>
              </w:rPr>
              <w:t>Marketing solutions</w:t>
            </w:r>
          </w:p>
        </w:tc>
        <w:tc>
          <w:tcPr>
            <w:tcW w:w="1300" w:type="dxa"/>
            <w:vAlign w:val="bottom"/>
          </w:tcPr>
          <w:p>
            <w:pPr>
              <w:jc w:val="right"/>
              <w:spacing w:after="0"/>
              <w:rPr>
                <w:sz w:val="20"/>
                <w:szCs w:val="20"/>
                <w:color w:val="auto"/>
              </w:rPr>
            </w:pPr>
            <w:r>
              <w:rPr>
                <w:rFonts w:ascii="Arial" w:cs="Arial" w:eastAsia="Arial" w:hAnsi="Arial"/>
                <w:sz w:val="18"/>
                <w:szCs w:val="18"/>
                <w:color w:val="auto"/>
              </w:rPr>
              <w:t>52,969</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46,590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460" w:type="dxa"/>
            <w:vAlign w:val="bottom"/>
          </w:tcPr>
          <w:p>
            <w:pPr>
              <w:ind w:left="260"/>
              <w:spacing w:after="0"/>
              <w:rPr>
                <w:sz w:val="20"/>
                <w:szCs w:val="20"/>
                <w:color w:val="auto"/>
              </w:rPr>
            </w:pPr>
            <w:r>
              <w:rPr>
                <w:rFonts w:ascii="Arial" w:cs="Arial" w:eastAsia="Arial" w:hAnsi="Arial"/>
                <w:sz w:val="18"/>
                <w:szCs w:val="18"/>
                <w:color w:val="auto"/>
              </w:rPr>
              <w:t>Enterprise solutions</w:t>
            </w:r>
          </w:p>
        </w:tc>
        <w:tc>
          <w:tcPr>
            <w:tcW w:w="1300" w:type="dxa"/>
            <w:vAlign w:val="bottom"/>
          </w:tcPr>
          <w:p>
            <w:pPr>
              <w:jc w:val="right"/>
              <w:spacing w:after="0"/>
              <w:rPr>
                <w:sz w:val="20"/>
                <w:szCs w:val="20"/>
                <w:color w:val="auto"/>
              </w:rPr>
            </w:pPr>
            <w:r>
              <w:rPr>
                <w:rFonts w:ascii="Arial" w:cs="Arial" w:eastAsia="Arial" w:hAnsi="Arial"/>
                <w:sz w:val="18"/>
                <w:szCs w:val="18"/>
                <w:color w:val="auto"/>
              </w:rPr>
              <w:t>5,144</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Total revenue</w:t>
            </w:r>
          </w:p>
        </w:tc>
        <w:tc>
          <w:tcPr>
            <w:tcW w:w="1300" w:type="dxa"/>
            <w:vAlign w:val="bottom"/>
          </w:tcPr>
          <w:p>
            <w:pPr>
              <w:jc w:val="right"/>
              <w:spacing w:after="0"/>
              <w:rPr>
                <w:sz w:val="20"/>
                <w:szCs w:val="20"/>
                <w:color w:val="auto"/>
              </w:rPr>
            </w:pPr>
            <w:r>
              <w:rPr>
                <w:rFonts w:ascii="Arial" w:cs="Arial" w:eastAsia="Arial" w:hAnsi="Arial"/>
                <w:sz w:val="18"/>
                <w:szCs w:val="18"/>
                <w:color w:val="auto"/>
              </w:rPr>
              <w:t>58,113</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49,347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profit</w:t>
            </w:r>
          </w:p>
        </w:tc>
        <w:tc>
          <w:tcPr>
            <w:tcW w:w="1300" w:type="dxa"/>
            <w:vAlign w:val="bottom"/>
          </w:tcPr>
          <w:p>
            <w:pPr>
              <w:jc w:val="right"/>
              <w:spacing w:after="0"/>
              <w:rPr>
                <w:sz w:val="20"/>
                <w:szCs w:val="20"/>
                <w:color w:val="auto"/>
              </w:rPr>
            </w:pPr>
            <w:r>
              <w:rPr>
                <w:rFonts w:ascii="Arial" w:cs="Arial" w:eastAsia="Arial" w:hAnsi="Arial"/>
                <w:sz w:val="18"/>
                <w:szCs w:val="18"/>
                <w:color w:val="auto"/>
              </w:rPr>
              <w:t>16,615</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13,596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Net loss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(3,244)</w:t>
            </w: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646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5,158</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Adjusted net income/(loss)</w:t>
            </w:r>
            <w:r>
              <w:rPr>
                <w:rFonts w:ascii="Arial" w:cs="Arial" w:eastAsia="Arial" w:hAnsi="Arial"/>
                <w:sz w:val="15"/>
                <w:szCs w:val="15"/>
                <w:color w:val="auto"/>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2,495</w:t>
            </w:r>
          </w:p>
        </w:tc>
        <w:tc>
          <w:tcPr>
            <w:tcW w:w="2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(721)</w:t>
            </w: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6460" w:type="dxa"/>
            <w:vAlign w:val="bottom"/>
          </w:tcPr>
          <w:p>
            <w:pPr>
              <w:spacing w:after="0"/>
              <w:rPr>
                <w:sz w:val="20"/>
                <w:szCs w:val="20"/>
                <w:color w:val="auto"/>
              </w:rPr>
            </w:pPr>
            <w:r>
              <w:rPr>
                <w:rFonts w:ascii="Arial" w:cs="Arial" w:eastAsia="Arial" w:hAnsi="Arial"/>
                <w:sz w:val="18"/>
                <w:szCs w:val="18"/>
                <w:color w:val="auto"/>
              </w:rPr>
              <w:t>Diluted adjusted net income/(loss) per ADS</w:t>
            </w:r>
            <w:r>
              <w:rPr>
                <w:rFonts w:ascii="Arial" w:cs="Arial" w:eastAsia="Arial" w:hAnsi="Arial"/>
                <w:sz w:val="15"/>
                <w:szCs w:val="15"/>
                <w:color w:val="auto"/>
              </w:rPr>
              <w:t>1</w:t>
            </w:r>
          </w:p>
        </w:tc>
        <w:tc>
          <w:tcPr>
            <w:tcW w:w="1300" w:type="dxa"/>
            <w:vAlign w:val="bottom"/>
          </w:tcPr>
          <w:p>
            <w:pPr>
              <w:jc w:val="right"/>
              <w:spacing w:after="0"/>
              <w:rPr>
                <w:sz w:val="20"/>
                <w:szCs w:val="20"/>
                <w:color w:val="auto"/>
              </w:rPr>
            </w:pPr>
            <w:r>
              <w:rPr>
                <w:rFonts w:ascii="Arial" w:cs="Arial" w:eastAsia="Arial" w:hAnsi="Arial"/>
                <w:sz w:val="18"/>
                <w:szCs w:val="18"/>
                <w:color w:val="auto"/>
              </w:rPr>
              <w:t>0.0307</w:t>
            </w:r>
          </w:p>
        </w:tc>
        <w:tc>
          <w:tcPr>
            <w:tcW w:w="26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(0.0126)</w:t>
            </w:r>
          </w:p>
        </w:tc>
        <w:tc>
          <w:tcPr>
            <w:tcW w:w="160" w:type="dxa"/>
            <w:vAlign w:val="bottom"/>
          </w:tcPr>
          <w:p>
            <w:pPr>
              <w:spacing w:after="0"/>
              <w:rPr>
                <w:sz w:val="19"/>
                <w:szCs w:val="19"/>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Operating Metrics:</w:t>
            </w: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Gross billing</w:t>
            </w:r>
          </w:p>
        </w:tc>
        <w:tc>
          <w:tcPr>
            <w:tcW w:w="1300" w:type="dxa"/>
            <w:vAlign w:val="bottom"/>
          </w:tcPr>
          <w:p>
            <w:pPr>
              <w:jc w:val="right"/>
              <w:spacing w:after="0"/>
              <w:rPr>
                <w:sz w:val="20"/>
                <w:szCs w:val="20"/>
                <w:color w:val="auto"/>
              </w:rPr>
            </w:pPr>
            <w:r>
              <w:rPr>
                <w:rFonts w:ascii="Arial" w:cs="Arial" w:eastAsia="Arial" w:hAnsi="Arial"/>
                <w:sz w:val="18"/>
                <w:szCs w:val="18"/>
                <w:color w:val="auto"/>
              </w:rPr>
              <w:t>132,793</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140,871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“As China’s economy begins to recover from the coronavirus pandemic, I am pleased to report that our company delivered outstanding results in the second quarter of 2020, with record high revenue, substantially reduced net loss, record high adjusted EBITDA and adjusted net income, as well as the highest gross profit for any second quarter in the company’s history,” said Jian “T.J.” Tang, Chief Executive Officer and Co-Founder of iClick. “We reported total revenue of US$58.1 million for the quarter, an increase of 18% from the same period of last year, while our gross profit grew to US$16.6 million, up 22% from the second quarter of 2019. In the meantime, our net loss narrowed substantially to almost a break-even. Our adjusted EBITDA more than quadrupled to a new record of US$5.2 million. Our adjusted net income improved significantly to US$2.5 million in the second quarter of 2020, compared with adjusted net loss of US$0.7 million in the same period of 2019, reflecting greater economies of scale, enhanced operating efficiencies and improved cost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631825</wp:posOffset>
            </wp:positionV>
            <wp:extent cx="2040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1"/>
          <w:szCs w:val="11"/>
          <w:color w:val="auto"/>
        </w:rPr>
      </w:pPr>
      <w:r>
        <w:rPr>
          <w:rFonts w:ascii="Arial" w:cs="Arial" w:eastAsia="Arial" w:hAnsi="Arial"/>
          <w:sz w:val="13"/>
          <w:szCs w:val="13"/>
          <w:color w:val="auto"/>
        </w:rPr>
        <w:t>For more details on these non-GAAP financial measures, please see the tables captioned “Unaudited Reconciliations of GAAP and Non-GAAP Results” set forth at the end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both"/>
        <w:spacing w:after="0" w:line="283" w:lineRule="auto"/>
        <w:rPr>
          <w:sz w:val="20"/>
          <w:szCs w:val="20"/>
          <w:color w:val="auto"/>
        </w:rPr>
      </w:pPr>
      <w:r>
        <w:rPr>
          <w:rFonts w:ascii="Arial" w:cs="Arial" w:eastAsia="Arial" w:hAnsi="Arial"/>
          <w:sz w:val="18"/>
          <w:szCs w:val="18"/>
          <w:color w:val="auto"/>
        </w:rPr>
        <w:t>“Amidst the macro challenges, our Enterprise Solutions business saw its third consecutive quarter of growth, generating US$5.1 million in revenue in the second quarter, an 87% increase from the second quarter of 2019. We remain confident in realizing a substantial increase in revenue from our Enterprise Solutions business in the second half of 2020. We are particularly encouraged to see our Enterprise Solutions business generate profit with a relatively high gross margin, which is set to support our overall growth and profitability for the long term.”</w:t>
      </w:r>
    </w:p>
    <w:p>
      <w:pPr>
        <w:spacing w:after="0" w:line="159"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“We are experiencing strong demand for our products and services, in particular our data analytics, which serve an important role in quickly understanding the rapidly changing online consumer behaviour, for which the coronavirus has brought additional uncertainty, not only in China, but worldwide. We are seeing that many brands are looking to China’s recovering economy to make up for business that may have been lost in other regions of the globe that continue to be affected by the pandemic. We are also beginning to see that sustained changes in consumer buying habits are causing marketers to require more comprehensive online-to-offline data integration to enhance customer loyalty and generate more sales opportunities. We will continue to closely monitor the outbreak’s impact on our operations but as of today we reiterate our 2020 full-year revenue guidance range, which is from US$240 million to US$260 million range, due to the consistency of demand from marketers.”</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Second Quarter 2020 Results:</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Revenue </w:t>
      </w:r>
      <w:r>
        <w:rPr>
          <w:rFonts w:ascii="Arial" w:cs="Arial" w:eastAsia="Arial" w:hAnsi="Arial"/>
          <w:sz w:val="19"/>
          <w:szCs w:val="19"/>
          <w:color w:val="auto"/>
        </w:rPr>
        <w:t>for the second quarter of 2020 grew to US$58.1 million, up 18% from US$49.3 million for the same period of the prior year,</w:t>
      </w:r>
      <w:r>
        <w:rPr>
          <w:rFonts w:ascii="Arial" w:cs="Arial" w:eastAsia="Arial" w:hAnsi="Arial"/>
          <w:sz w:val="19"/>
          <w:szCs w:val="19"/>
          <w:b w:val="1"/>
          <w:bCs w:val="1"/>
          <w:color w:val="auto"/>
        </w:rPr>
        <w:t xml:space="preserve"> </w:t>
      </w:r>
      <w:r>
        <w:rPr>
          <w:rFonts w:ascii="Arial" w:cs="Arial" w:eastAsia="Arial" w:hAnsi="Arial"/>
          <w:sz w:val="19"/>
          <w:szCs w:val="19"/>
          <w:color w:val="auto"/>
        </w:rPr>
        <w:t>attributable to the increase in contributions from existing marketing solutions and enterprise solutions, partially offset by a decrease in the average exchange rate of Renminbi to the US dollar for the second quarter of 2020 compared to the same period in 2019.</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 xml:space="preserve">Revenue from marketing solutions </w:t>
      </w:r>
      <w:r>
        <w:rPr>
          <w:rFonts w:ascii="Arial" w:cs="Arial" w:eastAsia="Arial" w:hAnsi="Arial"/>
          <w:sz w:val="20"/>
          <w:szCs w:val="20"/>
          <w:color w:val="auto"/>
        </w:rPr>
        <w:t>grew to US$53.0 million for the second quarter of 2020, up 14% from US$46.6 million for the second</w:t>
      </w:r>
      <w:r>
        <w:rPr>
          <w:rFonts w:ascii="Arial" w:cs="Arial" w:eastAsia="Arial" w:hAnsi="Arial"/>
          <w:sz w:val="20"/>
          <w:szCs w:val="20"/>
          <w:i w:val="1"/>
          <w:iCs w:val="1"/>
          <w:color w:val="auto"/>
        </w:rPr>
        <w:t xml:space="preserve"> </w:t>
      </w:r>
      <w:r>
        <w:rPr>
          <w:rFonts w:ascii="Arial" w:cs="Arial" w:eastAsia="Arial" w:hAnsi="Arial"/>
          <w:sz w:val="20"/>
          <w:szCs w:val="20"/>
          <w:color w:val="auto"/>
        </w:rPr>
        <w:t>quarter of 2019, primarily as the result of growing market demand from specified action marketing campaigns.</w:t>
      </w:r>
    </w:p>
    <w:p>
      <w:pPr>
        <w:spacing w:after="0" w:line="204" w:lineRule="exact"/>
        <w:rPr>
          <w:sz w:val="20"/>
          <w:szCs w:val="20"/>
          <w:color w:val="auto"/>
        </w:rPr>
      </w:pPr>
    </w:p>
    <w:p>
      <w:pPr>
        <w:jc w:val="both"/>
        <w:spacing w:after="0" w:line="316" w:lineRule="auto"/>
        <w:rPr>
          <w:sz w:val="20"/>
          <w:szCs w:val="20"/>
          <w:color w:val="auto"/>
        </w:rPr>
      </w:pPr>
      <w:r>
        <w:rPr>
          <w:rFonts w:ascii="Arial" w:cs="Arial" w:eastAsia="Arial" w:hAnsi="Arial"/>
          <w:sz w:val="18"/>
          <w:szCs w:val="18"/>
          <w:i w:val="1"/>
          <w:iCs w:val="1"/>
          <w:color w:val="auto"/>
        </w:rPr>
        <w:t xml:space="preserve">Revenue from enterprise solutions </w:t>
      </w:r>
      <w:r>
        <w:rPr>
          <w:rFonts w:ascii="Arial" w:cs="Arial" w:eastAsia="Arial" w:hAnsi="Arial"/>
          <w:sz w:val="18"/>
          <w:szCs w:val="18"/>
          <w:color w:val="auto"/>
        </w:rPr>
        <w:t>was US$5.1 million for the second quarter of 2020, up approximately 87% from US $2.8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2019, which was driven primarily by the increasing need for online and offline consumers’ behavioural data integration.</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Gross profit </w:t>
      </w:r>
      <w:r>
        <w:rPr>
          <w:rFonts w:ascii="Arial" w:cs="Arial" w:eastAsia="Arial" w:hAnsi="Arial"/>
          <w:sz w:val="20"/>
          <w:szCs w:val="20"/>
          <w:color w:val="auto"/>
        </w:rPr>
        <w:t>for the second quarter of 2020 was US$16.6 million, representing a 22% increase compared with US$13.6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2019, mainly due to continual expansion of the Company’s marketing solutions and contribution from higher-margin enterprise solutions.</w:t>
      </w:r>
    </w:p>
    <w:p>
      <w:pPr>
        <w:spacing w:after="0" w:line="20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b w:val="1"/>
          <w:bCs w:val="1"/>
          <w:color w:val="auto"/>
        </w:rPr>
        <w:t xml:space="preserve">Total operating expenses </w:t>
      </w:r>
      <w:r>
        <w:rPr>
          <w:rFonts w:ascii="Arial" w:cs="Arial" w:eastAsia="Arial" w:hAnsi="Arial"/>
          <w:sz w:val="20"/>
          <w:szCs w:val="20"/>
          <w:color w:val="auto"/>
        </w:rPr>
        <w:t>were US$15.2 million for the second quarter of 2020, compared with US$16.0 million for the second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2019.</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9"/>
          <w:szCs w:val="19"/>
          <w:b w:val="1"/>
          <w:bCs w:val="1"/>
          <w:color w:val="auto"/>
        </w:rPr>
        <w:t xml:space="preserve">Operating income </w:t>
      </w:r>
      <w:r>
        <w:rPr>
          <w:rFonts w:ascii="Arial" w:cs="Arial" w:eastAsia="Arial" w:hAnsi="Arial"/>
          <w:sz w:val="19"/>
          <w:szCs w:val="19"/>
          <w:color w:val="auto"/>
        </w:rPr>
        <w:t>was US$1.4 million for the second quarter of 2020, compared with an operating loss of US$2.4 million for the second</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of 2019, as a result of the strong growth in gross profit, which was in line with the Company’s business development.</w:t>
      </w:r>
    </w:p>
    <w:p>
      <w:pPr>
        <w:spacing w:after="0" w:line="16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totalled US$0.02 million for the second quarter of 2020, compared with net loss of US$3.2 million for the second quarter of 2019.</w:t>
      </w:r>
      <w:r>
        <w:rPr>
          <w:rFonts w:ascii="Arial" w:cs="Arial" w:eastAsia="Arial" w:hAnsi="Arial"/>
          <w:sz w:val="20"/>
          <w:szCs w:val="20"/>
          <w:b w:val="1"/>
          <w:bCs w:val="1"/>
          <w:color w:val="auto"/>
        </w:rPr>
        <w:t xml:space="preserve"> </w:t>
      </w:r>
      <w:r>
        <w:rPr>
          <w:rFonts w:ascii="Arial" w:cs="Arial" w:eastAsia="Arial" w:hAnsi="Arial"/>
          <w:sz w:val="20"/>
          <w:szCs w:val="20"/>
          <w:color w:val="auto"/>
        </w:rPr>
        <w:t>This was mainly because the Company recorded an operating income and there was an increase in the other gains, net, by US $1.0 million. These factors were partially offset by the fair value losses of derivative liabilities and convertible notes of US$1.5 million and US$0.5 million, respectively, in the second quarter of 2020, compared to US$1.0 million fair value losses of convertible notes in the second quarter of 2019.</w:t>
      </w:r>
    </w:p>
    <w:p>
      <w:pPr>
        <w:spacing w:after="0" w:line="21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Net income attributable to the Company’s shareholders per basic and diluted ADS for the second quarter of 2020 were US$0.0051 and US $0.0047, respectively, compared with a net loss attributable to the Company’s shareholders per basic and diluted ADS of US$0.0600 for the second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jc w:val="both"/>
        <w:spacing w:after="0" w:line="248" w:lineRule="auto"/>
        <w:rPr>
          <w:sz w:val="20"/>
          <w:szCs w:val="20"/>
          <w:color w:val="auto"/>
        </w:rPr>
      </w:pPr>
      <w:r>
        <w:rPr>
          <w:rFonts w:ascii="Arial" w:cs="Arial" w:eastAsia="Arial" w:hAnsi="Arial"/>
          <w:sz w:val="20"/>
          <w:szCs w:val="20"/>
          <w:b w:val="1"/>
          <w:bCs w:val="1"/>
          <w:color w:val="auto"/>
        </w:rPr>
        <w:t xml:space="preserve">Adjusted EBITDA </w:t>
      </w:r>
      <w:r>
        <w:rPr>
          <w:rFonts w:ascii="Arial" w:cs="Arial" w:eastAsia="Arial" w:hAnsi="Arial"/>
          <w:sz w:val="20"/>
          <w:szCs w:val="20"/>
          <w:color w:val="auto"/>
        </w:rPr>
        <w:t>for the second quarter of 2020 was US$5.2 million, compared with US$1.2 million for the second quarter of 2019,</w:t>
      </w:r>
      <w:r>
        <w:rPr>
          <w:rFonts w:ascii="Arial" w:cs="Arial" w:eastAsia="Arial" w:hAnsi="Arial"/>
          <w:sz w:val="20"/>
          <w:szCs w:val="20"/>
          <w:b w:val="1"/>
          <w:bCs w:val="1"/>
          <w:color w:val="auto"/>
        </w:rPr>
        <w:t xml:space="preserve"> </w:t>
      </w:r>
      <w:r>
        <w:rPr>
          <w:rFonts w:ascii="Arial" w:cs="Arial" w:eastAsia="Arial" w:hAnsi="Arial"/>
          <w:sz w:val="20"/>
          <w:szCs w:val="20"/>
          <w:color w:val="auto"/>
        </w:rPr>
        <w:t>mainly resulting from the increase in gross profit by US$3.0 million and increase in other gains, net, by US$1.0 million. For a reconciliation of the Company’s adjusted EBITDA from net loss, its most comparable GAAP measure, please refer to “Unaudited Reconciliations of GAAP and Non-GAAP Results.”</w:t>
      </w:r>
    </w:p>
    <w:p>
      <w:pPr>
        <w:spacing w:after="0" w:line="2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Adjusted net income </w:t>
      </w:r>
      <w:r>
        <w:rPr>
          <w:rFonts w:ascii="Arial" w:cs="Arial" w:eastAsia="Arial" w:hAnsi="Arial"/>
          <w:sz w:val="20"/>
          <w:szCs w:val="20"/>
          <w:color w:val="auto"/>
        </w:rPr>
        <w:t>for the second quarter of 2020 was US$2.5 million, compared with an adjusted net loss of US$0.7 million in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2019. For a reconciliation of the Company’s adjusted net income/(loss) from net loss, its most comparable GAAP measure, please refer to “Unaudited Reconciliations of GAAP and Non-GAAP Results.”</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color w:val="auto"/>
        </w:rPr>
        <w:t>Gross billing</w:t>
      </w:r>
      <w:r>
        <w:rPr>
          <w:rFonts w:ascii="Arial" w:cs="Arial" w:eastAsia="Arial" w:hAnsi="Arial"/>
          <w:sz w:val="16"/>
          <w:szCs w:val="16"/>
          <w:color w:val="auto"/>
        </w:rPr>
        <w:t>2</w:t>
      </w:r>
      <w:r>
        <w:rPr>
          <w:rFonts w:ascii="Arial" w:cs="Arial" w:eastAsia="Arial" w:hAnsi="Arial"/>
          <w:sz w:val="20"/>
          <w:szCs w:val="20"/>
          <w:b w:val="1"/>
          <w:bCs w:val="1"/>
          <w:color w:val="auto"/>
        </w:rPr>
        <w:t xml:space="preserve"> </w:t>
      </w:r>
      <w:r>
        <w:rPr>
          <w:rFonts w:ascii="Arial" w:cs="Arial" w:eastAsia="Arial" w:hAnsi="Arial"/>
          <w:sz w:val="20"/>
          <w:szCs w:val="20"/>
          <w:color w:val="auto"/>
        </w:rPr>
        <w:t>was US$132.8 million for the second quarter of 2020, representing a 6% decrease compared with US $140.9 million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second quarter of 2019, primarily a result of (i) a decrease in the average exchange rate of Renminbi to the US dollar for the second quarter of 2020 compared to the same period in 2019, and (ii) our efforts in optimizing our client base to achieve better credit control, retain and attract customers with strong financial position. The gross billing would be US$140.3 million on a currency-neutral basis for the second quarter of 2020.</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As of June 30, 2020, the Company had cash and cash equivalents of US$39.4 million, compared with US$36.9 million as of December 31, 2019. Restricted cash and time deposits as of June 30, 2020 amounted to US$24.3 million and US$0.5 million, respectively, compared with US$23.8 million and US$0.4 million as of December 31, 2019,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 Repurchase Program</w:t>
      </w:r>
    </w:p>
    <w:p>
      <w:pPr>
        <w:spacing w:after="0" w:line="24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On January 15, 2020, we announced a share repurchase program in which we may purchase our own ADSs with an aggregate value of up to US$10.0 million over the 12-month period ending on December 29, 2020. As of June 30, 2020, we purchased an aggregate value of approximately US$0.7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2032000</wp:posOffset>
            </wp:positionV>
            <wp:extent cx="2040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hanging="112"/>
        <w:spacing w:after="0"/>
        <w:tabs>
          <w:tab w:leader="none" w:pos="120" w:val="left"/>
        </w:tabs>
        <w:numPr>
          <w:ilvl w:val="0"/>
          <w:numId w:val="2"/>
        </w:numPr>
        <w:rPr>
          <w:rFonts w:ascii="Arial" w:cs="Arial" w:eastAsia="Arial" w:hAnsi="Arial"/>
          <w:sz w:val="12"/>
          <w:szCs w:val="12"/>
          <w:color w:val="auto"/>
        </w:rPr>
      </w:pPr>
      <w:r>
        <w:rPr>
          <w:rFonts w:ascii="Arial" w:cs="Arial" w:eastAsia="Arial" w:hAnsi="Arial"/>
          <w:sz w:val="14"/>
          <w:szCs w:val="14"/>
          <w:color w:val="auto"/>
        </w:rPr>
        <w:t>Gross billing is defined as the aggregate dollar amount that clients pay the Company after deducting rebates paid and discounts given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Outlook</w:t>
      </w:r>
    </w:p>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on the information available as of the date of this press release, iClick provided the following outlook for the third quarter of 2020 and the following outlook for the 2020 full year:</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Third Quarter 2020:</w:t>
      </w:r>
    </w:p>
    <w:p>
      <w:pPr>
        <w:spacing w:after="0" w:line="15" w:lineRule="exact"/>
        <w:rPr>
          <w:sz w:val="20"/>
          <w:szCs w:val="20"/>
          <w:color w:val="auto"/>
        </w:rPr>
      </w:pP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is estimated to be between US$66 million and US$70 million.</w:t>
      </w: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Revenue from Enterprise Solutions is estimated to be between US$7.5 million and US$9.5 million.</w:t>
      </w:r>
    </w:p>
    <w:p>
      <w:pPr>
        <w:ind w:left="400" w:hanging="392"/>
        <w:spacing w:after="0"/>
        <w:tabs>
          <w:tab w:leader="none" w:pos="400" w:val="left"/>
        </w:tabs>
        <w:numPr>
          <w:ilvl w:val="0"/>
          <w:numId w:val="3"/>
        </w:numPr>
        <w:rPr>
          <w:rFonts w:ascii="Arial" w:cs="Arial" w:eastAsia="Arial" w:hAnsi="Arial"/>
          <w:sz w:val="20"/>
          <w:szCs w:val="20"/>
          <w:color w:val="auto"/>
        </w:rPr>
      </w:pPr>
      <w:r>
        <w:rPr>
          <w:rFonts w:ascii="Arial" w:cs="Arial" w:eastAsia="Arial" w:hAnsi="Arial"/>
          <w:sz w:val="20"/>
          <w:szCs w:val="20"/>
          <w:color w:val="auto"/>
        </w:rPr>
        <w:t>Gross profit is estimated to be between US$18 million and US$22 million.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Full Year 2020:</w:t>
      </w:r>
    </w:p>
    <w:p>
      <w:pPr>
        <w:spacing w:after="0" w:line="10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is estimated to be between US$240 million and US$260 million.</w:t>
      </w:r>
    </w:p>
    <w:p>
      <w:pPr>
        <w:spacing w:after="0" w:line="15" w:lineRule="exact"/>
        <w:rPr>
          <w:rFonts w:ascii="Arial" w:cs="Arial" w:eastAsia="Arial" w:hAnsi="Arial"/>
          <w:sz w:val="20"/>
          <w:szCs w:val="20"/>
          <w:color w:val="auto"/>
        </w:rPr>
      </w:pP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profit is estimated to be between US$70 million and US$75 million.</w:t>
      </w:r>
    </w:p>
    <w:p>
      <w:pPr>
        <w:ind w:left="400" w:hanging="392"/>
        <w:spacing w:after="0"/>
        <w:tabs>
          <w:tab w:leader="none" w:pos="40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EBITDA is estimated to between US$9 million and US$12 million.</w:t>
      </w:r>
    </w:p>
    <w:p>
      <w:pPr>
        <w:spacing w:after="0" w:line="22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above outlook is based on current market conditions and reflects the Company’s preliminary estimates of market and operating conditions, expected foreign exchange fluctuation, and customer demand, which are all subject to change. Please also refer to the factors set out under the section titled “Safe Harbor Statement.”</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We noted that the advertising budgets normalized during the second quarter, especially in the online-gaming area, as a result of the relaxation of restrictions on economic and social life due to a slowdown of COVID-19 cases in China. E-commerce and online education continued to experience resilient year-over-year growth, which is primarily attributable to the increased spending in promotional campaigns, such as “June 18 Shopping Festival,” as well as summer courses. In the meantime, some other industry verticals such as automobile and consumer products began to gradually recover during the quarter. Based on the current commercial environment, we anticipate that brands may allocate more of their advertising budgets to mobile and online targeted marketing, with the potential to benefit our mobile and performance-focused Marketing Solutions business. Brands may also see the importance of online and offline consumer behavioural data integration and analysis, which may favour our Enterprise Solutions business in the long run.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 iClick’s diversified customer base of stable, top-tier brands, and the Chinese government’s efforts to contain the spread of the coronavirus, we remain cautiously optimistic for the second half of this year. However, outbreaks of COVID-19 around the world may continue to impact market conditions and potentially trigger a longer period of global economic slowdown. This could affect the overall sentiment and advertising budgets of our branding customers, which in turn may impact our Marketing Solution business in the short term. The rapid development and fluidity of the current situation precludes any prediction as to the ultimate adverse impact of COVID-19. Management will continue to closely monitor the outbreak’s impact on our operations and financial results this year and will particularly focus on business retention and accounts receivable recoverability.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Conference Call</w:t>
      </w:r>
    </w:p>
    <w:p>
      <w:pPr>
        <w:spacing w:after="0" w:line="221"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 xml:space="preserve">The Company will host an earnings conference call at 8:00 AM U.S. Eastern Time on August 24, 2020 (8:00 PM Beijing/Hong Kong time on August 24, 2020). A live and archived webcast of the conference call will be available on iClick’s investor relations website at </w:t>
      </w:r>
      <w:r>
        <w:rPr>
          <w:rFonts w:ascii="Arial" w:cs="Arial" w:eastAsia="Arial" w:hAnsi="Arial"/>
          <w:sz w:val="20"/>
          <w:szCs w:val="20"/>
          <w:u w:val="single" w:color="auto"/>
          <w:color w:val="auto"/>
        </w:rPr>
        <w:t>http://ir.i-click.com</w:t>
      </w:r>
      <w:r>
        <w:rPr>
          <w:rFonts w:ascii="Arial" w:cs="Arial" w:eastAsia="Arial" w:hAnsi="Arial"/>
          <w:sz w:val="20"/>
          <w:szCs w:val="20"/>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Dial-in details for the conference call are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United States:</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+1-888-346-8982</w:t>
            </w:r>
          </w:p>
        </w:tc>
      </w:tr>
      <w:tr>
        <w:trPr>
          <w:trHeight w:val="229"/>
        </w:trPr>
        <w:tc>
          <w:tcPr>
            <w:tcW w:w="1840" w:type="dxa"/>
            <w:vAlign w:val="bottom"/>
          </w:tcPr>
          <w:p>
            <w:pPr>
              <w:spacing w:after="0"/>
              <w:rPr>
                <w:sz w:val="20"/>
                <w:szCs w:val="20"/>
                <w:color w:val="auto"/>
              </w:rPr>
            </w:pPr>
            <w:r>
              <w:rPr>
                <w:rFonts w:ascii="Arial" w:cs="Arial" w:eastAsia="Arial" w:hAnsi="Arial"/>
                <w:sz w:val="20"/>
                <w:szCs w:val="20"/>
                <w:color w:val="auto"/>
              </w:rPr>
              <w:t>International:</w:t>
            </w:r>
          </w:p>
        </w:tc>
        <w:tc>
          <w:tcPr>
            <w:tcW w:w="1920" w:type="dxa"/>
            <w:vAlign w:val="bottom"/>
          </w:tcPr>
          <w:p>
            <w:pPr>
              <w:ind w:left="500"/>
              <w:spacing w:after="0"/>
              <w:rPr>
                <w:sz w:val="20"/>
                <w:szCs w:val="20"/>
                <w:color w:val="auto"/>
              </w:rPr>
            </w:pPr>
            <w:r>
              <w:rPr>
                <w:rFonts w:ascii="Arial" w:cs="Arial" w:eastAsia="Arial" w:hAnsi="Arial"/>
                <w:sz w:val="20"/>
                <w:szCs w:val="20"/>
                <w:color w:val="auto"/>
                <w:w w:val="90"/>
              </w:rPr>
              <w:t>+1-412-902-4272</w:t>
            </w:r>
          </w:p>
        </w:tc>
      </w:tr>
      <w:tr>
        <w:trPr>
          <w:trHeight w:val="230"/>
        </w:trPr>
        <w:tc>
          <w:tcPr>
            <w:tcW w:w="1840" w:type="dxa"/>
            <w:vAlign w:val="bottom"/>
          </w:tcPr>
          <w:p>
            <w:pPr>
              <w:spacing w:after="0"/>
              <w:rPr>
                <w:sz w:val="20"/>
                <w:szCs w:val="20"/>
                <w:color w:val="auto"/>
              </w:rPr>
            </w:pPr>
            <w:r>
              <w:rPr>
                <w:rFonts w:ascii="Arial" w:cs="Arial" w:eastAsia="Arial" w:hAnsi="Arial"/>
                <w:sz w:val="20"/>
                <w:szCs w:val="20"/>
                <w:color w:val="auto"/>
              </w:rPr>
              <w:t>Hong Kong:</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+852-800-905945</w:t>
            </w:r>
          </w:p>
        </w:tc>
      </w:tr>
      <w:tr>
        <w:trPr>
          <w:trHeight w:val="250"/>
        </w:trPr>
        <w:tc>
          <w:tcPr>
            <w:tcW w:w="1840" w:type="dxa"/>
            <w:vAlign w:val="bottom"/>
          </w:tcPr>
          <w:p>
            <w:pPr>
              <w:spacing w:after="0"/>
              <w:rPr>
                <w:sz w:val="20"/>
                <w:szCs w:val="20"/>
                <w:color w:val="auto"/>
              </w:rPr>
            </w:pPr>
            <w:r>
              <w:rPr>
                <w:rFonts w:ascii="Arial" w:cs="Arial" w:eastAsia="Arial" w:hAnsi="Arial"/>
                <w:sz w:val="20"/>
                <w:szCs w:val="20"/>
                <w:color w:val="auto"/>
              </w:rPr>
              <w:t>Mainland China:</w:t>
            </w:r>
          </w:p>
        </w:tc>
        <w:tc>
          <w:tcPr>
            <w:tcW w:w="1920" w:type="dxa"/>
            <w:vAlign w:val="bottom"/>
          </w:tcPr>
          <w:p>
            <w:pPr>
              <w:ind w:left="500"/>
              <w:spacing w:after="0"/>
              <w:rPr>
                <w:sz w:val="20"/>
                <w:szCs w:val="20"/>
                <w:color w:val="auto"/>
              </w:rPr>
            </w:pPr>
            <w:r>
              <w:rPr>
                <w:rFonts w:ascii="Arial" w:cs="Arial" w:eastAsia="Arial" w:hAnsi="Arial"/>
                <w:sz w:val="20"/>
                <w:szCs w:val="20"/>
                <w:color w:val="auto"/>
                <w:w w:val="88"/>
              </w:rPr>
              <w:t>+86-4001-201203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Participants please ask to join the iClick Interactive Asia Group Limited conference call.</w:t>
      </w:r>
    </w:p>
    <w:p>
      <w:pPr>
        <w:spacing w:after="0" w:line="243" w:lineRule="exact"/>
        <w:rPr>
          <w:sz w:val="20"/>
          <w:szCs w:val="20"/>
          <w:color w:val="auto"/>
        </w:rPr>
      </w:pPr>
    </w:p>
    <w:p>
      <w:pPr>
        <w:spacing w:after="0"/>
        <w:rPr>
          <w:sz w:val="20"/>
          <w:szCs w:val="20"/>
          <w:color w:val="auto"/>
        </w:rPr>
      </w:pPr>
      <w:r>
        <w:rPr>
          <w:rFonts w:ascii="Arial" w:cs="Arial" w:eastAsia="Arial" w:hAnsi="Arial"/>
          <w:sz w:val="19"/>
          <w:szCs w:val="19"/>
          <w:color w:val="auto"/>
        </w:rPr>
        <w:t>A replay of the conference call will be accessible by phone one hour after the conclusion of the live call at the following numbers, until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August 24, 2020:</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United States:</w:t>
            </w:r>
          </w:p>
        </w:tc>
        <w:tc>
          <w:tcPr>
            <w:tcW w:w="9240" w:type="dxa"/>
            <w:vAlign w:val="bottom"/>
          </w:tcPr>
          <w:p>
            <w:pPr>
              <w:ind w:left="320"/>
              <w:spacing w:after="0"/>
              <w:rPr>
                <w:sz w:val="20"/>
                <w:szCs w:val="20"/>
                <w:color w:val="auto"/>
              </w:rPr>
            </w:pPr>
            <w:r>
              <w:rPr>
                <w:rFonts w:ascii="Arial" w:cs="Arial" w:eastAsia="Arial" w:hAnsi="Arial"/>
                <w:sz w:val="20"/>
                <w:szCs w:val="20"/>
                <w:color w:val="auto"/>
              </w:rPr>
              <w:t>+1-877-344-7529</w:t>
            </w:r>
          </w:p>
        </w:tc>
      </w:tr>
      <w:tr>
        <w:trPr>
          <w:trHeight w:val="230"/>
        </w:trPr>
        <w:tc>
          <w:tcPr>
            <w:tcW w:w="2020" w:type="dxa"/>
            <w:vAlign w:val="bottom"/>
          </w:tcPr>
          <w:p>
            <w:pPr>
              <w:spacing w:after="0"/>
              <w:rPr>
                <w:sz w:val="20"/>
                <w:szCs w:val="20"/>
                <w:color w:val="auto"/>
              </w:rPr>
            </w:pPr>
            <w:r>
              <w:rPr>
                <w:rFonts w:ascii="Arial" w:cs="Arial" w:eastAsia="Arial" w:hAnsi="Arial"/>
                <w:sz w:val="20"/>
                <w:szCs w:val="20"/>
                <w:color w:val="auto"/>
              </w:rPr>
              <w:t>International:</w:t>
            </w:r>
          </w:p>
        </w:tc>
        <w:tc>
          <w:tcPr>
            <w:tcW w:w="9240" w:type="dxa"/>
            <w:vAlign w:val="bottom"/>
          </w:tcPr>
          <w:p>
            <w:pPr>
              <w:ind w:left="320"/>
              <w:spacing w:after="0"/>
              <w:rPr>
                <w:sz w:val="20"/>
                <w:szCs w:val="20"/>
                <w:color w:val="auto"/>
              </w:rPr>
            </w:pPr>
            <w:r>
              <w:rPr>
                <w:rFonts w:ascii="Arial" w:cs="Arial" w:eastAsia="Arial" w:hAnsi="Arial"/>
                <w:sz w:val="20"/>
                <w:szCs w:val="20"/>
                <w:color w:val="auto"/>
              </w:rPr>
              <w:t>+1-412-317-0088</w:t>
            </w:r>
          </w:p>
        </w:tc>
      </w:tr>
      <w:tr>
        <w:trPr>
          <w:trHeight w:val="229"/>
        </w:trPr>
        <w:tc>
          <w:tcPr>
            <w:tcW w:w="2020" w:type="dxa"/>
            <w:vAlign w:val="bottom"/>
          </w:tcPr>
          <w:p>
            <w:pPr>
              <w:spacing w:after="0"/>
              <w:rPr>
                <w:sz w:val="20"/>
                <w:szCs w:val="20"/>
                <w:color w:val="auto"/>
              </w:rPr>
            </w:pPr>
            <w:r>
              <w:rPr>
                <w:rFonts w:ascii="Arial" w:cs="Arial" w:eastAsia="Arial" w:hAnsi="Arial"/>
                <w:sz w:val="20"/>
                <w:szCs w:val="20"/>
                <w:color w:val="auto"/>
              </w:rPr>
              <w:t>Canada:</w:t>
            </w:r>
          </w:p>
        </w:tc>
        <w:tc>
          <w:tcPr>
            <w:tcW w:w="9240" w:type="dxa"/>
            <w:vAlign w:val="bottom"/>
          </w:tcPr>
          <w:p>
            <w:pPr>
              <w:ind w:left="320"/>
              <w:spacing w:after="0"/>
              <w:rPr>
                <w:sz w:val="20"/>
                <w:szCs w:val="20"/>
                <w:color w:val="auto"/>
              </w:rPr>
            </w:pPr>
            <w:r>
              <w:rPr>
                <w:rFonts w:ascii="Arial" w:cs="Arial" w:eastAsia="Arial" w:hAnsi="Arial"/>
                <w:sz w:val="20"/>
                <w:szCs w:val="20"/>
                <w:color w:val="auto"/>
              </w:rPr>
              <w:t>+1-855-669-9658</w:t>
            </w:r>
          </w:p>
        </w:tc>
      </w:tr>
      <w:tr>
        <w:trPr>
          <w:trHeight w:val="250"/>
        </w:trPr>
        <w:tc>
          <w:tcPr>
            <w:tcW w:w="2020" w:type="dxa"/>
            <w:vAlign w:val="bottom"/>
          </w:tcPr>
          <w:p>
            <w:pPr>
              <w:spacing w:after="0"/>
              <w:rPr>
                <w:sz w:val="20"/>
                <w:szCs w:val="20"/>
                <w:color w:val="auto"/>
              </w:rPr>
            </w:pPr>
            <w:r>
              <w:rPr>
                <w:rFonts w:ascii="Arial" w:cs="Arial" w:eastAsia="Arial" w:hAnsi="Arial"/>
                <w:sz w:val="20"/>
                <w:szCs w:val="20"/>
                <w:color w:val="auto"/>
              </w:rPr>
              <w:t>Replay Access Code:</w:t>
            </w:r>
          </w:p>
        </w:tc>
        <w:tc>
          <w:tcPr>
            <w:tcW w:w="9240" w:type="dxa"/>
            <w:vAlign w:val="bottom"/>
          </w:tcPr>
          <w:p>
            <w:pPr>
              <w:ind w:left="320"/>
              <w:spacing w:after="0"/>
              <w:rPr>
                <w:sz w:val="20"/>
                <w:szCs w:val="20"/>
                <w:color w:val="auto"/>
              </w:rPr>
            </w:pPr>
            <w:r>
              <w:rPr>
                <w:rFonts w:ascii="Arial" w:cs="Arial" w:eastAsia="Arial" w:hAnsi="Arial"/>
                <w:sz w:val="20"/>
                <w:szCs w:val="20"/>
                <w:color w:val="auto"/>
              </w:rPr>
              <w:t>10147144</w:t>
            </w:r>
          </w:p>
        </w:tc>
      </w:tr>
      <w:tr>
        <w:trPr>
          <w:trHeight w:val="354"/>
        </w:trPr>
        <w:tc>
          <w:tcPr>
            <w:tcW w:w="2020" w:type="dxa"/>
            <w:vAlign w:val="bottom"/>
            <w:tcBorders>
              <w:bottom w:val="single" w:sz="8" w:color="9A9A9A"/>
            </w:tcBorders>
          </w:tcPr>
          <w:p>
            <w:pPr>
              <w:spacing w:after="0"/>
              <w:rPr>
                <w:sz w:val="24"/>
                <w:szCs w:val="24"/>
                <w:color w:val="auto"/>
              </w:rPr>
            </w:pPr>
          </w:p>
        </w:tc>
        <w:tc>
          <w:tcPr>
            <w:tcW w:w="9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iClick Interactive Asia Group Limited (NASDAQ: ICLK) is an independent online marketing and enterprise data solutions provider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and is currently operating in ten locations worldwide including Asia and Europe. For more information, please visit ir.i-click.com.</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22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Company uses adjusted EBITDA, adjusted net income/(loss), and diluted adjusted net income/(loss) per ADS, each a non-GAAP financial measure, in evaluating the Company’s operating results and for financial and operational decision-making purposes.</w:t>
      </w:r>
    </w:p>
    <w:p>
      <w:pPr>
        <w:spacing w:after="0" w:line="17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The Company believes that adjusted EBITDA, adjusted net income/(loss), and diluted adjusted net income/(loss) per ADS help identify underlying trends in the Company’s business that could otherwise be distorted by the effect of the expenses and gains that the Company includes in net loss. The Company believes that adjusted EBITDA and adjusted net income/(loss)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Adjusted EBITDA, adjusted net income/(loss), and diluted adjusted net income/(loss)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income/(loss), and diluted adjusted net income/(loss)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more information on these non-GAAP financial measures, please see the table captioned “Unaudited Reconciliations of GAAP and Non-GAAP results” set forth at the end of this press release.</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Additionally, currency-neutral gross billing is calculated using actual exchange rates in use during the comparative prior year period to enhance the visibility of the underlying business trends excluding the impact of translation arising from foreign currency exchange rate fluctuations. These non-GAAP financial measures were presented with the most directly comparable GAAP financial measures together for facilitating a more comprehensive understanding of operating performance between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Safe Harbor Statement</w:t>
      </w:r>
    </w:p>
    <w:p>
      <w:pPr>
        <w:spacing w:after="0" w:line="22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This announcement contains forward-looking statements, including those related to the Company’s business strategies, operations and financial performance.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effectiveness of its algorithms and data engines; its ability to collect and use data from various sources; ability to integrate and realize synergies from acquisitions, investments or strategic partnership; the duration of the COVID-19 outbreak and its potential impact on the Company’s business and financial performance; fluctuations in foreign exchange rates; and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400" w:type="dxa"/>
            <w:vAlign w:val="bottom"/>
          </w:tcPr>
          <w:p>
            <w:pPr>
              <w:spacing w:after="0"/>
              <w:rPr>
                <w:sz w:val="20"/>
                <w:szCs w:val="20"/>
                <w:color w:val="auto"/>
              </w:rPr>
            </w:pPr>
            <w:r>
              <w:rPr>
                <w:rFonts w:ascii="Arial" w:cs="Arial" w:eastAsia="Arial" w:hAnsi="Arial"/>
                <w:sz w:val="20"/>
                <w:szCs w:val="20"/>
                <w:b w:val="1"/>
                <w:bCs w:val="1"/>
                <w:color w:val="auto"/>
                <w:w w:val="94"/>
              </w:rPr>
              <w:t>For investor and media inquiries, please contact:</w:t>
            </w:r>
          </w:p>
        </w:tc>
        <w:tc>
          <w:tcPr>
            <w:tcW w:w="6860" w:type="dxa"/>
            <w:vAlign w:val="bottom"/>
          </w:tcPr>
          <w:p>
            <w:pPr>
              <w:spacing w:after="0"/>
              <w:rPr>
                <w:sz w:val="22"/>
                <w:szCs w:val="22"/>
                <w:color w:val="auto"/>
              </w:rPr>
            </w:pPr>
          </w:p>
        </w:tc>
      </w:tr>
      <w:tr>
        <w:trPr>
          <w:trHeight w:val="446"/>
        </w:trPr>
        <w:tc>
          <w:tcPr>
            <w:tcW w:w="4400" w:type="dxa"/>
            <w:vAlign w:val="bottom"/>
          </w:tcPr>
          <w:p>
            <w:pPr>
              <w:spacing w:after="0"/>
              <w:rPr>
                <w:sz w:val="20"/>
                <w:szCs w:val="20"/>
                <w:color w:val="auto"/>
              </w:rPr>
            </w:pPr>
            <w:r>
              <w:rPr>
                <w:rFonts w:ascii="Arial" w:cs="Arial" w:eastAsia="Arial" w:hAnsi="Arial"/>
                <w:sz w:val="20"/>
                <w:szCs w:val="20"/>
                <w:b w:val="1"/>
                <w:bCs w:val="1"/>
                <w:color w:val="auto"/>
              </w:rPr>
              <w:t>In China:</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In the United States:</w:t>
            </w:r>
          </w:p>
        </w:tc>
      </w:tr>
      <w:tr>
        <w:trPr>
          <w:trHeight w:val="236"/>
        </w:trPr>
        <w:tc>
          <w:tcPr>
            <w:tcW w:w="4400" w:type="dxa"/>
            <w:vAlign w:val="bottom"/>
          </w:tcPr>
          <w:p>
            <w:pPr>
              <w:spacing w:after="0"/>
              <w:rPr>
                <w:sz w:val="20"/>
                <w:szCs w:val="20"/>
                <w:color w:val="auto"/>
              </w:rPr>
            </w:pPr>
            <w:r>
              <w:rPr>
                <w:rFonts w:ascii="Arial" w:cs="Arial" w:eastAsia="Arial" w:hAnsi="Arial"/>
                <w:sz w:val="20"/>
                <w:szCs w:val="20"/>
                <w:b w:val="1"/>
                <w:bCs w:val="1"/>
                <w:color w:val="auto"/>
              </w:rPr>
              <w:t>iClick Interactive Asia Group Limited</w:t>
            </w:r>
          </w:p>
        </w:tc>
        <w:tc>
          <w:tcPr>
            <w:tcW w:w="6860" w:type="dxa"/>
            <w:vAlign w:val="bottom"/>
          </w:tcPr>
          <w:p>
            <w:pPr>
              <w:ind w:left="1220"/>
              <w:spacing w:after="0"/>
              <w:rPr>
                <w:sz w:val="20"/>
                <w:szCs w:val="20"/>
                <w:color w:val="auto"/>
              </w:rPr>
            </w:pPr>
            <w:r>
              <w:rPr>
                <w:rFonts w:ascii="Arial" w:cs="Arial" w:eastAsia="Arial" w:hAnsi="Arial"/>
                <w:sz w:val="20"/>
                <w:szCs w:val="20"/>
                <w:b w:val="1"/>
                <w:bCs w:val="1"/>
                <w:color w:val="auto"/>
              </w:rPr>
              <w:t>Core IR</w:t>
            </w:r>
          </w:p>
        </w:tc>
      </w:tr>
      <w:tr>
        <w:trPr>
          <w:trHeight w:val="229"/>
        </w:trPr>
        <w:tc>
          <w:tcPr>
            <w:tcW w:w="4400" w:type="dxa"/>
            <w:vAlign w:val="bottom"/>
          </w:tcPr>
          <w:p>
            <w:pPr>
              <w:spacing w:after="0"/>
              <w:rPr>
                <w:sz w:val="20"/>
                <w:szCs w:val="20"/>
                <w:color w:val="auto"/>
              </w:rPr>
            </w:pPr>
            <w:r>
              <w:rPr>
                <w:rFonts w:ascii="Arial" w:cs="Arial" w:eastAsia="Arial" w:hAnsi="Arial"/>
                <w:sz w:val="20"/>
                <w:szCs w:val="20"/>
                <w:color w:val="auto"/>
              </w:rPr>
              <w:t>Lisa Li</w:t>
            </w:r>
          </w:p>
        </w:tc>
        <w:tc>
          <w:tcPr>
            <w:tcW w:w="6860" w:type="dxa"/>
            <w:vAlign w:val="bottom"/>
          </w:tcPr>
          <w:p>
            <w:pPr>
              <w:ind w:left="1220"/>
              <w:spacing w:after="0"/>
              <w:rPr>
                <w:sz w:val="20"/>
                <w:szCs w:val="20"/>
                <w:color w:val="auto"/>
              </w:rPr>
            </w:pPr>
            <w:r>
              <w:rPr>
                <w:rFonts w:ascii="Arial" w:cs="Arial" w:eastAsia="Arial" w:hAnsi="Arial"/>
                <w:sz w:val="20"/>
                <w:szCs w:val="20"/>
                <w:color w:val="auto"/>
              </w:rPr>
              <w:t>John Marco</w:t>
            </w:r>
          </w:p>
        </w:tc>
      </w:tr>
      <w:tr>
        <w:trPr>
          <w:trHeight w:val="230"/>
        </w:trPr>
        <w:tc>
          <w:tcPr>
            <w:tcW w:w="4400" w:type="dxa"/>
            <w:vAlign w:val="bottom"/>
          </w:tcPr>
          <w:p>
            <w:pPr>
              <w:spacing w:after="0"/>
              <w:rPr>
                <w:sz w:val="20"/>
                <w:szCs w:val="20"/>
                <w:color w:val="auto"/>
              </w:rPr>
            </w:pPr>
            <w:r>
              <w:rPr>
                <w:rFonts w:ascii="Arial" w:cs="Arial" w:eastAsia="Arial" w:hAnsi="Arial"/>
                <w:sz w:val="20"/>
                <w:szCs w:val="20"/>
                <w:color w:val="auto"/>
              </w:rPr>
              <w:t>Phone: +86-21-3230-3931 #892</w:t>
            </w:r>
          </w:p>
        </w:tc>
        <w:tc>
          <w:tcPr>
            <w:tcW w:w="6860" w:type="dxa"/>
            <w:vAlign w:val="bottom"/>
          </w:tcPr>
          <w:p>
            <w:pPr>
              <w:ind w:left="1220"/>
              <w:spacing w:after="0"/>
              <w:rPr>
                <w:sz w:val="20"/>
                <w:szCs w:val="20"/>
                <w:color w:val="auto"/>
              </w:rPr>
            </w:pPr>
            <w:r>
              <w:rPr>
                <w:rFonts w:ascii="Arial" w:cs="Arial" w:eastAsia="Arial" w:hAnsi="Arial"/>
                <w:sz w:val="20"/>
                <w:szCs w:val="20"/>
                <w:color w:val="auto"/>
              </w:rPr>
              <w:t>Tel: +1-516-222-2560</w:t>
            </w:r>
          </w:p>
        </w:tc>
      </w:tr>
      <w:tr>
        <w:trPr>
          <w:trHeight w:val="250"/>
        </w:trPr>
        <w:tc>
          <w:tcPr>
            <w:tcW w:w="4400" w:type="dxa"/>
            <w:vAlign w:val="bottom"/>
          </w:tcPr>
          <w:p>
            <w:pPr>
              <w:spacing w:after="0"/>
              <w:rPr>
                <w:sz w:val="20"/>
                <w:szCs w:val="20"/>
                <w:color w:val="auto"/>
              </w:rPr>
            </w:pPr>
            <w:r>
              <w:rPr>
                <w:rFonts w:ascii="Arial" w:cs="Arial" w:eastAsia="Arial" w:hAnsi="Arial"/>
                <w:sz w:val="20"/>
                <w:szCs w:val="20"/>
                <w:color w:val="auto"/>
              </w:rPr>
              <w:t>E-mail: ir@i-click.com</w:t>
            </w:r>
          </w:p>
        </w:tc>
        <w:tc>
          <w:tcPr>
            <w:tcW w:w="6860" w:type="dxa"/>
            <w:vAlign w:val="bottom"/>
          </w:tcPr>
          <w:p>
            <w:pPr>
              <w:ind w:left="1220"/>
              <w:spacing w:after="0"/>
              <w:rPr>
                <w:sz w:val="20"/>
                <w:szCs w:val="20"/>
                <w:color w:val="auto"/>
              </w:rPr>
            </w:pPr>
            <w:r>
              <w:rPr>
                <w:rFonts w:ascii="Arial" w:cs="Arial" w:eastAsia="Arial" w:hAnsi="Arial"/>
                <w:sz w:val="20"/>
                <w:szCs w:val="20"/>
                <w:color w:val="auto"/>
              </w:rPr>
              <w:t>E-mail: johnm@coreir.com</w:t>
            </w:r>
          </w:p>
        </w:tc>
      </w:tr>
      <w:tr>
        <w:trPr>
          <w:trHeight w:val="473"/>
        </w:trPr>
        <w:tc>
          <w:tcPr>
            <w:tcW w:w="4400" w:type="dxa"/>
            <w:vAlign w:val="bottom"/>
          </w:tcPr>
          <w:p>
            <w:pPr>
              <w:spacing w:after="0"/>
              <w:rPr>
                <w:sz w:val="24"/>
                <w:szCs w:val="24"/>
                <w:color w:val="auto"/>
              </w:rPr>
            </w:pPr>
          </w:p>
        </w:tc>
        <w:tc>
          <w:tcPr>
            <w:tcW w:w="6860" w:type="dxa"/>
            <w:vAlign w:val="bottom"/>
          </w:tcPr>
          <w:p>
            <w:pPr>
              <w:ind w:left="280"/>
              <w:spacing w:after="0"/>
              <w:rPr>
                <w:sz w:val="20"/>
                <w:szCs w:val="20"/>
                <w:color w:val="auto"/>
              </w:rPr>
            </w:pPr>
            <w:r>
              <w:rPr>
                <w:rFonts w:ascii="Arial" w:cs="Arial" w:eastAsia="Arial" w:hAnsi="Arial"/>
                <w:sz w:val="20"/>
                <w:szCs w:val="20"/>
                <w:color w:val="auto"/>
              </w:rPr>
              <w:t>(financial tables follow)</w:t>
            </w:r>
          </w:p>
        </w:tc>
      </w:tr>
      <w:tr>
        <w:trPr>
          <w:trHeight w:val="111"/>
        </w:trPr>
        <w:tc>
          <w:tcPr>
            <w:tcW w:w="440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Unaudited Condensed Consolidated Statements of Comprehensive Loss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58,113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49,347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107,148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88,565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Cost of revenue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(41,498)</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(35,751)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(77,270)</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(62,579)</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16,615</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13,596</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29,878</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(1,126)</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(1,505)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(2,300)</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(8,768)</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(10,872)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(17,116)</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(20,868)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(5,320)</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(11,127)</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Total operating expenses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(15,977)</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(30,543)</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income/(loss)</w:t>
            </w:r>
          </w:p>
        </w:tc>
        <w:tc>
          <w:tcPr>
            <w:tcW w:w="1140" w:type="dxa"/>
            <w:vAlign w:val="bottom"/>
          </w:tcPr>
          <w:p>
            <w:pPr>
              <w:jc w:val="right"/>
              <w:spacing w:after="0"/>
              <w:rPr>
                <w:sz w:val="20"/>
                <w:szCs w:val="20"/>
                <w:color w:val="auto"/>
              </w:rPr>
            </w:pPr>
            <w:r>
              <w:rPr>
                <w:rFonts w:ascii="Arial" w:cs="Arial" w:eastAsia="Arial" w:hAnsi="Arial"/>
                <w:sz w:val="18"/>
                <w:szCs w:val="18"/>
                <w:color w:val="auto"/>
              </w:rPr>
              <w:t>1,401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(2,381)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(580)</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(332)</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Interest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Other gains, net</w:t>
            </w:r>
          </w:p>
        </w:tc>
        <w:tc>
          <w:tcPr>
            <w:tcW w:w="1140" w:type="dxa"/>
            <w:vAlign w:val="bottom"/>
          </w:tcPr>
          <w:p>
            <w:pPr>
              <w:jc w:val="right"/>
              <w:spacing w:after="0"/>
              <w:rPr>
                <w:sz w:val="20"/>
                <w:szCs w:val="20"/>
                <w:color w:val="auto"/>
              </w:rPr>
            </w:pPr>
            <w:r>
              <w:rPr>
                <w:rFonts w:ascii="Arial" w:cs="Arial" w:eastAsia="Arial" w:hAnsi="Arial"/>
                <w:sz w:val="18"/>
                <w:szCs w:val="18"/>
                <w:color w:val="auto"/>
              </w:rPr>
              <w:t>1,483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1,388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Fair value losses on derivative liabilities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(1,567)</w:t>
            </w:r>
          </w:p>
        </w:tc>
        <w:tc>
          <w:tcPr>
            <w:tcW w:w="22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(5,123)</w:t>
            </w: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(991)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(3,007)</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Income/(loss) before income tax expense</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(8,060)</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Share of losses from an equity investee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Income tax expense</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(404)</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Net income/(loss) attributable to iClick Interactive Asia</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Group Limited’s ordinary shareholders</w:t>
            </w:r>
          </w:p>
        </w:tc>
        <w:tc>
          <w:tcPr>
            <w:tcW w:w="1140" w:type="dxa"/>
            <w:vAlign w:val="bottom"/>
          </w:tcPr>
          <w:p>
            <w:pPr>
              <w:jc w:val="right"/>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(3,141)</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(7,352)</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84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(3,244)</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(8,449)</w:t>
            </w: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(5,713)</w:t>
            </w: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Other comprehensive (loss)/income:</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 net of</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380"/>
              <w:spacing w:after="0"/>
              <w:rPr>
                <w:sz w:val="20"/>
                <w:szCs w:val="20"/>
                <w:color w:val="auto"/>
              </w:rPr>
            </w:pPr>
            <w:r>
              <w:rPr>
                <w:rFonts w:ascii="Arial" w:cs="Arial" w:eastAsia="Arial" w:hAnsi="Arial"/>
                <w:sz w:val="18"/>
                <w:szCs w:val="18"/>
                <w:color w:val="auto"/>
              </w:rPr>
              <w:t>US$nil tax</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(504)</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(836)</w:t>
            </w:r>
          </w:p>
        </w:tc>
        <w:tc>
          <w:tcPr>
            <w:tcW w:w="1140" w:type="dxa"/>
            <w:vAlign w:val="bottom"/>
          </w:tcPr>
          <w:p>
            <w:pPr>
              <w:jc w:val="right"/>
              <w:spacing w:after="0"/>
              <w:rPr>
                <w:sz w:val="20"/>
                <w:szCs w:val="20"/>
                <w:color w:val="auto"/>
              </w:rPr>
            </w:pPr>
            <w:r>
              <w:rPr>
                <w:rFonts w:ascii="Arial" w:cs="Arial" w:eastAsia="Arial" w:hAnsi="Arial"/>
                <w:sz w:val="18"/>
                <w:szCs w:val="18"/>
                <w:color w:val="auto"/>
              </w:rPr>
              <w:t>612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loss</w:t>
            </w: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8"/>
        </w:trPr>
        <w:tc>
          <w:tcPr>
            <w:tcW w:w="5840" w:type="dxa"/>
            <w:vAlign w:val="bottom"/>
            <w:vMerge w:val="continue"/>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(4,080)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(7,837)</w:t>
            </w: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(5,624)</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noncontrolling</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interests</w:t>
            </w:r>
          </w:p>
        </w:tc>
        <w:tc>
          <w:tcPr>
            <w:tcW w:w="114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Comprehensive loss attributable to iClick Interactive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(3,977)</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(6,722)</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(5,187)</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income/(loss) per ADS attributable to iClick Interactive</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Asia Group Limited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0.0051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(0.0600)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(0.1056)</w:t>
            </w: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(0.0900)</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Pr>
          <w:p>
            <w:pPr>
              <w:jc w:val="right"/>
              <w:spacing w:after="0"/>
              <w:rPr>
                <w:sz w:val="20"/>
                <w:szCs w:val="20"/>
                <w:color w:val="auto"/>
              </w:rPr>
            </w:pPr>
            <w:r>
              <w:rPr>
                <w:rFonts w:ascii="Arial" w:cs="Arial" w:eastAsia="Arial" w:hAnsi="Arial"/>
                <w:sz w:val="18"/>
                <w:szCs w:val="18"/>
                <w:color w:val="auto"/>
              </w:rPr>
              <w:t>0.0047</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(0.0600)</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(0.1056)</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(0.0900)</w:t>
            </w:r>
          </w:p>
        </w:tc>
        <w:tc>
          <w:tcPr>
            <w:tcW w:w="0" w:type="dxa"/>
            <w:vAlign w:val="bottom"/>
          </w:tcPr>
          <w:p>
            <w:pPr>
              <w:spacing w:after="0"/>
              <w:rPr>
                <w:sz w:val="1"/>
                <w:szCs w:val="1"/>
                <w:color w:val="auto"/>
              </w:rPr>
            </w:pPr>
          </w:p>
        </w:tc>
      </w:tr>
      <w:tr>
        <w:trPr>
          <w:trHeight w:val="441"/>
        </w:trPr>
        <w:tc>
          <w:tcPr>
            <w:tcW w:w="58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40"/>
              <w:spacing w:after="0"/>
              <w:rPr>
                <w:sz w:val="20"/>
                <w:szCs w:val="20"/>
                <w:color w:val="auto"/>
              </w:rPr>
            </w:pPr>
            <w:r>
              <w:rPr>
                <w:rFonts w:ascii="Arial" w:cs="Arial" w:eastAsia="Arial" w:hAnsi="Arial"/>
                <w:sz w:val="18"/>
                <w:szCs w:val="18"/>
                <w:b w:val="1"/>
                <w:bCs w:val="1"/>
                <w:color w:val="auto"/>
              </w:rPr>
              <w:t>share calculation:</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Basic</w:t>
            </w:r>
          </w:p>
        </w:tc>
        <w:tc>
          <w:tcPr>
            <w:tcW w:w="1140" w:type="dxa"/>
            <w:vAlign w:val="bottom"/>
          </w:tcPr>
          <w:p>
            <w:pPr>
              <w:jc w:val="right"/>
              <w:spacing w:after="0"/>
              <w:rPr>
                <w:sz w:val="20"/>
                <w:szCs w:val="20"/>
                <w:color w:val="auto"/>
              </w:rPr>
            </w:pPr>
            <w:r>
              <w:rPr>
                <w:rFonts w:ascii="Arial" w:cs="Arial" w:eastAsia="Arial" w:hAnsi="Arial"/>
                <w:sz w:val="18"/>
                <w:szCs w:val="18"/>
                <w:color w:val="auto"/>
              </w:rPr>
              <w:t>74,804,895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57,021,120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69,590,308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56,700,646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 Diluted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80,592,538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57,021,120</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69,590,308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56,700,646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8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(US$’000, except share data and per share data, or otherwise noted,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720" w:type="dxa"/>
            <w:vAlign w:val="bottom"/>
          </w:tcPr>
          <w:p>
            <w:pPr>
              <w:spacing w:after="0"/>
              <w:rPr>
                <w:sz w:val="12"/>
                <w:szCs w:val="12"/>
                <w:color w:val="auto"/>
              </w:rPr>
            </w:pPr>
          </w:p>
        </w:tc>
        <w:tc>
          <w:tcPr>
            <w:tcW w:w="1120" w:type="dxa"/>
            <w:vAlign w:val="bottom"/>
          </w:tcPr>
          <w:p>
            <w:pPr>
              <w:jc w:val="center"/>
              <w:ind w:left="382"/>
              <w:spacing w:after="0"/>
              <w:rPr>
                <w:sz w:val="20"/>
                <w:szCs w:val="20"/>
                <w:color w:val="auto"/>
              </w:rPr>
            </w:pPr>
            <w:r>
              <w:rPr>
                <w:rFonts w:ascii="Arial" w:cs="Arial" w:eastAsia="Arial" w:hAnsi="Arial"/>
                <w:sz w:val="12"/>
                <w:szCs w:val="12"/>
                <w:b w:val="1"/>
                <w:bCs w:val="1"/>
                <w:color w:val="auto"/>
                <w:w w:val="79"/>
              </w:rPr>
              <w:t>As of</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gridSpan w:val="2"/>
          </w:tcPr>
          <w:p>
            <w:pPr>
              <w:jc w:val="right"/>
              <w:ind w:right="700"/>
              <w:spacing w:after="0"/>
              <w:rPr>
                <w:sz w:val="20"/>
                <w:szCs w:val="20"/>
                <w:color w:val="auto"/>
              </w:rPr>
            </w:pPr>
            <w:r>
              <w:rPr>
                <w:rFonts w:ascii="Arial" w:cs="Arial" w:eastAsia="Arial" w:hAnsi="Arial"/>
                <w:sz w:val="12"/>
                <w:szCs w:val="12"/>
                <w:b w:val="1"/>
                <w:bCs w:val="1"/>
                <w:color w:val="auto"/>
              </w:rPr>
              <w:t>As of</w:t>
            </w:r>
          </w:p>
        </w:tc>
      </w:tr>
      <w:tr>
        <w:trPr>
          <w:trHeight w:val="143"/>
        </w:trPr>
        <w:tc>
          <w:tcPr>
            <w:tcW w:w="7720" w:type="dxa"/>
            <w:vAlign w:val="bottom"/>
          </w:tcPr>
          <w:p>
            <w:pPr>
              <w:spacing w:after="0"/>
              <w:rPr>
                <w:sz w:val="12"/>
                <w:szCs w:val="12"/>
                <w:color w:val="auto"/>
              </w:rPr>
            </w:pPr>
          </w:p>
        </w:tc>
        <w:tc>
          <w:tcPr>
            <w:tcW w:w="1120" w:type="dxa"/>
            <w:vAlign w:val="bottom"/>
            <w:tcBorders>
              <w:bottom w:val="single" w:sz="8" w:color="auto"/>
            </w:tcBorders>
          </w:tcPr>
          <w:p>
            <w:pPr>
              <w:jc w:val="center"/>
              <w:ind w:left="382"/>
              <w:spacing w:after="0"/>
              <w:rPr>
                <w:sz w:val="20"/>
                <w:szCs w:val="20"/>
                <w:color w:val="auto"/>
              </w:rPr>
            </w:pPr>
            <w:r>
              <w:rPr>
                <w:rFonts w:ascii="Arial" w:cs="Arial" w:eastAsia="Arial" w:hAnsi="Arial"/>
                <w:sz w:val="12"/>
                <w:szCs w:val="12"/>
                <w:b w:val="1"/>
                <w:bCs w:val="1"/>
                <w:color w:val="auto"/>
                <w:w w:val="87"/>
              </w:rPr>
              <w:t>June 30, 2020</w:t>
            </w:r>
          </w:p>
        </w:tc>
        <w:tc>
          <w:tcPr>
            <w:tcW w:w="4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December 31, 2019</w:t>
            </w:r>
          </w:p>
        </w:tc>
        <w:tc>
          <w:tcPr>
            <w:tcW w:w="40" w:type="dxa"/>
            <w:vAlign w:val="bottom"/>
          </w:tcPr>
          <w:p>
            <w:pPr>
              <w:spacing w:after="0"/>
              <w:rPr>
                <w:sz w:val="12"/>
                <w:szCs w:val="12"/>
                <w:color w:val="auto"/>
              </w:rPr>
            </w:pPr>
          </w:p>
        </w:tc>
      </w:tr>
      <w:tr>
        <w:trPr>
          <w:trHeight w:val="147"/>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Assets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0"/>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Current assets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Cash and cash equivalents</w:t>
            </w:r>
          </w:p>
        </w:tc>
        <w:tc>
          <w:tcPr>
            <w:tcW w:w="440" w:type="dxa"/>
            <w:vAlign w:val="bottom"/>
          </w:tcPr>
          <w:p>
            <w:pPr>
              <w:jc w:val="right"/>
              <w:spacing w:after="0"/>
              <w:rPr>
                <w:sz w:val="20"/>
                <w:szCs w:val="20"/>
                <w:color w:val="auto"/>
              </w:rPr>
            </w:pPr>
            <w:r>
              <w:rPr>
                <w:rFonts w:ascii="Arial" w:cs="Arial" w:eastAsia="Arial" w:hAnsi="Arial"/>
                <w:sz w:val="12"/>
                <w:szCs w:val="12"/>
                <w:color w:val="auto"/>
              </w:rPr>
              <w:t>39,355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36,854</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Time deposits</w:t>
            </w:r>
          </w:p>
        </w:tc>
        <w:tc>
          <w:tcPr>
            <w:tcW w:w="440" w:type="dxa"/>
            <w:vAlign w:val="bottom"/>
          </w:tcPr>
          <w:p>
            <w:pPr>
              <w:jc w:val="right"/>
              <w:spacing w:after="0"/>
              <w:rPr>
                <w:sz w:val="20"/>
                <w:szCs w:val="20"/>
                <w:color w:val="auto"/>
              </w:rPr>
            </w:pPr>
            <w:r>
              <w:rPr>
                <w:rFonts w:ascii="Arial" w:cs="Arial" w:eastAsia="Arial" w:hAnsi="Arial"/>
                <w:sz w:val="12"/>
                <w:szCs w:val="12"/>
                <w:color w:val="auto"/>
              </w:rPr>
              <w:t>473</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410</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Restricted cash</w:t>
            </w:r>
          </w:p>
        </w:tc>
        <w:tc>
          <w:tcPr>
            <w:tcW w:w="440" w:type="dxa"/>
            <w:vAlign w:val="bottom"/>
          </w:tcPr>
          <w:p>
            <w:pPr>
              <w:jc w:val="right"/>
              <w:spacing w:after="0"/>
              <w:rPr>
                <w:sz w:val="20"/>
                <w:szCs w:val="20"/>
                <w:color w:val="auto"/>
              </w:rPr>
            </w:pPr>
            <w:r>
              <w:rPr>
                <w:rFonts w:ascii="Arial" w:cs="Arial" w:eastAsia="Arial" w:hAnsi="Arial"/>
                <w:sz w:val="12"/>
                <w:szCs w:val="12"/>
                <w:color w:val="auto"/>
              </w:rPr>
              <w:t>24,379</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23,852</w:t>
            </w:r>
          </w:p>
        </w:tc>
        <w:tc>
          <w:tcPr>
            <w:tcW w:w="40" w:type="dxa"/>
            <w:vAlign w:val="bottom"/>
          </w:tcPr>
          <w:p>
            <w:pPr>
              <w:spacing w:after="0"/>
              <w:rPr>
                <w:sz w:val="12"/>
                <w:szCs w:val="12"/>
                <w:color w:val="auto"/>
              </w:rPr>
            </w:pPr>
          </w:p>
        </w:tc>
      </w:tr>
      <w:tr>
        <w:trPr>
          <w:trHeight w:val="126"/>
        </w:trPr>
        <w:tc>
          <w:tcPr>
            <w:tcW w:w="8840" w:type="dxa"/>
            <w:vAlign w:val="bottom"/>
            <w:gridSpan w:val="2"/>
          </w:tcPr>
          <w:p>
            <w:pPr>
              <w:spacing w:after="0" w:line="126" w:lineRule="exact"/>
              <w:rPr>
                <w:sz w:val="20"/>
                <w:szCs w:val="20"/>
                <w:color w:val="auto"/>
              </w:rPr>
            </w:pPr>
            <w:r>
              <w:rPr>
                <w:rFonts w:ascii="Arial" w:cs="Arial" w:eastAsia="Arial" w:hAnsi="Arial"/>
                <w:sz w:val="12"/>
                <w:szCs w:val="12"/>
                <w:color w:val="auto"/>
              </w:rPr>
              <w:t>Accounts receivable, net of allowance for doubtful receivables of US$7,147 and US$3,469 as of</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58"/>
        </w:trPr>
        <w:tc>
          <w:tcPr>
            <w:tcW w:w="8840" w:type="dxa"/>
            <w:vAlign w:val="bottom"/>
            <w:gridSpan w:val="2"/>
          </w:tcPr>
          <w:p>
            <w:pPr>
              <w:ind w:left="100"/>
              <w:spacing w:after="0" w:line="158" w:lineRule="exact"/>
              <w:rPr>
                <w:sz w:val="20"/>
                <w:szCs w:val="20"/>
                <w:color w:val="auto"/>
              </w:rPr>
            </w:pPr>
            <w:r>
              <w:rPr>
                <w:rFonts w:ascii="Arial" w:cs="Arial" w:eastAsia="Arial" w:hAnsi="Arial"/>
                <w:sz w:val="11"/>
                <w:szCs w:val="11"/>
                <w:color w:val="auto"/>
              </w:rPr>
              <w:t>June 30, 2020 and December 31, 2019 respectively</w:t>
            </w:r>
            <w:r>
              <w:rPr>
                <w:rFonts w:ascii="Arial" w:cs="Arial" w:eastAsia="Arial" w:hAnsi="Arial"/>
                <w:sz w:val="18"/>
                <w:szCs w:val="18"/>
                <w:color w:val="auto"/>
                <w:vertAlign w:val="superscript"/>
              </w:rPr>
              <w:t>3</w:t>
            </w:r>
          </w:p>
        </w:tc>
        <w:tc>
          <w:tcPr>
            <w:tcW w:w="440" w:type="dxa"/>
            <w:vAlign w:val="bottom"/>
          </w:tcPr>
          <w:p>
            <w:pPr>
              <w:jc w:val="right"/>
              <w:spacing w:after="0"/>
              <w:rPr>
                <w:sz w:val="20"/>
                <w:szCs w:val="20"/>
                <w:color w:val="auto"/>
              </w:rPr>
            </w:pPr>
            <w:r>
              <w:rPr>
                <w:rFonts w:ascii="Arial" w:cs="Arial" w:eastAsia="Arial" w:hAnsi="Arial"/>
                <w:sz w:val="12"/>
                <w:szCs w:val="12"/>
                <w:color w:val="auto"/>
                <w:w w:val="92"/>
              </w:rPr>
              <w:t>123,245</w:t>
            </w:r>
          </w:p>
        </w:tc>
        <w:tc>
          <w:tcPr>
            <w:tcW w:w="28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143,971</w:t>
            </w:r>
          </w:p>
        </w:tc>
        <w:tc>
          <w:tcPr>
            <w:tcW w:w="40" w:type="dxa"/>
            <w:vAlign w:val="bottom"/>
          </w:tcPr>
          <w:p>
            <w:pPr>
              <w:spacing w:after="0"/>
              <w:rPr>
                <w:sz w:val="13"/>
                <w:szCs w:val="13"/>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Prepaid media costs</w:t>
            </w:r>
          </w:p>
        </w:tc>
        <w:tc>
          <w:tcPr>
            <w:tcW w:w="440" w:type="dxa"/>
            <w:vAlign w:val="bottom"/>
          </w:tcPr>
          <w:p>
            <w:pPr>
              <w:jc w:val="right"/>
              <w:spacing w:after="0"/>
              <w:rPr>
                <w:sz w:val="20"/>
                <w:szCs w:val="20"/>
                <w:color w:val="auto"/>
              </w:rPr>
            </w:pPr>
            <w:r>
              <w:rPr>
                <w:rFonts w:ascii="Arial" w:cs="Arial" w:eastAsia="Arial" w:hAnsi="Arial"/>
                <w:sz w:val="12"/>
                <w:szCs w:val="12"/>
                <w:color w:val="auto"/>
              </w:rPr>
              <w:t>17,337</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25,565</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Short-term investments</w:t>
            </w:r>
          </w:p>
        </w:tc>
        <w:tc>
          <w:tcPr>
            <w:tcW w:w="440" w:type="dxa"/>
            <w:vAlign w:val="bottom"/>
          </w:tcPr>
          <w:p>
            <w:pPr>
              <w:jc w:val="right"/>
              <w:spacing w:after="0"/>
              <w:rPr>
                <w:sz w:val="20"/>
                <w:szCs w:val="20"/>
                <w:color w:val="auto"/>
              </w:rPr>
            </w:pPr>
            <w:r>
              <w:rPr>
                <w:rFonts w:ascii="Arial" w:cs="Arial" w:eastAsia="Arial" w:hAnsi="Arial"/>
                <w:sz w:val="12"/>
                <w:szCs w:val="12"/>
                <w:color w:val="auto"/>
              </w:rPr>
              <w:t>4,952</w:t>
            </w:r>
          </w:p>
        </w:tc>
        <w:tc>
          <w:tcPr>
            <w:tcW w:w="280" w:type="dxa"/>
            <w:vAlign w:val="bottom"/>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Amount due from an equity investee</w:t>
            </w:r>
          </w:p>
        </w:tc>
        <w:tc>
          <w:tcPr>
            <w:tcW w:w="440" w:type="dxa"/>
            <w:vAlign w:val="bottom"/>
          </w:tcPr>
          <w:p>
            <w:pPr>
              <w:jc w:val="right"/>
              <w:spacing w:after="0"/>
              <w:rPr>
                <w:sz w:val="20"/>
                <w:szCs w:val="20"/>
                <w:color w:val="auto"/>
              </w:rPr>
            </w:pPr>
            <w:r>
              <w:rPr>
                <w:rFonts w:ascii="Arial" w:cs="Arial" w:eastAsia="Arial" w:hAnsi="Arial"/>
                <w:sz w:val="12"/>
                <w:szCs w:val="12"/>
                <w:color w:val="auto"/>
              </w:rPr>
              <w:t>199</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155</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Rebate receivable</w:t>
            </w:r>
          </w:p>
        </w:tc>
        <w:tc>
          <w:tcPr>
            <w:tcW w:w="440" w:type="dxa"/>
            <w:vAlign w:val="bottom"/>
          </w:tcPr>
          <w:p>
            <w:pPr>
              <w:jc w:val="right"/>
              <w:spacing w:after="0"/>
              <w:rPr>
                <w:sz w:val="20"/>
                <w:szCs w:val="20"/>
                <w:color w:val="auto"/>
              </w:rPr>
            </w:pPr>
            <w:r>
              <w:rPr>
                <w:rFonts w:ascii="Arial" w:cs="Arial" w:eastAsia="Arial" w:hAnsi="Arial"/>
                <w:sz w:val="12"/>
                <w:szCs w:val="12"/>
                <w:color w:val="auto"/>
              </w:rPr>
              <w:t>5,971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5,603</w:t>
            </w:r>
          </w:p>
        </w:tc>
        <w:tc>
          <w:tcPr>
            <w:tcW w:w="40" w:type="dxa"/>
            <w:vAlign w:val="bottom"/>
          </w:tcPr>
          <w:p>
            <w:pPr>
              <w:spacing w:after="0"/>
              <w:rPr>
                <w:sz w:val="12"/>
                <w:szCs w:val="12"/>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color w:val="auto"/>
              </w:rPr>
              <w:t>Other current assets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13,747</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8,983</w:t>
            </w:r>
          </w:p>
        </w:tc>
        <w:tc>
          <w:tcPr>
            <w:tcW w:w="40" w:type="dxa"/>
            <w:vAlign w:val="bottom"/>
          </w:tcPr>
          <w:p>
            <w:pPr>
              <w:spacing w:after="0"/>
              <w:rPr>
                <w:sz w:val="12"/>
                <w:szCs w:val="12"/>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current assets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229,658</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245,393</w:t>
            </w:r>
          </w:p>
        </w:tc>
        <w:tc>
          <w:tcPr>
            <w:tcW w:w="40" w:type="dxa"/>
            <w:vAlign w:val="bottom"/>
          </w:tcPr>
          <w:p>
            <w:pPr>
              <w:spacing w:after="0"/>
              <w:rPr>
                <w:sz w:val="12"/>
                <w:szCs w:val="12"/>
                <w:color w:val="auto"/>
              </w:rPr>
            </w:pPr>
          </w:p>
        </w:tc>
      </w:tr>
      <w:tr>
        <w:trPr>
          <w:trHeight w:val="298"/>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Non-current assets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Goodwill</w:t>
            </w:r>
          </w:p>
        </w:tc>
        <w:tc>
          <w:tcPr>
            <w:tcW w:w="440" w:type="dxa"/>
            <w:vAlign w:val="bottom"/>
          </w:tcPr>
          <w:p>
            <w:pPr>
              <w:jc w:val="right"/>
              <w:spacing w:after="0"/>
              <w:rPr>
                <w:sz w:val="20"/>
                <w:szCs w:val="20"/>
                <w:color w:val="auto"/>
              </w:rPr>
            </w:pPr>
            <w:r>
              <w:rPr>
                <w:rFonts w:ascii="Arial" w:cs="Arial" w:eastAsia="Arial" w:hAnsi="Arial"/>
                <w:sz w:val="12"/>
                <w:szCs w:val="12"/>
                <w:color w:val="auto"/>
              </w:rPr>
              <w:t>65,710</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65,710</w:t>
            </w:r>
          </w:p>
        </w:tc>
        <w:tc>
          <w:tcPr>
            <w:tcW w:w="40" w:type="dxa"/>
            <w:vAlign w:val="bottom"/>
          </w:tcPr>
          <w:p>
            <w:pPr>
              <w:spacing w:after="0"/>
              <w:rPr>
                <w:sz w:val="12"/>
                <w:szCs w:val="12"/>
                <w:color w:val="auto"/>
              </w:rPr>
            </w:pPr>
          </w:p>
        </w:tc>
      </w:tr>
      <w:tr>
        <w:trPr>
          <w:trHeight w:val="149"/>
        </w:trPr>
        <w:tc>
          <w:tcPr>
            <w:tcW w:w="8840" w:type="dxa"/>
            <w:vAlign w:val="bottom"/>
            <w:gridSpan w:val="2"/>
          </w:tcPr>
          <w:p>
            <w:pPr>
              <w:spacing w:after="0"/>
              <w:rPr>
                <w:sz w:val="20"/>
                <w:szCs w:val="20"/>
                <w:color w:val="auto"/>
              </w:rPr>
            </w:pPr>
            <w:r>
              <w:rPr>
                <w:rFonts w:ascii="Arial" w:cs="Arial" w:eastAsia="Arial" w:hAnsi="Arial"/>
                <w:sz w:val="12"/>
                <w:szCs w:val="12"/>
                <w:color w:val="auto"/>
              </w:rPr>
              <w:t>Intangible assets, net</w:t>
            </w:r>
          </w:p>
        </w:tc>
        <w:tc>
          <w:tcPr>
            <w:tcW w:w="440" w:type="dxa"/>
            <w:vAlign w:val="bottom"/>
          </w:tcPr>
          <w:p>
            <w:pPr>
              <w:jc w:val="right"/>
              <w:spacing w:after="0"/>
              <w:rPr>
                <w:sz w:val="20"/>
                <w:szCs w:val="20"/>
                <w:color w:val="auto"/>
              </w:rPr>
            </w:pPr>
            <w:r>
              <w:rPr>
                <w:rFonts w:ascii="Arial" w:cs="Arial" w:eastAsia="Arial" w:hAnsi="Arial"/>
                <w:sz w:val="12"/>
                <w:szCs w:val="12"/>
                <w:color w:val="auto"/>
              </w:rPr>
              <w:t>55,175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4,418</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Prepayment for long-term investments</w:t>
            </w:r>
          </w:p>
        </w:tc>
        <w:tc>
          <w:tcPr>
            <w:tcW w:w="440" w:type="dxa"/>
            <w:vAlign w:val="bottom"/>
          </w:tcPr>
          <w:p>
            <w:pPr>
              <w:jc w:val="right"/>
              <w:spacing w:after="0"/>
              <w:rPr>
                <w:sz w:val="20"/>
                <w:szCs w:val="20"/>
                <w:color w:val="auto"/>
              </w:rPr>
            </w:pPr>
            <w:r>
              <w:rPr>
                <w:rFonts w:ascii="Arial" w:cs="Arial" w:eastAsia="Arial" w:hAnsi="Arial"/>
                <w:sz w:val="12"/>
                <w:szCs w:val="12"/>
                <w:color w:val="auto"/>
              </w:rPr>
              <w:t>6,785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1,000</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Other long-term investments</w:t>
            </w:r>
          </w:p>
        </w:tc>
        <w:tc>
          <w:tcPr>
            <w:tcW w:w="440" w:type="dxa"/>
            <w:vAlign w:val="bottom"/>
          </w:tcPr>
          <w:p>
            <w:pPr>
              <w:jc w:val="right"/>
              <w:spacing w:after="0"/>
              <w:rPr>
                <w:sz w:val="20"/>
                <w:szCs w:val="20"/>
                <w:color w:val="auto"/>
              </w:rPr>
            </w:pPr>
            <w:r>
              <w:rPr>
                <w:rFonts w:ascii="Arial" w:cs="Arial" w:eastAsia="Arial" w:hAnsi="Arial"/>
                <w:sz w:val="12"/>
                <w:szCs w:val="12"/>
                <w:color w:val="auto"/>
              </w:rPr>
              <w:t>3,445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1,503</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Right-of-use assets</w:t>
            </w:r>
          </w:p>
        </w:tc>
        <w:tc>
          <w:tcPr>
            <w:tcW w:w="440" w:type="dxa"/>
            <w:vAlign w:val="bottom"/>
          </w:tcPr>
          <w:p>
            <w:pPr>
              <w:jc w:val="right"/>
              <w:spacing w:after="0"/>
              <w:rPr>
                <w:sz w:val="20"/>
                <w:szCs w:val="20"/>
                <w:color w:val="auto"/>
              </w:rPr>
            </w:pPr>
            <w:r>
              <w:rPr>
                <w:rFonts w:ascii="Arial" w:cs="Arial" w:eastAsia="Arial" w:hAnsi="Arial"/>
                <w:sz w:val="12"/>
                <w:szCs w:val="12"/>
                <w:color w:val="auto"/>
              </w:rPr>
              <w:t>1,199</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1,656</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Deferred tax assets</w:t>
            </w:r>
          </w:p>
        </w:tc>
        <w:tc>
          <w:tcPr>
            <w:tcW w:w="440" w:type="dxa"/>
            <w:vAlign w:val="bottom"/>
          </w:tcPr>
          <w:p>
            <w:pPr>
              <w:jc w:val="right"/>
              <w:spacing w:after="0"/>
              <w:rPr>
                <w:sz w:val="20"/>
                <w:szCs w:val="20"/>
                <w:color w:val="auto"/>
              </w:rPr>
            </w:pPr>
            <w:r>
              <w:rPr>
                <w:rFonts w:ascii="Arial" w:cs="Arial" w:eastAsia="Arial" w:hAnsi="Arial"/>
                <w:sz w:val="12"/>
                <w:szCs w:val="12"/>
                <w:color w:val="auto"/>
              </w:rPr>
              <w:t>1,091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1,033</w:t>
            </w:r>
          </w:p>
        </w:tc>
        <w:tc>
          <w:tcPr>
            <w:tcW w:w="40" w:type="dxa"/>
            <w:vAlign w:val="bottom"/>
          </w:tcPr>
          <w:p>
            <w:pPr>
              <w:spacing w:after="0"/>
              <w:rPr>
                <w:sz w:val="12"/>
                <w:szCs w:val="12"/>
                <w:color w:val="auto"/>
              </w:rPr>
            </w:pPr>
          </w:p>
        </w:tc>
      </w:tr>
      <w:tr>
        <w:trPr>
          <w:trHeight w:val="149"/>
        </w:trPr>
        <w:tc>
          <w:tcPr>
            <w:tcW w:w="8840" w:type="dxa"/>
            <w:vAlign w:val="bottom"/>
            <w:gridSpan w:val="2"/>
          </w:tcPr>
          <w:p>
            <w:pPr>
              <w:spacing w:after="0"/>
              <w:rPr>
                <w:sz w:val="20"/>
                <w:szCs w:val="20"/>
                <w:color w:val="auto"/>
              </w:rPr>
            </w:pPr>
            <w:r>
              <w:rPr>
                <w:rFonts w:ascii="Arial" w:cs="Arial" w:eastAsia="Arial" w:hAnsi="Arial"/>
                <w:sz w:val="12"/>
                <w:szCs w:val="12"/>
                <w:color w:val="auto"/>
              </w:rPr>
              <w:t>Property and equipment, net</w:t>
            </w:r>
          </w:p>
        </w:tc>
        <w:tc>
          <w:tcPr>
            <w:tcW w:w="440" w:type="dxa"/>
            <w:vAlign w:val="bottom"/>
          </w:tcPr>
          <w:p>
            <w:pPr>
              <w:jc w:val="right"/>
              <w:spacing w:after="0"/>
              <w:rPr>
                <w:sz w:val="20"/>
                <w:szCs w:val="20"/>
                <w:color w:val="auto"/>
              </w:rPr>
            </w:pPr>
            <w:r>
              <w:rPr>
                <w:rFonts w:ascii="Arial" w:cs="Arial" w:eastAsia="Arial" w:hAnsi="Arial"/>
                <w:sz w:val="12"/>
                <w:szCs w:val="12"/>
                <w:color w:val="auto"/>
              </w:rPr>
              <w:t>511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536</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Investment in an equity investee</w:t>
            </w:r>
          </w:p>
        </w:tc>
        <w:tc>
          <w:tcPr>
            <w:tcW w:w="440" w:type="dxa"/>
            <w:vAlign w:val="bottom"/>
          </w:tcPr>
          <w:p>
            <w:pPr>
              <w:jc w:val="right"/>
              <w:spacing w:after="0"/>
              <w:rPr>
                <w:sz w:val="20"/>
                <w:szCs w:val="20"/>
                <w:color w:val="auto"/>
              </w:rPr>
            </w:pPr>
            <w:r>
              <w:rPr>
                <w:rFonts w:ascii="Arial" w:cs="Arial" w:eastAsia="Arial" w:hAnsi="Arial"/>
                <w:sz w:val="12"/>
                <w:szCs w:val="12"/>
                <w:color w:val="auto"/>
              </w:rPr>
              <w:t>502</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158</w:t>
            </w:r>
          </w:p>
        </w:tc>
        <w:tc>
          <w:tcPr>
            <w:tcW w:w="40" w:type="dxa"/>
            <w:vAlign w:val="bottom"/>
          </w:tcPr>
          <w:p>
            <w:pPr>
              <w:spacing w:after="0"/>
              <w:rPr>
                <w:sz w:val="12"/>
                <w:szCs w:val="12"/>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Other assets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185</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w:t>
            </w:r>
          </w:p>
        </w:tc>
        <w:tc>
          <w:tcPr>
            <w:tcW w:w="40" w:type="dxa"/>
            <w:vAlign w:val="bottom"/>
          </w:tcPr>
          <w:p>
            <w:pPr>
              <w:spacing w:after="0"/>
              <w:rPr>
                <w:sz w:val="12"/>
                <w:szCs w:val="12"/>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non-current assets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134,603</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76,123</w:t>
            </w:r>
          </w:p>
        </w:tc>
        <w:tc>
          <w:tcPr>
            <w:tcW w:w="40" w:type="dxa"/>
            <w:vAlign w:val="bottom"/>
          </w:tcPr>
          <w:p>
            <w:pPr>
              <w:spacing w:after="0"/>
              <w:rPr>
                <w:sz w:val="12"/>
                <w:szCs w:val="12"/>
                <w:color w:val="auto"/>
              </w:rPr>
            </w:pPr>
          </w:p>
        </w:tc>
      </w:tr>
      <w:tr>
        <w:trPr>
          <w:trHeight w:val="290"/>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364,261</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321,516</w:t>
            </w:r>
          </w:p>
        </w:tc>
        <w:tc>
          <w:tcPr>
            <w:tcW w:w="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83"/>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Liabilities and equity</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50"/>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Current liabilities</w:t>
            </w: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Accounts payable (including accounts payable of the consolidated variable interest entity (“VIE”) and its subsidiaries</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ind w:left="100"/>
              <w:spacing w:after="0"/>
              <w:rPr>
                <w:sz w:val="20"/>
                <w:szCs w:val="20"/>
                <w:color w:val="auto"/>
              </w:rPr>
            </w:pPr>
            <w:r>
              <w:rPr>
                <w:rFonts w:ascii="Arial" w:cs="Arial" w:eastAsia="Arial" w:hAnsi="Arial"/>
                <w:sz w:val="12"/>
                <w:szCs w:val="12"/>
                <w:color w:val="auto"/>
              </w:rPr>
              <w:t>without recourse to the Company of US$3,460 and US$27 as of June 30, 2020 and December 31, 2019, respectively)</w:t>
            </w:r>
          </w:p>
        </w:tc>
        <w:tc>
          <w:tcPr>
            <w:tcW w:w="440" w:type="dxa"/>
            <w:vAlign w:val="bottom"/>
          </w:tcPr>
          <w:p>
            <w:pPr>
              <w:jc w:val="right"/>
              <w:spacing w:after="0"/>
              <w:rPr>
                <w:sz w:val="20"/>
                <w:szCs w:val="20"/>
                <w:color w:val="auto"/>
              </w:rPr>
            </w:pPr>
            <w:r>
              <w:rPr>
                <w:rFonts w:ascii="Arial" w:cs="Arial" w:eastAsia="Arial" w:hAnsi="Arial"/>
                <w:sz w:val="12"/>
                <w:szCs w:val="12"/>
                <w:color w:val="auto"/>
              </w:rPr>
              <w:t>36,131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66,161</w:t>
            </w:r>
          </w:p>
        </w:tc>
        <w:tc>
          <w:tcPr>
            <w:tcW w:w="40" w:type="dxa"/>
            <w:vAlign w:val="bottom"/>
          </w:tcPr>
          <w:p>
            <w:pPr>
              <w:spacing w:after="0"/>
              <w:rPr>
                <w:sz w:val="12"/>
                <w:szCs w:val="12"/>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Deferred revenue (including deferred revenue of the consolidated VIE and its subsidiaries without recourse to the</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ind w:left="100"/>
              <w:spacing w:after="0"/>
              <w:rPr>
                <w:sz w:val="20"/>
                <w:szCs w:val="20"/>
                <w:color w:val="auto"/>
              </w:rPr>
            </w:pPr>
            <w:r>
              <w:rPr>
                <w:rFonts w:ascii="Arial" w:cs="Arial" w:eastAsia="Arial" w:hAnsi="Arial"/>
                <w:sz w:val="12"/>
                <w:szCs w:val="12"/>
                <w:color w:val="auto"/>
              </w:rPr>
              <w:t>Company of US$551 and US$866 as of June 30, 2020 and December 31, 2019, respectively)</w:t>
            </w:r>
          </w:p>
        </w:tc>
        <w:tc>
          <w:tcPr>
            <w:tcW w:w="440" w:type="dxa"/>
            <w:vAlign w:val="bottom"/>
          </w:tcPr>
          <w:p>
            <w:pPr>
              <w:jc w:val="right"/>
              <w:spacing w:after="0"/>
              <w:rPr>
                <w:sz w:val="20"/>
                <w:szCs w:val="20"/>
                <w:color w:val="auto"/>
              </w:rPr>
            </w:pPr>
            <w:r>
              <w:rPr>
                <w:rFonts w:ascii="Arial" w:cs="Arial" w:eastAsia="Arial" w:hAnsi="Arial"/>
                <w:sz w:val="12"/>
                <w:szCs w:val="12"/>
                <w:color w:val="auto"/>
              </w:rPr>
              <w:t>25,785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27,089</w:t>
            </w:r>
          </w:p>
        </w:tc>
        <w:tc>
          <w:tcPr>
            <w:tcW w:w="40" w:type="dxa"/>
            <w:vAlign w:val="bottom"/>
          </w:tcPr>
          <w:p>
            <w:pPr>
              <w:spacing w:after="0"/>
              <w:rPr>
                <w:sz w:val="12"/>
                <w:szCs w:val="12"/>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Accrued liabilities and other current liabilities (including accrued liabilities and other current liabilities of the consolidated VIE and its subsidiaries without</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recourse to the Company of US$1,417 and US$1,802 as of June 30, 2020 and December 31, 2019, respectively)</w:t>
            </w:r>
          </w:p>
        </w:tc>
        <w:tc>
          <w:tcPr>
            <w:tcW w:w="440" w:type="dxa"/>
            <w:vAlign w:val="bottom"/>
          </w:tcPr>
          <w:p>
            <w:pPr>
              <w:jc w:val="right"/>
              <w:spacing w:after="0"/>
              <w:rPr>
                <w:sz w:val="20"/>
                <w:szCs w:val="20"/>
                <w:color w:val="auto"/>
              </w:rPr>
            </w:pPr>
            <w:r>
              <w:rPr>
                <w:rFonts w:ascii="Arial" w:cs="Arial" w:eastAsia="Arial" w:hAnsi="Arial"/>
                <w:sz w:val="12"/>
                <w:szCs w:val="12"/>
                <w:color w:val="auto"/>
              </w:rPr>
              <w:t>30,974</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19,937</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Bank borrowings</w:t>
            </w:r>
          </w:p>
        </w:tc>
        <w:tc>
          <w:tcPr>
            <w:tcW w:w="440" w:type="dxa"/>
            <w:vAlign w:val="bottom"/>
          </w:tcPr>
          <w:p>
            <w:pPr>
              <w:jc w:val="right"/>
              <w:spacing w:after="0"/>
              <w:rPr>
                <w:sz w:val="20"/>
                <w:szCs w:val="20"/>
                <w:color w:val="auto"/>
              </w:rPr>
            </w:pPr>
            <w:r>
              <w:rPr>
                <w:rFonts w:ascii="Arial" w:cs="Arial" w:eastAsia="Arial" w:hAnsi="Arial"/>
                <w:sz w:val="12"/>
                <w:szCs w:val="12"/>
                <w:color w:val="auto"/>
              </w:rPr>
              <w:t>41,980</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36,851</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Convertible notes at fair value</w:t>
            </w:r>
          </w:p>
        </w:tc>
        <w:tc>
          <w:tcPr>
            <w:tcW w:w="440" w:type="dxa"/>
            <w:vAlign w:val="bottom"/>
          </w:tcPr>
          <w:p>
            <w:pPr>
              <w:jc w:val="right"/>
              <w:spacing w:after="0"/>
              <w:rPr>
                <w:sz w:val="20"/>
                <w:szCs w:val="20"/>
                <w:color w:val="auto"/>
              </w:rPr>
            </w:pPr>
            <w:r>
              <w:rPr>
                <w:rFonts w:ascii="Arial" w:cs="Arial" w:eastAsia="Arial" w:hAnsi="Arial"/>
                <w:sz w:val="12"/>
                <w:szCs w:val="12"/>
                <w:color w:val="auto"/>
              </w:rPr>
              <w:t>4,653</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49,008</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Derivative liabilities</w:t>
            </w:r>
          </w:p>
        </w:tc>
        <w:tc>
          <w:tcPr>
            <w:tcW w:w="440" w:type="dxa"/>
            <w:vAlign w:val="bottom"/>
          </w:tcPr>
          <w:p>
            <w:pPr>
              <w:jc w:val="right"/>
              <w:spacing w:after="0"/>
              <w:rPr>
                <w:sz w:val="20"/>
                <w:szCs w:val="20"/>
                <w:color w:val="auto"/>
              </w:rPr>
            </w:pPr>
            <w:r>
              <w:rPr>
                <w:rFonts w:ascii="Arial" w:cs="Arial" w:eastAsia="Arial" w:hAnsi="Arial"/>
                <w:sz w:val="12"/>
                <w:szCs w:val="12"/>
                <w:color w:val="auto"/>
              </w:rPr>
              <w:t>5,123</w:t>
            </w:r>
          </w:p>
        </w:tc>
        <w:tc>
          <w:tcPr>
            <w:tcW w:w="280" w:type="dxa"/>
            <w:vAlign w:val="bottom"/>
          </w:tcPr>
          <w:p>
            <w:pPr>
              <w:spacing w:after="0"/>
              <w:rPr>
                <w:sz w:val="12"/>
                <w:szCs w:val="12"/>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r>
      <w:tr>
        <w:trPr>
          <w:trHeight w:val="149"/>
        </w:trPr>
        <w:tc>
          <w:tcPr>
            <w:tcW w:w="8840" w:type="dxa"/>
            <w:vAlign w:val="bottom"/>
            <w:gridSpan w:val="2"/>
          </w:tcPr>
          <w:p>
            <w:pPr>
              <w:spacing w:after="0"/>
              <w:rPr>
                <w:sz w:val="20"/>
                <w:szCs w:val="20"/>
                <w:color w:val="auto"/>
              </w:rPr>
            </w:pPr>
            <w:r>
              <w:rPr>
                <w:rFonts w:ascii="Arial" w:cs="Arial" w:eastAsia="Arial" w:hAnsi="Arial"/>
                <w:sz w:val="12"/>
                <w:szCs w:val="12"/>
                <w:color w:val="auto"/>
              </w:rPr>
              <w:t>Income tax payable</w:t>
            </w:r>
          </w:p>
        </w:tc>
        <w:tc>
          <w:tcPr>
            <w:tcW w:w="440" w:type="dxa"/>
            <w:vAlign w:val="bottom"/>
          </w:tcPr>
          <w:p>
            <w:pPr>
              <w:jc w:val="right"/>
              <w:spacing w:after="0"/>
              <w:rPr>
                <w:sz w:val="20"/>
                <w:szCs w:val="20"/>
                <w:color w:val="auto"/>
              </w:rPr>
            </w:pPr>
            <w:r>
              <w:rPr>
                <w:rFonts w:ascii="Arial" w:cs="Arial" w:eastAsia="Arial" w:hAnsi="Arial"/>
                <w:sz w:val="12"/>
                <w:szCs w:val="12"/>
                <w:color w:val="auto"/>
              </w:rPr>
              <w:t>4,171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3,780</w:t>
            </w:r>
          </w:p>
        </w:tc>
        <w:tc>
          <w:tcPr>
            <w:tcW w:w="40" w:type="dxa"/>
            <w:vAlign w:val="bottom"/>
          </w:tcPr>
          <w:p>
            <w:pPr>
              <w:spacing w:after="0"/>
              <w:rPr>
                <w:sz w:val="12"/>
                <w:szCs w:val="12"/>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Lease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452</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1,114</w:t>
            </w:r>
          </w:p>
        </w:tc>
        <w:tc>
          <w:tcPr>
            <w:tcW w:w="40" w:type="dxa"/>
            <w:vAlign w:val="bottom"/>
          </w:tcPr>
          <w:p>
            <w:pPr>
              <w:spacing w:after="0"/>
              <w:rPr>
                <w:sz w:val="12"/>
                <w:szCs w:val="12"/>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current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149,269</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203,940</w:t>
            </w:r>
          </w:p>
        </w:tc>
        <w:tc>
          <w:tcPr>
            <w:tcW w:w="40" w:type="dxa"/>
            <w:vAlign w:val="bottom"/>
          </w:tcPr>
          <w:p>
            <w:pPr>
              <w:spacing w:after="0"/>
              <w:rPr>
                <w:sz w:val="12"/>
                <w:szCs w:val="12"/>
                <w:color w:val="auto"/>
              </w:rPr>
            </w:pPr>
          </w:p>
        </w:tc>
      </w:tr>
      <w:tr>
        <w:trPr>
          <w:trHeight w:val="298"/>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Non-current liabilities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Deferred tax liabilities (including deferred tax liabilities of the consolidated VIE and its subsidiaries without recourse to the Company of US$166 and US$187</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as of June 30, 2020 and December 31, 2019, respectively)</w:t>
            </w:r>
          </w:p>
        </w:tc>
        <w:tc>
          <w:tcPr>
            <w:tcW w:w="440" w:type="dxa"/>
            <w:vAlign w:val="bottom"/>
          </w:tcPr>
          <w:p>
            <w:pPr>
              <w:jc w:val="right"/>
              <w:spacing w:after="0"/>
              <w:rPr>
                <w:sz w:val="20"/>
                <w:szCs w:val="20"/>
                <w:color w:val="auto"/>
              </w:rPr>
            </w:pPr>
            <w:r>
              <w:rPr>
                <w:rFonts w:ascii="Arial" w:cs="Arial" w:eastAsia="Arial" w:hAnsi="Arial"/>
                <w:sz w:val="12"/>
                <w:szCs w:val="12"/>
                <w:color w:val="auto"/>
              </w:rPr>
              <w:t>14,276</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1,865</w:t>
            </w:r>
          </w:p>
        </w:tc>
        <w:tc>
          <w:tcPr>
            <w:tcW w:w="40" w:type="dxa"/>
            <w:vAlign w:val="bottom"/>
          </w:tcPr>
          <w:p>
            <w:pPr>
              <w:spacing w:after="0"/>
              <w:rPr>
                <w:sz w:val="12"/>
                <w:szCs w:val="12"/>
                <w:color w:val="auto"/>
              </w:rPr>
            </w:pPr>
          </w:p>
        </w:tc>
      </w:tr>
      <w:tr>
        <w:trPr>
          <w:trHeight w:val="149"/>
        </w:trPr>
        <w:tc>
          <w:tcPr>
            <w:tcW w:w="8840" w:type="dxa"/>
            <w:vAlign w:val="bottom"/>
            <w:gridSpan w:val="2"/>
          </w:tcPr>
          <w:p>
            <w:pPr>
              <w:spacing w:after="0"/>
              <w:rPr>
                <w:sz w:val="20"/>
                <w:szCs w:val="20"/>
                <w:color w:val="auto"/>
              </w:rPr>
            </w:pPr>
            <w:r>
              <w:rPr>
                <w:rFonts w:ascii="Arial" w:cs="Arial" w:eastAsia="Arial" w:hAnsi="Arial"/>
                <w:sz w:val="12"/>
                <w:szCs w:val="12"/>
                <w:color w:val="auto"/>
              </w:rPr>
              <w:t>Lease liabilities</w:t>
            </w:r>
          </w:p>
        </w:tc>
        <w:tc>
          <w:tcPr>
            <w:tcW w:w="440" w:type="dxa"/>
            <w:vAlign w:val="bottom"/>
          </w:tcPr>
          <w:p>
            <w:pPr>
              <w:jc w:val="right"/>
              <w:spacing w:after="0"/>
              <w:rPr>
                <w:sz w:val="20"/>
                <w:szCs w:val="20"/>
                <w:color w:val="auto"/>
              </w:rPr>
            </w:pPr>
            <w:r>
              <w:rPr>
                <w:rFonts w:ascii="Arial" w:cs="Arial" w:eastAsia="Arial" w:hAnsi="Arial"/>
                <w:sz w:val="12"/>
                <w:szCs w:val="12"/>
                <w:color w:val="auto"/>
              </w:rPr>
              <w:t>841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706</w:t>
            </w:r>
          </w:p>
        </w:tc>
        <w:tc>
          <w:tcPr>
            <w:tcW w:w="40" w:type="dxa"/>
            <w:vAlign w:val="bottom"/>
          </w:tcPr>
          <w:p>
            <w:pPr>
              <w:spacing w:after="0"/>
              <w:rPr>
                <w:sz w:val="12"/>
                <w:szCs w:val="12"/>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Other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512</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449</w:t>
            </w:r>
          </w:p>
        </w:tc>
        <w:tc>
          <w:tcPr>
            <w:tcW w:w="40" w:type="dxa"/>
            <w:vAlign w:val="bottom"/>
          </w:tcPr>
          <w:p>
            <w:pPr>
              <w:spacing w:after="0"/>
              <w:rPr>
                <w:sz w:val="12"/>
                <w:szCs w:val="12"/>
                <w:color w:val="auto"/>
              </w:rPr>
            </w:pPr>
          </w:p>
        </w:tc>
      </w:tr>
      <w:tr>
        <w:trPr>
          <w:trHeight w:val="142"/>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non-current liabilities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15,629</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3,020</w:t>
            </w:r>
          </w:p>
        </w:tc>
        <w:tc>
          <w:tcPr>
            <w:tcW w:w="40" w:type="dxa"/>
            <w:vAlign w:val="bottom"/>
          </w:tcPr>
          <w:p>
            <w:pPr>
              <w:spacing w:after="0"/>
              <w:rPr>
                <w:sz w:val="12"/>
                <w:szCs w:val="12"/>
                <w:color w:val="auto"/>
              </w:rPr>
            </w:pPr>
          </w:p>
        </w:tc>
      </w:tr>
      <w:tr>
        <w:trPr>
          <w:trHeight w:val="290"/>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liabilities</w:t>
            </w: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164,898</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206,960</w:t>
            </w:r>
          </w:p>
        </w:tc>
        <w:tc>
          <w:tcPr>
            <w:tcW w:w="40" w:type="dxa"/>
            <w:vAlign w:val="bottom"/>
          </w:tcPr>
          <w:p>
            <w:pPr>
              <w:spacing w:after="0"/>
              <w:rPr>
                <w:sz w:val="24"/>
                <w:szCs w:val="24"/>
                <w:color w:val="auto"/>
              </w:rPr>
            </w:pPr>
          </w:p>
        </w:tc>
      </w:tr>
      <w:tr>
        <w:trPr>
          <w:trHeight w:val="149"/>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Equity</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Ordinary shares – Class A (US$0.001 par value; 80,000,000 shares authorized as of June 30, 2020 and</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88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December 31, 2019, respectively; 34,467,143 and 23,870,027 shares issued and outstanding as of</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ind w:left="100"/>
              <w:spacing w:after="0"/>
              <w:rPr>
                <w:sz w:val="20"/>
                <w:szCs w:val="20"/>
                <w:color w:val="auto"/>
              </w:rPr>
            </w:pPr>
            <w:r>
              <w:rPr>
                <w:rFonts w:ascii="Arial" w:cs="Arial" w:eastAsia="Arial" w:hAnsi="Arial"/>
                <w:sz w:val="12"/>
                <w:szCs w:val="12"/>
                <w:color w:val="auto"/>
              </w:rPr>
              <w:t>June 30, 2020 and December 31, 2019, respectively)</w:t>
            </w:r>
          </w:p>
        </w:tc>
        <w:tc>
          <w:tcPr>
            <w:tcW w:w="440" w:type="dxa"/>
            <w:vAlign w:val="bottom"/>
          </w:tcPr>
          <w:p>
            <w:pPr>
              <w:jc w:val="right"/>
              <w:spacing w:after="0"/>
              <w:rPr>
                <w:sz w:val="20"/>
                <w:szCs w:val="20"/>
                <w:color w:val="auto"/>
              </w:rPr>
            </w:pPr>
            <w:r>
              <w:rPr>
                <w:rFonts w:ascii="Arial" w:cs="Arial" w:eastAsia="Arial" w:hAnsi="Arial"/>
                <w:sz w:val="12"/>
                <w:szCs w:val="12"/>
                <w:color w:val="auto"/>
              </w:rPr>
              <w:t>34</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24</w:t>
            </w:r>
          </w:p>
        </w:tc>
        <w:tc>
          <w:tcPr>
            <w:tcW w:w="40" w:type="dxa"/>
            <w:vAlign w:val="bottom"/>
          </w:tcPr>
          <w:p>
            <w:pPr>
              <w:spacing w:after="0"/>
              <w:rPr>
                <w:sz w:val="12"/>
                <w:szCs w:val="12"/>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Ordinary shares – Class B (US$0.001 par value; 20,000,000 shares authorized as of June 30, 2020 and</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5"/>
        </w:trPr>
        <w:tc>
          <w:tcPr>
            <w:tcW w:w="8840" w:type="dxa"/>
            <w:vAlign w:val="bottom"/>
            <w:gridSpan w:val="2"/>
          </w:tcPr>
          <w:p>
            <w:pPr>
              <w:ind w:left="100"/>
              <w:spacing w:after="0" w:line="135" w:lineRule="exact"/>
              <w:rPr>
                <w:sz w:val="20"/>
                <w:szCs w:val="20"/>
                <w:color w:val="auto"/>
              </w:rPr>
            </w:pPr>
            <w:r>
              <w:rPr>
                <w:rFonts w:ascii="Arial" w:cs="Arial" w:eastAsia="Arial" w:hAnsi="Arial"/>
                <w:sz w:val="12"/>
                <w:szCs w:val="12"/>
                <w:color w:val="auto"/>
              </w:rPr>
              <w:t>December 31, 2019, respectively; 4,820,608 shares issued and outstanding as of June 30, 2020 and</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ind w:left="100"/>
              <w:spacing w:after="0"/>
              <w:rPr>
                <w:sz w:val="20"/>
                <w:szCs w:val="20"/>
                <w:color w:val="auto"/>
              </w:rPr>
            </w:pPr>
            <w:r>
              <w:rPr>
                <w:rFonts w:ascii="Arial" w:cs="Arial" w:eastAsia="Arial" w:hAnsi="Arial"/>
                <w:sz w:val="12"/>
                <w:szCs w:val="12"/>
                <w:color w:val="auto"/>
              </w:rPr>
              <w:t>December 31, 2019, respectively)</w:t>
            </w:r>
          </w:p>
        </w:tc>
        <w:tc>
          <w:tcPr>
            <w:tcW w:w="440" w:type="dxa"/>
            <w:vAlign w:val="bottom"/>
          </w:tcPr>
          <w:p>
            <w:pPr>
              <w:jc w:val="right"/>
              <w:spacing w:after="0"/>
              <w:rPr>
                <w:sz w:val="20"/>
                <w:szCs w:val="20"/>
                <w:color w:val="auto"/>
              </w:rPr>
            </w:pPr>
            <w:r>
              <w:rPr>
                <w:rFonts w:ascii="Arial" w:cs="Arial" w:eastAsia="Arial" w:hAnsi="Arial"/>
                <w:sz w:val="12"/>
                <w:szCs w:val="12"/>
                <w:color w:val="auto"/>
              </w:rPr>
              <w:t>5</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5</w:t>
            </w:r>
          </w:p>
        </w:tc>
        <w:tc>
          <w:tcPr>
            <w:tcW w:w="40" w:type="dxa"/>
            <w:vAlign w:val="bottom"/>
          </w:tcPr>
          <w:p>
            <w:pPr>
              <w:spacing w:after="0"/>
              <w:rPr>
                <w:sz w:val="12"/>
                <w:szCs w:val="12"/>
                <w:color w:val="auto"/>
              </w:rPr>
            </w:pPr>
          </w:p>
        </w:tc>
      </w:tr>
      <w:tr>
        <w:trPr>
          <w:trHeight w:val="135"/>
        </w:trPr>
        <w:tc>
          <w:tcPr>
            <w:tcW w:w="8840" w:type="dxa"/>
            <w:vAlign w:val="bottom"/>
            <w:gridSpan w:val="2"/>
          </w:tcPr>
          <w:p>
            <w:pPr>
              <w:spacing w:after="0" w:line="136" w:lineRule="exact"/>
              <w:rPr>
                <w:sz w:val="20"/>
                <w:szCs w:val="20"/>
                <w:color w:val="auto"/>
              </w:rPr>
            </w:pPr>
            <w:r>
              <w:rPr>
                <w:rFonts w:ascii="Arial" w:cs="Arial" w:eastAsia="Arial" w:hAnsi="Arial"/>
                <w:sz w:val="12"/>
                <w:szCs w:val="12"/>
                <w:color w:val="auto"/>
              </w:rPr>
              <w:t>Treasury shares (1,542,402 shares and 1,744,873 shares as of June 30, 2020 and</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8840" w:type="dxa"/>
            <w:vAlign w:val="bottom"/>
            <w:gridSpan w:val="2"/>
          </w:tcPr>
          <w:p>
            <w:pPr>
              <w:ind w:left="100"/>
              <w:spacing w:after="0"/>
              <w:rPr>
                <w:sz w:val="20"/>
                <w:szCs w:val="20"/>
                <w:color w:val="auto"/>
              </w:rPr>
            </w:pPr>
            <w:r>
              <w:rPr>
                <w:rFonts w:ascii="Arial" w:cs="Arial" w:eastAsia="Arial" w:hAnsi="Arial"/>
                <w:sz w:val="12"/>
                <w:szCs w:val="12"/>
                <w:color w:val="auto"/>
              </w:rPr>
              <w:t>December 31, 2019, respectively)</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(5,429)</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(4,858)</w:t>
            </w: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Additional paid-in capital</w:t>
            </w:r>
          </w:p>
        </w:tc>
        <w:tc>
          <w:tcPr>
            <w:tcW w:w="440" w:type="dxa"/>
            <w:vAlign w:val="bottom"/>
          </w:tcPr>
          <w:p>
            <w:pPr>
              <w:jc w:val="right"/>
              <w:spacing w:after="0"/>
              <w:rPr>
                <w:sz w:val="20"/>
                <w:szCs w:val="20"/>
                <w:color w:val="auto"/>
              </w:rPr>
            </w:pPr>
            <w:r>
              <w:rPr>
                <w:rFonts w:ascii="Arial" w:cs="Arial" w:eastAsia="Arial" w:hAnsi="Arial"/>
                <w:sz w:val="12"/>
                <w:szCs w:val="12"/>
                <w:color w:val="auto"/>
                <w:w w:val="92"/>
              </w:rPr>
              <w:t>394,533</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305,344</w:t>
            </w:r>
          </w:p>
        </w:tc>
        <w:tc>
          <w:tcPr>
            <w:tcW w:w="40" w:type="dxa"/>
            <w:vAlign w:val="bottom"/>
          </w:tcPr>
          <w:p>
            <w:pPr>
              <w:spacing w:after="0"/>
              <w:rPr>
                <w:sz w:val="12"/>
                <w:szCs w:val="12"/>
                <w:color w:val="auto"/>
              </w:rPr>
            </w:pPr>
          </w:p>
        </w:tc>
      </w:tr>
      <w:tr>
        <w:trPr>
          <w:trHeight w:val="148"/>
        </w:trPr>
        <w:tc>
          <w:tcPr>
            <w:tcW w:w="8840" w:type="dxa"/>
            <w:vAlign w:val="bottom"/>
            <w:gridSpan w:val="2"/>
          </w:tcPr>
          <w:p>
            <w:pPr>
              <w:spacing w:after="0"/>
              <w:rPr>
                <w:sz w:val="20"/>
                <w:szCs w:val="20"/>
                <w:color w:val="auto"/>
              </w:rPr>
            </w:pPr>
            <w:r>
              <w:rPr>
                <w:rFonts w:ascii="Arial" w:cs="Arial" w:eastAsia="Arial" w:hAnsi="Arial"/>
                <w:sz w:val="12"/>
                <w:szCs w:val="12"/>
                <w:color w:val="auto"/>
              </w:rPr>
              <w:t>Statutory reserves</w:t>
            </w:r>
          </w:p>
        </w:tc>
        <w:tc>
          <w:tcPr>
            <w:tcW w:w="440" w:type="dxa"/>
            <w:vAlign w:val="bottom"/>
          </w:tcPr>
          <w:p>
            <w:pPr>
              <w:jc w:val="right"/>
              <w:spacing w:after="0"/>
              <w:rPr>
                <w:sz w:val="20"/>
                <w:szCs w:val="20"/>
                <w:color w:val="auto"/>
              </w:rPr>
            </w:pPr>
            <w:r>
              <w:rPr>
                <w:rFonts w:ascii="Arial" w:cs="Arial" w:eastAsia="Arial" w:hAnsi="Arial"/>
                <w:sz w:val="12"/>
                <w:szCs w:val="12"/>
                <w:color w:val="auto"/>
              </w:rPr>
              <w:t>81</w:t>
            </w:r>
          </w:p>
        </w:tc>
        <w:tc>
          <w:tcPr>
            <w:tcW w:w="28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81</w:t>
            </w:r>
          </w:p>
        </w:tc>
        <w:tc>
          <w:tcPr>
            <w:tcW w:w="40" w:type="dxa"/>
            <w:vAlign w:val="bottom"/>
          </w:tcPr>
          <w:p>
            <w:pPr>
              <w:spacing w:after="0"/>
              <w:rPr>
                <w:sz w:val="12"/>
                <w:szCs w:val="12"/>
                <w:color w:val="auto"/>
              </w:rPr>
            </w:pPr>
          </w:p>
        </w:tc>
      </w:tr>
      <w:tr>
        <w:trPr>
          <w:trHeight w:val="139"/>
        </w:trPr>
        <w:tc>
          <w:tcPr>
            <w:tcW w:w="8840" w:type="dxa"/>
            <w:vAlign w:val="bottom"/>
            <w:gridSpan w:val="2"/>
          </w:tcPr>
          <w:p>
            <w:pPr>
              <w:spacing w:after="0"/>
              <w:rPr>
                <w:sz w:val="20"/>
                <w:szCs w:val="20"/>
                <w:color w:val="auto"/>
              </w:rPr>
            </w:pPr>
            <w:r>
              <w:rPr>
                <w:rFonts w:ascii="Arial" w:cs="Arial" w:eastAsia="Arial" w:hAnsi="Arial"/>
                <w:sz w:val="12"/>
                <w:szCs w:val="12"/>
                <w:color w:val="auto"/>
              </w:rPr>
              <w:t>Accumulated other comprehensive losses</w:t>
            </w: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rPr>
              <w:t>(6,849)</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(7,479)</w:t>
            </w:r>
          </w:p>
        </w:tc>
      </w:tr>
      <w:tr>
        <w:trPr>
          <w:trHeight w:val="151"/>
        </w:trPr>
        <w:tc>
          <w:tcPr>
            <w:tcW w:w="7720" w:type="dxa"/>
            <w:vAlign w:val="bottom"/>
          </w:tcPr>
          <w:p>
            <w:pPr>
              <w:spacing w:after="0" w:line="150" w:lineRule="exact"/>
              <w:rPr>
                <w:sz w:val="20"/>
                <w:szCs w:val="20"/>
                <w:color w:val="auto"/>
              </w:rPr>
            </w:pPr>
            <w:r>
              <w:rPr>
                <w:rFonts w:ascii="Arial" w:cs="Arial" w:eastAsia="Arial" w:hAnsi="Arial"/>
                <w:sz w:val="11"/>
                <w:szCs w:val="11"/>
                <w:color w:val="auto"/>
              </w:rPr>
              <w:t>Accumulated deficit</w:t>
            </w:r>
            <w:r>
              <w:rPr>
                <w:rFonts w:ascii="Arial" w:cs="Arial" w:eastAsia="Arial" w:hAnsi="Arial"/>
                <w:sz w:val="17"/>
                <w:szCs w:val="17"/>
                <w:color w:val="auto"/>
                <w:vertAlign w:val="superscript"/>
              </w:rPr>
              <w:t>3</w:t>
            </w:r>
          </w:p>
        </w:tc>
        <w:tc>
          <w:tcPr>
            <w:tcW w:w="112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2"/>
                <w:szCs w:val="12"/>
                <w:color w:val="auto"/>
                <w:w w:val="89"/>
              </w:rPr>
              <w:t>(202,339)</w:t>
            </w:r>
          </w:p>
        </w:tc>
        <w:tc>
          <w:tcPr>
            <w:tcW w:w="1600" w:type="dxa"/>
            <w:vAlign w:val="bottom"/>
            <w:gridSpan w:val="2"/>
          </w:tcPr>
          <w:p>
            <w:pPr>
              <w:jc w:val="right"/>
              <w:spacing w:after="0"/>
              <w:rPr>
                <w:sz w:val="20"/>
                <w:szCs w:val="20"/>
                <w:color w:val="auto"/>
              </w:rPr>
            </w:pPr>
            <w:r>
              <w:rPr>
                <w:rFonts w:ascii="Arial" w:cs="Arial" w:eastAsia="Arial" w:hAnsi="Arial"/>
                <w:sz w:val="12"/>
                <w:szCs w:val="12"/>
                <w:color w:val="auto"/>
              </w:rPr>
              <w:t>(191,016)</w:t>
            </w:r>
          </w:p>
        </w:tc>
      </w:tr>
      <w:tr>
        <w:trPr>
          <w:trHeight w:val="149"/>
        </w:trPr>
        <w:tc>
          <w:tcPr>
            <w:tcW w:w="7720" w:type="dxa"/>
            <w:vAlign w:val="bottom"/>
          </w:tcPr>
          <w:p>
            <w:pPr>
              <w:spacing w:after="0"/>
              <w:rPr>
                <w:sz w:val="20"/>
                <w:szCs w:val="20"/>
                <w:color w:val="auto"/>
              </w:rPr>
            </w:pPr>
            <w:r>
              <w:rPr>
                <w:rFonts w:ascii="Arial" w:cs="Arial" w:eastAsia="Arial" w:hAnsi="Arial"/>
                <w:sz w:val="12"/>
                <w:szCs w:val="12"/>
                <w:color w:val="auto"/>
              </w:rPr>
              <w:t>Total iClick Interactive Asia Group Limited shareholders’ equity</w:t>
            </w:r>
          </w:p>
        </w:tc>
        <w:tc>
          <w:tcPr>
            <w:tcW w:w="1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92"/>
              </w:rPr>
              <w:t>180,036</w:t>
            </w:r>
          </w:p>
        </w:tc>
        <w:tc>
          <w:tcPr>
            <w:tcW w:w="280" w:type="dxa"/>
            <w:vAlign w:val="bottom"/>
          </w:tcPr>
          <w:p>
            <w:pPr>
              <w:spacing w:after="0"/>
              <w:rPr>
                <w:sz w:val="12"/>
                <w:szCs w:val="12"/>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102,101</w:t>
            </w:r>
          </w:p>
        </w:tc>
        <w:tc>
          <w:tcPr>
            <w:tcW w:w="40" w:type="dxa"/>
            <w:vAlign w:val="bottom"/>
          </w:tcPr>
          <w:p>
            <w:pPr>
              <w:spacing w:after="0"/>
              <w:rPr>
                <w:sz w:val="12"/>
                <w:szCs w:val="12"/>
                <w:color w:val="auto"/>
              </w:rPr>
            </w:pPr>
          </w:p>
        </w:tc>
      </w:tr>
      <w:tr>
        <w:trPr>
          <w:trHeight w:val="141"/>
        </w:trPr>
        <w:tc>
          <w:tcPr>
            <w:tcW w:w="7720" w:type="dxa"/>
            <w:vAlign w:val="bottom"/>
          </w:tcPr>
          <w:p>
            <w:pPr>
              <w:spacing w:after="0"/>
              <w:rPr>
                <w:sz w:val="20"/>
                <w:szCs w:val="20"/>
                <w:color w:val="auto"/>
              </w:rPr>
            </w:pPr>
            <w:r>
              <w:rPr>
                <w:rFonts w:ascii="Arial" w:cs="Arial" w:eastAsia="Arial" w:hAnsi="Arial"/>
                <w:sz w:val="12"/>
                <w:szCs w:val="12"/>
                <w:color w:val="auto"/>
              </w:rPr>
              <w:t>Noncontrolling interests</w:t>
            </w:r>
          </w:p>
        </w:tc>
        <w:tc>
          <w:tcPr>
            <w:tcW w:w="1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19,327</w:t>
            </w:r>
          </w:p>
        </w:tc>
        <w:tc>
          <w:tcPr>
            <w:tcW w:w="280" w:type="dxa"/>
            <w:vAlign w:val="bottom"/>
          </w:tcPr>
          <w:p>
            <w:pPr>
              <w:spacing w:after="0"/>
              <w:rPr>
                <w:sz w:val="12"/>
                <w:szCs w:val="1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12,455</w:t>
            </w:r>
          </w:p>
        </w:tc>
        <w:tc>
          <w:tcPr>
            <w:tcW w:w="40" w:type="dxa"/>
            <w:vAlign w:val="bottom"/>
          </w:tcPr>
          <w:p>
            <w:pPr>
              <w:spacing w:after="0"/>
              <w:rPr>
                <w:sz w:val="12"/>
                <w:szCs w:val="12"/>
                <w:color w:val="auto"/>
              </w:rPr>
            </w:pPr>
          </w:p>
        </w:tc>
      </w:tr>
      <w:tr>
        <w:trPr>
          <w:trHeight w:val="290"/>
        </w:trPr>
        <w:tc>
          <w:tcPr>
            <w:tcW w:w="7720" w:type="dxa"/>
            <w:vAlign w:val="bottom"/>
          </w:tcPr>
          <w:p>
            <w:pPr>
              <w:spacing w:after="0"/>
              <w:rPr>
                <w:sz w:val="20"/>
                <w:szCs w:val="20"/>
                <w:color w:val="auto"/>
              </w:rPr>
            </w:pPr>
            <w:r>
              <w:rPr>
                <w:rFonts w:ascii="Arial" w:cs="Arial" w:eastAsia="Arial" w:hAnsi="Arial"/>
                <w:sz w:val="12"/>
                <w:szCs w:val="12"/>
                <w:b w:val="1"/>
                <w:bCs w:val="1"/>
                <w:color w:val="auto"/>
              </w:rPr>
              <w:t>Total equity</w:t>
            </w:r>
          </w:p>
        </w:tc>
        <w:tc>
          <w:tcPr>
            <w:tcW w:w="1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2"/>
              </w:rPr>
              <w:t>199,363</w:t>
            </w:r>
          </w:p>
        </w:tc>
        <w:tc>
          <w:tcPr>
            <w:tcW w:w="28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114,556</w:t>
            </w:r>
          </w:p>
        </w:tc>
        <w:tc>
          <w:tcPr>
            <w:tcW w:w="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8"/>
        </w:trPr>
        <w:tc>
          <w:tcPr>
            <w:tcW w:w="8840" w:type="dxa"/>
            <w:vAlign w:val="bottom"/>
            <w:gridSpan w:val="2"/>
          </w:tcPr>
          <w:p>
            <w:pPr>
              <w:spacing w:after="0"/>
              <w:rPr>
                <w:sz w:val="20"/>
                <w:szCs w:val="20"/>
                <w:color w:val="auto"/>
              </w:rPr>
            </w:pPr>
            <w:r>
              <w:rPr>
                <w:rFonts w:ascii="Arial" w:cs="Arial" w:eastAsia="Arial" w:hAnsi="Arial"/>
                <w:sz w:val="12"/>
                <w:szCs w:val="12"/>
                <w:b w:val="1"/>
                <w:bCs w:val="1"/>
                <w:color w:val="auto"/>
              </w:rPr>
              <w:t>Total liabilities and equity</w:t>
            </w:r>
          </w:p>
        </w:tc>
        <w:tc>
          <w:tcPr>
            <w:tcW w:w="440" w:type="dxa"/>
            <w:vAlign w:val="bottom"/>
          </w:tcPr>
          <w:p>
            <w:pPr>
              <w:jc w:val="right"/>
              <w:spacing w:after="0"/>
              <w:rPr>
                <w:sz w:val="20"/>
                <w:szCs w:val="20"/>
                <w:color w:val="auto"/>
              </w:rPr>
            </w:pPr>
            <w:r>
              <w:rPr>
                <w:rFonts w:ascii="Arial" w:cs="Arial" w:eastAsia="Arial" w:hAnsi="Arial"/>
                <w:sz w:val="12"/>
                <w:szCs w:val="12"/>
                <w:color w:val="auto"/>
                <w:w w:val="92"/>
              </w:rPr>
              <w:t>364,261</w:t>
            </w:r>
          </w:p>
        </w:tc>
        <w:tc>
          <w:tcPr>
            <w:tcW w:w="2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2"/>
                <w:szCs w:val="12"/>
                <w:color w:val="auto"/>
              </w:rPr>
              <w:t>321,516</w:t>
            </w:r>
          </w:p>
        </w:tc>
        <w:tc>
          <w:tcPr>
            <w:tcW w:w="40" w:type="dxa"/>
            <w:vAlign w:val="bottom"/>
          </w:tcPr>
          <w:p>
            <w:pPr>
              <w:spacing w:after="0"/>
              <w:rPr>
                <w:sz w:val="24"/>
                <w:szCs w:val="24"/>
                <w:color w:val="auto"/>
              </w:rPr>
            </w:pPr>
          </w:p>
        </w:tc>
      </w:tr>
      <w:tr>
        <w:trPr>
          <w:trHeight w:val="20"/>
        </w:trPr>
        <w:tc>
          <w:tcPr>
            <w:tcW w:w="77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2040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10" w:lineRule="exact"/>
        <w:rPr>
          <w:sz w:val="20"/>
          <w:szCs w:val="20"/>
          <w:color w:val="auto"/>
        </w:rPr>
      </w:pPr>
    </w:p>
    <w:p>
      <w:pPr>
        <w:jc w:val="both"/>
        <w:ind w:left="120" w:hanging="112"/>
        <w:spacing w:after="0" w:line="231" w:lineRule="auto"/>
        <w:tabs>
          <w:tab w:leader="none" w:pos="120" w:val="left"/>
        </w:tabs>
        <w:numPr>
          <w:ilvl w:val="0"/>
          <w:numId w:val="5"/>
        </w:numPr>
        <w:rPr>
          <w:rFonts w:ascii="Arial" w:cs="Arial" w:eastAsia="Arial" w:hAnsi="Arial"/>
          <w:sz w:val="12"/>
          <w:szCs w:val="12"/>
          <w:color w:val="auto"/>
        </w:rPr>
      </w:pPr>
      <w:r>
        <w:rPr>
          <w:rFonts w:ascii="Arial" w:cs="Arial" w:eastAsia="Arial" w:hAnsi="Arial"/>
          <w:sz w:val="14"/>
          <w:szCs w:val="14"/>
          <w:color w:val="auto"/>
        </w:rPr>
        <w:t>The Company adopted ASC 326 using the modified retrospective method started from January 1, 2020, which changes the impairment model for financial assets measured at amortized costs by using a new forward-looking “expected loss” model that replaced the “incurred loss” model and resulted in the earlier recognition of allowances for losses. The adoption of ASC 326 resulted in recognition of allowance for doubtful accounts receivable of US$4.0 million and a corresponding increase in accumulated losses of US$4.0 million on January 1, 2020, for the cumulative effect of adopting ASC 326. The consolidated financial information related to periods prior to January 1, 2020 were not restated, and continue to be reported in accordance with previously applicable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20"/>
          <w:szCs w:val="20"/>
          <w:b w:val="1"/>
          <w:bCs w:val="1"/>
          <w:color w:val="auto"/>
        </w:rPr>
        <w:t>ICLICK INTERACTIVE ASIA GROUP LIMITED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Unaudited Reconciliations of GAAP and Non-GAAP Results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Adjusted EBITDA represents net loss before (i) depreciation and amortization, (ii) interest expense, (iii) interest income, (iv) income tax expense, (v) share-based compensation, (vi) fair value losses on derivative liabilities, (vii) fair value losses on convertible notes, (viii) other gains, net, (ix) convertible notes issuance cost, (x) net loss attributable to noncontrolling interests, (xi) share of losses from an equity investee, (xii) cost related to new business setup or acquisitions, and (xiii) cost related to filing of Form F-3.</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EBITDA from net 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51"/>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(5,713)</w:t>
            </w:r>
          </w:p>
        </w:tc>
        <w:tc>
          <w:tcPr>
            <w:tcW w:w="60" w:type="dxa"/>
            <w:vAlign w:val="bottom"/>
          </w:tcPr>
          <w:p>
            <w:pPr>
              <w:spacing w:after="0"/>
              <w:rPr>
                <w:sz w:val="19"/>
                <w:szCs w:val="19"/>
                <w:color w:val="auto"/>
              </w:rPr>
            </w:pPr>
          </w:p>
        </w:tc>
      </w:tr>
      <w:tr>
        <w:trPr>
          <w:trHeight w:val="229"/>
        </w:trPr>
        <w:tc>
          <w:tcPr>
            <w:tcW w:w="656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1,833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3,487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3,378</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Interest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580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537</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Interest income</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(115)</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(362)</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(214)</w:t>
            </w: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404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320</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EBITDA</w:t>
            </w:r>
          </w:p>
        </w:tc>
        <w:tc>
          <w:tcPr>
            <w:tcW w:w="7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2,642</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24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w:t>
            </w:r>
          </w:p>
        </w:tc>
        <w:tc>
          <w:tcPr>
            <w:tcW w:w="2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(1,985)</w:t>
            </w:r>
          </w:p>
        </w:tc>
        <w:tc>
          <w:tcPr>
            <w:tcW w:w="60" w:type="dxa"/>
            <w:vAlign w:val="bottom"/>
          </w:tcPr>
          <w:p>
            <w:pPr>
              <w:spacing w:after="0"/>
              <w:rPr>
                <w:sz w:val="19"/>
                <w:szCs w:val="19"/>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1,992</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4,6</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(538)</w:t>
            </w: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42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8</w:t>
            </w: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20"/>
                <w:szCs w:val="20"/>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5"/>
                <w:szCs w:val="15"/>
                <w:color w:val="auto"/>
              </w:rPr>
              <w:t>6</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5,158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040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150" w:lineRule="exact"/>
        <w:rPr>
          <w:sz w:val="20"/>
          <w:szCs w:val="20"/>
          <w:color w:val="auto"/>
        </w:rPr>
      </w:pPr>
    </w:p>
    <w:p>
      <w:pPr>
        <w:ind w:left="120" w:right="20" w:hanging="112"/>
        <w:spacing w:after="0"/>
        <w:tabs>
          <w:tab w:leader="none" w:pos="120" w:val="left"/>
        </w:tabs>
        <w:numPr>
          <w:ilvl w:val="0"/>
          <w:numId w:val="6"/>
        </w:numPr>
        <w:rPr>
          <w:rFonts w:ascii="Arial" w:cs="Arial" w:eastAsia="Arial" w:hAnsi="Arial"/>
          <w:sz w:val="12"/>
          <w:szCs w:val="12"/>
          <w:color w:val="auto"/>
        </w:rPr>
      </w:pPr>
      <w:r>
        <w:rPr>
          <w:rFonts w:ascii="Arial" w:cs="Arial" w:eastAsia="Arial" w:hAnsi="Arial"/>
          <w:sz w:val="14"/>
          <w:szCs w:val="14"/>
          <w:color w:val="auto"/>
        </w:rPr>
        <w:t>Other gains, net, have been adjusted out, except for amounts of US$766 thousand, US$381 thousand, US$1,215 thousand, and US$674 thousand in relation to government grants for the three months ended June 30, 2020 and 2019 and for the six months ended June 30, 2020 and 2019, respectively.</w:t>
      </w:r>
    </w:p>
    <w:p>
      <w:pPr>
        <w:ind w:left="120" w:hanging="112"/>
        <w:spacing w:after="0" w:line="222" w:lineRule="auto"/>
        <w:tabs>
          <w:tab w:leader="none" w:pos="120" w:val="left"/>
        </w:tabs>
        <w:numPr>
          <w:ilvl w:val="0"/>
          <w:numId w:val="7"/>
        </w:numPr>
        <w:rPr>
          <w:rFonts w:ascii="Arial" w:cs="Arial" w:eastAsia="Arial" w:hAnsi="Arial"/>
          <w:sz w:val="12"/>
          <w:szCs w:val="12"/>
          <w:color w:val="auto"/>
        </w:rPr>
      </w:pPr>
      <w:r>
        <w:rPr>
          <w:rFonts w:ascii="Arial" w:cs="Arial" w:eastAsia="Arial" w:hAnsi="Arial"/>
          <w:sz w:val="14"/>
          <w:szCs w:val="14"/>
          <w:color w:val="auto"/>
        </w:rPr>
        <w:t>Convertible notes issuance cost represents legal and professional fee for the issue of convertible notes.</w:t>
      </w:r>
    </w:p>
    <w:p>
      <w:pPr>
        <w:ind w:left="120" w:hanging="112"/>
        <w:spacing w:after="0"/>
        <w:tabs>
          <w:tab w:leader="none" w:pos="120" w:val="left"/>
        </w:tabs>
        <w:numPr>
          <w:ilvl w:val="0"/>
          <w:numId w:val="8"/>
        </w:numPr>
        <w:rPr>
          <w:rFonts w:ascii="Arial" w:cs="Arial" w:eastAsia="Arial" w:hAnsi="Arial"/>
          <w:sz w:val="11"/>
          <w:szCs w:val="11"/>
          <w:color w:val="auto"/>
        </w:rPr>
      </w:pPr>
      <w:r>
        <w:rPr>
          <w:rFonts w:ascii="Arial" w:cs="Arial" w:eastAsia="Arial" w:hAnsi="Arial"/>
          <w:sz w:val="12"/>
          <w:szCs w:val="12"/>
          <w:color w:val="auto"/>
        </w:rPr>
        <w:t>The comparative figures for the three months ended June 30, 2019 and six months ended June 30, 2019 were restated to conform to the presentation of the figures for the same periods of 2020.</w:t>
      </w:r>
    </w:p>
    <w:p>
      <w:pPr>
        <w:spacing w:after="0" w:line="10" w:lineRule="exact"/>
        <w:rPr>
          <w:rFonts w:ascii="Arial" w:cs="Arial" w:eastAsia="Arial" w:hAnsi="Arial"/>
          <w:sz w:val="11"/>
          <w:szCs w:val="11"/>
          <w:color w:val="auto"/>
        </w:rPr>
      </w:pPr>
    </w:p>
    <w:p>
      <w:pPr>
        <w:ind w:right="1080"/>
        <w:spacing w:after="0" w:line="237" w:lineRule="auto"/>
        <w:rPr>
          <w:rFonts w:ascii="Arial" w:cs="Arial" w:eastAsia="Arial" w:hAnsi="Arial"/>
          <w:sz w:val="11"/>
          <w:szCs w:val="11"/>
          <w:color w:val="auto"/>
        </w:rPr>
      </w:pPr>
      <w:r>
        <w:rPr>
          <w:rFonts w:ascii="Arial" w:cs="Arial" w:eastAsia="Arial" w:hAnsi="Arial"/>
          <w:sz w:val="12"/>
          <w:szCs w:val="12"/>
          <w:color w:val="auto"/>
        </w:rPr>
        <w:t xml:space="preserve">7 </w:t>
      </w:r>
      <w:r>
        <w:rPr>
          <w:rFonts w:ascii="Arial" w:cs="Arial" w:eastAsia="Arial" w:hAnsi="Arial"/>
          <w:sz w:val="14"/>
          <w:szCs w:val="14"/>
          <w:color w:val="auto"/>
        </w:rPr>
        <w:t>Cost related to new business setup or acquisition represents transaction cost for setting up Thailand business and other acquisitions, including audit, legal and professional fee.</w:t>
      </w:r>
      <w:r>
        <w:rPr>
          <w:rFonts w:ascii="Arial" w:cs="Arial" w:eastAsia="Arial" w:hAnsi="Arial"/>
          <w:sz w:val="12"/>
          <w:szCs w:val="12"/>
          <w:color w:val="auto"/>
        </w:rPr>
        <w:t xml:space="preserve"> 8 </w:t>
      </w:r>
      <w:r>
        <w:rPr>
          <w:rFonts w:ascii="Arial" w:cs="Arial" w:eastAsia="Arial" w:hAnsi="Arial"/>
          <w:sz w:val="14"/>
          <w:szCs w:val="14"/>
          <w:color w:val="auto"/>
        </w:rPr>
        <w:t>It represents cost related to the filing of Form F-3, such as audit, legal and professional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both"/>
        <w:spacing w:after="0" w:line="246" w:lineRule="auto"/>
        <w:rPr>
          <w:sz w:val="20"/>
          <w:szCs w:val="20"/>
          <w:color w:val="auto"/>
        </w:rPr>
      </w:pPr>
      <w:r>
        <w:rPr>
          <w:rFonts w:ascii="Arial" w:cs="Arial" w:eastAsia="Arial" w:hAnsi="Arial"/>
          <w:sz w:val="20"/>
          <w:szCs w:val="20"/>
          <w:color w:val="auto"/>
        </w:rPr>
        <w:t>Adjusted net income/(loss) represents net loss before (i) share-based compensation, (ii) fair value losses on derivative liabilities, (iii) fair value losses on convertible notes, (iv) other gains, net, (v) convertible notes issuance cost, (vi) net loss attributable to noncontrolling interests, (vii) share of losses from an equity investee, (viii) cost related to new business setup or acquisitions, and (ix) cost related to filing of Form F-3. There is no material tax effects on these non-GAAP adjustments.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color w:val="auto"/>
        </w:rPr>
        <w:t>The table below sets forth a reconciliation of the Company’s adjusted net income/(loss) from net loss for the periods indicated: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center"/>
              <w:ind w:left="52"/>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8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222"/>
        </w:trPr>
        <w:tc>
          <w:tcPr>
            <w:tcW w:w="58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(8,449)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(5,713)</w:t>
            </w:r>
          </w:p>
        </w:tc>
        <w:tc>
          <w:tcPr>
            <w:tcW w:w="60" w:type="dxa"/>
            <w:vAlign w:val="bottom"/>
          </w:tcPr>
          <w:p>
            <w:pPr>
              <w:spacing w:after="0"/>
              <w:rPr>
                <w:sz w:val="19"/>
                <w:szCs w:val="19"/>
                <w:color w:val="auto"/>
              </w:rPr>
            </w:pPr>
          </w:p>
        </w:tc>
      </w:tr>
      <w:tr>
        <w:trPr>
          <w:trHeight w:val="229"/>
        </w:trPr>
        <w:tc>
          <w:tcPr>
            <w:tcW w:w="6560" w:type="dxa"/>
            <w:vAlign w:val="bottom"/>
            <w:gridSpan w:val="2"/>
          </w:tcPr>
          <w:p>
            <w:pPr>
              <w:spacing w:after="0"/>
              <w:rPr>
                <w:sz w:val="20"/>
                <w:szCs w:val="20"/>
                <w:color w:val="auto"/>
              </w:rPr>
            </w:pPr>
            <w:r>
              <w:rPr>
                <w:rFonts w:ascii="Arial" w:cs="Arial" w:eastAsia="Arial" w:hAnsi="Arial"/>
                <w:sz w:val="18"/>
                <w:szCs w:val="18"/>
                <w:color w:val="auto"/>
              </w:rPr>
              <w:t>Add/(less):</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2,267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1,226</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Fair value losses on derivative liabilities</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1,567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5,123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Fair value losses on convertible notes</w:t>
            </w:r>
          </w:p>
        </w:tc>
        <w:tc>
          <w:tcPr>
            <w:tcW w:w="42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1,992</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Other gains, net</w:t>
            </w:r>
            <w:r>
              <w:rPr>
                <w:rFonts w:ascii="Arial" w:cs="Arial" w:eastAsia="Arial" w:hAnsi="Arial"/>
                <w:sz w:val="15"/>
                <w:szCs w:val="15"/>
                <w:color w:val="auto"/>
              </w:rPr>
              <w:t>4,6</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(717)</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(538)</w:t>
            </w: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Convertible notes issuance cost</w:t>
            </w:r>
            <w:r>
              <w:rPr>
                <w:rFonts w:ascii="Arial" w:cs="Arial" w:eastAsia="Arial" w:hAnsi="Arial"/>
                <w:sz w:val="15"/>
                <w:szCs w:val="15"/>
                <w:color w:val="auto"/>
              </w:rPr>
              <w:t>5</w:t>
            </w: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Net loss attributable to noncontrolling interests</w:t>
            </w:r>
          </w:p>
        </w:tc>
        <w:tc>
          <w:tcPr>
            <w:tcW w:w="42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437</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Share of losses from an equity investee</w:t>
            </w: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29"/>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Cost related to new business setup or acquisitions</w:t>
            </w:r>
            <w:r>
              <w:rPr>
                <w:rFonts w:ascii="Arial" w:cs="Arial" w:eastAsia="Arial" w:hAnsi="Arial"/>
                <w:sz w:val="15"/>
                <w:szCs w:val="15"/>
                <w:color w:val="auto"/>
              </w:rPr>
              <w:t>7</w:t>
            </w:r>
          </w:p>
        </w:tc>
        <w:tc>
          <w:tcPr>
            <w:tcW w:w="42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c>
          <w:tcPr>
            <w:tcW w:w="60" w:type="dxa"/>
            <w:vAlign w:val="bottom"/>
          </w:tcPr>
          <w:p>
            <w:pPr>
              <w:spacing w:after="0"/>
              <w:rPr>
                <w:sz w:val="19"/>
                <w:szCs w:val="19"/>
                <w:color w:val="auto"/>
              </w:rPr>
            </w:pPr>
          </w:p>
        </w:tc>
      </w:tr>
      <w:tr>
        <w:trPr>
          <w:trHeight w:val="230"/>
        </w:trPr>
        <w:tc>
          <w:tcPr>
            <w:tcW w:w="6560" w:type="dxa"/>
            <w:vAlign w:val="bottom"/>
            <w:gridSpan w:val="2"/>
          </w:tcPr>
          <w:p>
            <w:pPr>
              <w:ind w:left="260"/>
              <w:spacing w:after="0"/>
              <w:rPr>
                <w:sz w:val="20"/>
                <w:szCs w:val="20"/>
                <w:color w:val="auto"/>
              </w:rPr>
            </w:pPr>
            <w:r>
              <w:rPr>
                <w:rFonts w:ascii="Arial" w:cs="Arial" w:eastAsia="Arial" w:hAnsi="Arial"/>
                <w:sz w:val="18"/>
                <w:szCs w:val="18"/>
                <w:color w:val="auto"/>
              </w:rPr>
              <w:t>Cost related to filing of Form F-3</w:t>
            </w:r>
            <w:r>
              <w:rPr>
                <w:rFonts w:ascii="Arial" w:cs="Arial" w:eastAsia="Arial" w:hAnsi="Arial"/>
                <w:sz w:val="15"/>
                <w:szCs w:val="15"/>
                <w:color w:val="auto"/>
              </w:rPr>
              <w:t>8</w:t>
            </w:r>
          </w:p>
        </w:tc>
        <w:tc>
          <w:tcPr>
            <w:tcW w:w="92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240" w:type="dxa"/>
            <w:vAlign w:val="bottom"/>
          </w:tcPr>
          <w:p>
            <w:pPr>
              <w:spacing w:after="0"/>
              <w:rPr>
                <w:sz w:val="20"/>
                <w:szCs w:val="20"/>
                <w:color w:val="auto"/>
              </w:rPr>
            </w:pPr>
          </w:p>
        </w:tc>
        <w:tc>
          <w:tcPr>
            <w:tcW w:w="166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Adjusted net income/(loss)</w:t>
            </w:r>
            <w:r>
              <w:rPr>
                <w:rFonts w:ascii="Arial" w:cs="Arial" w:eastAsia="Arial" w:hAnsi="Arial"/>
                <w:sz w:val="15"/>
                <w:szCs w:val="15"/>
                <w:color w:val="auto"/>
              </w:rPr>
              <w:t>6</w:t>
            </w:r>
          </w:p>
        </w:tc>
        <w:tc>
          <w:tcPr>
            <w:tcW w:w="72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2,495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The diluted adjusted net income/(loss) per ADS for the periods indicated are calculated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600" w:type="dxa"/>
            <w:vAlign w:val="bottom"/>
            <w:tcBorders>
              <w:bottom w:val="single" w:sz="8" w:color="auto"/>
            </w:tcBorders>
            <w:gridSpan w:val="3"/>
          </w:tcPr>
          <w:p>
            <w:pPr>
              <w:jc w:val="center"/>
              <w:ind w:left="815"/>
              <w:spacing w:after="0"/>
              <w:rPr>
                <w:sz w:val="20"/>
                <w:szCs w:val="20"/>
                <w:color w:val="auto"/>
              </w:rPr>
            </w:pPr>
            <w:r>
              <w:rPr>
                <w:rFonts w:ascii="Arial" w:cs="Arial" w:eastAsia="Arial" w:hAnsi="Arial"/>
                <w:sz w:val="14"/>
                <w:szCs w:val="14"/>
                <w:b w:val="1"/>
                <w:bCs w:val="1"/>
                <w:color w:val="auto"/>
                <w:w w:val="89"/>
              </w:rPr>
              <w:t>June 30,</w:t>
            </w:r>
          </w:p>
        </w:tc>
        <w:tc>
          <w:tcPr>
            <w:tcW w:w="9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Borders>
              <w:bottom w:val="single" w:sz="8" w:color="auto"/>
            </w:tcBorders>
            <w:gridSpan w:val="3"/>
          </w:tcPr>
          <w:p>
            <w:pPr>
              <w:jc w:val="center"/>
              <w:ind w:left="815"/>
              <w:spacing w:after="0"/>
              <w:rPr>
                <w:sz w:val="20"/>
                <w:szCs w:val="20"/>
                <w:color w:val="auto"/>
              </w:rPr>
            </w:pPr>
            <w:r>
              <w:rPr>
                <w:rFonts w:ascii="Arial" w:cs="Arial" w:eastAsia="Arial" w:hAnsi="Arial"/>
                <w:sz w:val="14"/>
                <w:szCs w:val="14"/>
                <w:b w:val="1"/>
                <w:bCs w:val="1"/>
                <w:color w:val="auto"/>
                <w:w w:val="92"/>
              </w:rPr>
              <w:t>June 30,</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11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840" w:type="dxa"/>
            <w:vAlign w:val="bottom"/>
            <w:vMerge w:val="continue"/>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(8,449)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w:t>
            </w:r>
            <w:r>
              <w:rPr>
                <w:rFonts w:ascii="Arial" w:cs="Arial" w:eastAsia="Arial" w:hAnsi="Arial"/>
                <w:sz w:val="15"/>
                <w:szCs w:val="15"/>
                <w:color w:val="auto"/>
              </w:rPr>
              <w:t>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11,497</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Adjusted net income/(loss)</w:t>
            </w:r>
            <w:r>
              <w:rPr>
                <w:rFonts w:ascii="Arial" w:cs="Arial" w:eastAsia="Arial" w:hAnsi="Arial"/>
                <w:sz w:val="15"/>
                <w:szCs w:val="15"/>
                <w:color w:val="auto"/>
              </w:rPr>
              <w:t>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3,048</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Denominator for net loss per ADS - Weighted average</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74,804,895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57,021,120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69,590,308</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56,700,646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5840" w:type="dxa"/>
            <w:vAlign w:val="bottom"/>
          </w:tcPr>
          <w:p>
            <w:pPr>
              <w:spacing w:after="0"/>
              <w:rPr>
                <w:sz w:val="20"/>
                <w:szCs w:val="20"/>
                <w:color w:val="auto"/>
              </w:rPr>
            </w:pPr>
            <w:r>
              <w:rPr>
                <w:rFonts w:ascii="Arial" w:cs="Arial" w:eastAsia="Arial" w:hAnsi="Arial"/>
                <w:sz w:val="18"/>
                <w:szCs w:val="18"/>
                <w:color w:val="auto"/>
              </w:rPr>
              <w:t>Denominator for diluted adjusted net income/(loss) per</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40"/>
              <w:spacing w:after="0"/>
              <w:rPr>
                <w:sz w:val="20"/>
                <w:szCs w:val="20"/>
                <w:color w:val="auto"/>
              </w:rPr>
            </w:pPr>
            <w:r>
              <w:rPr>
                <w:rFonts w:ascii="Arial" w:cs="Arial" w:eastAsia="Arial" w:hAnsi="Arial"/>
                <w:sz w:val="18"/>
                <w:szCs w:val="18"/>
                <w:color w:val="auto"/>
              </w:rPr>
              <w:t>ADS - Weighted average ADS outstanding</w:t>
            </w:r>
          </w:p>
        </w:tc>
        <w:tc>
          <w:tcPr>
            <w:tcW w:w="1140" w:type="dxa"/>
            <w:vAlign w:val="bottom"/>
          </w:tcPr>
          <w:p>
            <w:pPr>
              <w:jc w:val="right"/>
              <w:spacing w:after="0"/>
              <w:rPr>
                <w:sz w:val="20"/>
                <w:szCs w:val="20"/>
                <w:color w:val="auto"/>
              </w:rPr>
            </w:pPr>
            <w:r>
              <w:rPr>
                <w:rFonts w:ascii="Arial" w:cs="Arial" w:eastAsia="Arial" w:hAnsi="Arial"/>
                <w:sz w:val="18"/>
                <w:szCs w:val="18"/>
                <w:color w:val="auto"/>
              </w:rPr>
              <w:t>81,336,689</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57,021,120</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76,122,102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56,700,646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5840" w:type="dxa"/>
            <w:vAlign w:val="bottom"/>
          </w:tcPr>
          <w:p>
            <w:pPr>
              <w:spacing w:after="0"/>
              <w:rPr>
                <w:sz w:val="20"/>
                <w:szCs w:val="20"/>
                <w:color w:val="auto"/>
              </w:rPr>
            </w:pPr>
            <w:r>
              <w:rPr>
                <w:rFonts w:ascii="Arial" w:cs="Arial" w:eastAsia="Arial" w:hAnsi="Arial"/>
                <w:sz w:val="18"/>
                <w:szCs w:val="18"/>
                <w:color w:val="auto"/>
              </w:rPr>
              <w:t>Diluted net loss per ADS</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(0.0003)</w:t>
            </w:r>
          </w:p>
        </w:tc>
        <w:tc>
          <w:tcPr>
            <w:tcW w:w="22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(0.0569)</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(0.1214)</w:t>
            </w: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(0.1008)</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Add: Non-GAAP adjustments to net loss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0.0443</w:t>
            </w:r>
          </w:p>
        </w:tc>
        <w:tc>
          <w:tcPr>
            <w:tcW w:w="24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0.1614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Diluted adjusted net income/(loss) per ADS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0.0307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(0.0126)</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0.0400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3"/>
      <w:numFmt w:val="bullet"/>
      <w:start w:val="1"/>
    </w:lvl>
  </w:abstractNum>
  <w:abstractNum w:abstractNumId="5">
    <w:nsid w:val="41B71EFB"/>
    <w:multiLevelType w:val="hybridMultilevel"/>
    <w:lvl w:ilvl="0">
      <w:lvlJc w:val="left"/>
      <w:lvlText w:val="4"/>
      <w:numFmt w:val="bullet"/>
      <w:start w:val="1"/>
    </w:lvl>
  </w:abstractNum>
  <w:abstractNum w:abstractNumId="6">
    <w:nsid w:val="79E2A9E3"/>
    <w:multiLevelType w:val="hybridMultilevel"/>
    <w:lvl w:ilvl="0">
      <w:lvlJc w:val="left"/>
      <w:lvlText w:val="5"/>
      <w:numFmt w:val="bullet"/>
      <w:start w:val="1"/>
    </w:lvl>
  </w:abstractNum>
  <w:abstractNum w:abstractNumId="7">
    <w:nsid w:val="7545E146"/>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2020-08-24T15:03:32Z</dcterms:created>
  <dcterms:modified xsi:type="dcterms:W3CDTF">2020-08-24T15:03:32Z</dcterms:modified>
</cp:coreProperties>
</file>