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27-4357327</w:t>
            </w:r>
          </w:p>
        </w:tc>
        <w:tc>
          <w:tcPr>
            <w:tcW w:w="104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480" w:right="3019" w:hanging="5472"/>
        <w:spacing w:after="0" w:line="500"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473,737</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5.33%</w:t>
      </w:r>
    </w:p>
    <w:p>
      <w:pPr>
        <w:spacing w:after="0" w:line="225"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Teachers Advisors,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269,361</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3.03%</w:t>
      </w:r>
    </w:p>
    <w:p>
      <w:pPr>
        <w:spacing w:after="0" w:line="225"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College Retirement Equities Fund- Stock Account</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450,306</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5.06%</w:t>
      </w:r>
    </w:p>
    <w:p>
      <w:pPr>
        <w:spacing w:after="0" w:line="22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IV</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jc w:val="center"/>
        <w:ind w:right="3779"/>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7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45113Y203</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Aggregate amount beneficially owned: 743,311</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Number of shares as to which person has: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TCIM</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1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120" w:type="dxa"/>
            <w:vAlign w:val="bottom"/>
          </w:tcPr>
          <w:p>
            <w:pPr>
              <w:spacing w:after="0"/>
              <w:rPr>
                <w:sz w:val="12"/>
                <w:szCs w:val="12"/>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r>
        <w:trPr>
          <w:trHeight w:val="132"/>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20" w:type="dxa"/>
            <w:vAlign w:val="bottom"/>
          </w:tcPr>
          <w:p>
            <w:pPr>
              <w:spacing w:after="0"/>
              <w:rPr>
                <w:sz w:val="11"/>
                <w:szCs w:val="11"/>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-858520</wp:posOffset>
            </wp:positionV>
            <wp:extent cx="363474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3771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-387350</wp:posOffset>
            </wp:positionV>
            <wp:extent cx="363474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4740" cy="282575"/>
                    </a:xfrm>
                    <a:prstGeom prst="rect">
                      <a:avLst/>
                    </a:prstGeom>
                    <a:noFill/>
                  </pic:spPr>
                </pic:pic>
              </a:graphicData>
            </a:graphic>
          </wp:anchor>
        </w:drawing>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§240.14a-11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COLLEGE RETIREMENT EQUITIES FUND-STOCK ACCOUNT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213 shares of Issuer’s common stock. TIAA-CREF Investment Management, LLC (“TCIM”) is the investment adviser to the College Retirement Equities Fund (“CREF”), a registered investment company, and may be deemed to be a beneficial owner of 473,737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269,361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3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2024-02-14T11:45:49Z</dcterms:created>
  <dcterms:modified xsi:type="dcterms:W3CDTF">2024-02-14T11:45:49Z</dcterms:modified>
</cp:coreProperties>
</file>