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Suite 400, Newport Beach,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 92660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19, 2017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Mengyao Lu, Staff Accountant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Stephen Krikorian, 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Barbara C. Jacobs, Assistant Director, Office of Information Technologies and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Edwin Kim,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iClick Interactive Asia Group Limited</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F-1, as amended (Registration No. 333-221034)</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8-A (Registration No. 001-38313)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480" w:firstLine="449"/>
        <w:spacing w:after="0" w:line="317" w:lineRule="auto"/>
        <w:rPr>
          <w:sz w:val="20"/>
          <w:szCs w:val="20"/>
          <w:color w:val="auto"/>
        </w:rPr>
      </w:pPr>
      <w:r>
        <w:rPr>
          <w:rFonts w:ascii="Times New Roman" w:cs="Times New Roman" w:eastAsia="Times New Roman" w:hAnsi="Times New Roman"/>
          <w:sz w:val="17"/>
          <w:szCs w:val="17"/>
          <w:color w:val="auto"/>
        </w:rPr>
        <w:t>We hereby join iClick Interactive Asia Group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its request for acceleration of the above-referenced Registration Statements, requesting effectiveness at 6:00 p.m., Eastern Daylight Time on December 21, 2017, or as soon thereafter as practicable.</w:t>
      </w:r>
    </w:p>
    <w:p>
      <w:pPr>
        <w:spacing w:after="0" w:line="136" w:lineRule="exact"/>
        <w:rPr>
          <w:sz w:val="24"/>
          <w:szCs w:val="24"/>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Pursuant to Rule 460 of the General Rules and Regulations promulgated under the Securities Act of 1933, as amended, we wish to advise you that we have effected the following distribution of the Company’s Preliminary Prospectus dated December 18, 2017, through the date hereof:</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Preliminary Prospectus dated December 18, 2017:</w:t>
      </w:r>
    </w:p>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60 copies to prospective underwriters, institutional investors, dealers and others.</w:t>
      </w:r>
    </w:p>
    <w:p>
      <w:pPr>
        <w:spacing w:after="0" w:line="225" w:lineRule="exact"/>
        <w:rPr>
          <w:sz w:val="24"/>
          <w:szCs w:val="24"/>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undersigned advise that the underwriters have complied and will continue to comply with Rule 15c2-8 under the Securities Exchange Act of 1934, as amended.</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503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Aaron Gurewitz</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Equity Capital Markets</w:t>
      </w:r>
    </w:p>
    <w:p>
      <w:pPr>
        <w:spacing w:after="0" w:line="218"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Underwriters’ Acceleration Request</w:t>
      </w:r>
      <w:r>
        <w:rPr>
          <w:rFonts w:ascii="Times New Roman" w:cs="Times New Roman" w:eastAsia="Times New Roman" w:hAnsi="Times New Roman"/>
          <w:sz w:val="18"/>
          <w:szCs w:val="18"/>
          <w:color w:val="auto"/>
        </w:rPr>
        <w:t>]</w:t>
      </w:r>
    </w:p>
    <w:sectPr>
      <w:pgSz w:w="11900" w:h="16838" w:orient="portrait"/>
      <w:cols w:equalWidth="0" w:num="1">
        <w:col w:w="10139"/>
      </w:cols>
      <w:pgMar w:left="32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2020-10-07T22:41:01Z</dcterms:created>
  <dcterms:modified xsi:type="dcterms:W3CDTF">2020-10-07T22:41:01Z</dcterms:modified>
</cp:coreProperties>
</file>