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left="1120" w:right="218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For the month of December 2019</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40"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 Form 20-F x Form 40-F o</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40"/>
          </w:cols>
          <w:pgMar w:left="240" w:top="544" w:right="11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00" w:type="dxa"/>
            <w:vAlign w:val="bottom"/>
          </w:tcPr>
          <w:p>
            <w:pPr>
              <w:ind w:left="370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24"/>
                <w:szCs w:val="24"/>
                <w:color w:val="auto"/>
              </w:rPr>
            </w:pPr>
          </w:p>
        </w:tc>
        <w:tc>
          <w:tcPr>
            <w:tcW w:w="10100" w:type="dxa"/>
            <w:vAlign w:val="bottom"/>
            <w:tcBorders>
              <w:bottom w:val="single" w:sz="8" w:color="auto"/>
            </w:tcBorders>
          </w:tcPr>
          <w:p>
            <w:pPr>
              <w:ind w:left="4280"/>
              <w:spacing w:after="0"/>
              <w:rPr>
                <w:sz w:val="20"/>
                <w:szCs w:val="20"/>
                <w:color w:val="auto"/>
              </w:rPr>
            </w:pPr>
            <w:r>
              <w:rPr>
                <w:rFonts w:ascii="Arial" w:cs="Arial" w:eastAsia="Arial" w:hAnsi="Arial"/>
                <w:sz w:val="14"/>
                <w:szCs w:val="14"/>
                <w:b w:val="1"/>
                <w:bCs w:val="1"/>
                <w:color w:val="auto"/>
              </w:rPr>
              <w:t>Description of Document</w:t>
            </w:r>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10400" w:type="dxa"/>
            <w:vAlign w:val="bottom"/>
            <w:gridSpan w:val="2"/>
          </w:tcPr>
          <w:p>
            <w:pPr>
              <w:ind w:left="300"/>
              <w:spacing w:after="0"/>
              <w:rPr>
                <w:sz w:val="20"/>
                <w:szCs w:val="20"/>
                <w:color w:val="auto"/>
              </w:rPr>
            </w:pPr>
            <w:r>
              <w:rPr>
                <w:rFonts w:ascii="Arial" w:cs="Arial" w:eastAsia="Arial" w:hAnsi="Arial"/>
                <w:sz w:val="18"/>
                <w:szCs w:val="18"/>
                <w:color w:val="auto"/>
              </w:rPr>
              <w:t>Press release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40" w:type="dxa"/>
            <w:vAlign w:val="bottom"/>
          </w:tcPr>
          <w:p>
            <w:pPr>
              <w:spacing w:after="0"/>
              <w:rPr>
                <w:sz w:val="20"/>
                <w:szCs w:val="20"/>
                <w:color w:val="auto"/>
              </w:rPr>
            </w:pPr>
          </w:p>
        </w:tc>
      </w:tr>
      <w:tr>
        <w:trPr>
          <w:trHeight w:val="432"/>
        </w:trPr>
        <w:tc>
          <w:tcPr>
            <w:tcW w:w="6480" w:type="dxa"/>
            <w:vAlign w:val="bottom"/>
          </w:tcPr>
          <w:p>
            <w:pPr>
              <w:ind w:left="57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c>
          <w:tcPr>
            <w:tcW w:w="40" w:type="dxa"/>
            <w:vAlign w:val="bottom"/>
          </w:tcPr>
          <w:p>
            <w:pPr>
              <w:spacing w:after="0"/>
              <w:rPr>
                <w:sz w:val="24"/>
                <w:szCs w:val="24"/>
                <w:color w:val="auto"/>
              </w:rPr>
            </w:pPr>
          </w:p>
        </w:tc>
      </w:tr>
      <w:tr>
        <w:trPr>
          <w:trHeight w:val="195"/>
        </w:trPr>
        <w:tc>
          <w:tcPr>
            <w:tcW w:w="6480" w:type="dxa"/>
            <w:vAlign w:val="bottom"/>
          </w:tcPr>
          <w:p>
            <w:pPr>
              <w:ind w:left="57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Wing Hong Sammy Hsieh</w:t>
            </w:r>
          </w:p>
        </w:tc>
        <w:tc>
          <w:tcPr>
            <w:tcW w:w="40" w:type="dxa"/>
            <w:vAlign w:val="bottom"/>
          </w:tcPr>
          <w:p>
            <w:pPr>
              <w:spacing w:after="0"/>
              <w:rPr>
                <w:sz w:val="16"/>
                <w:szCs w:val="16"/>
                <w:color w:val="auto"/>
              </w:rPr>
            </w:pPr>
          </w:p>
        </w:tc>
      </w:tr>
      <w:tr>
        <w:trPr>
          <w:trHeight w:val="230"/>
        </w:trPr>
        <w:tc>
          <w:tcPr>
            <w:tcW w:w="6480" w:type="dxa"/>
            <w:vAlign w:val="bottom"/>
          </w:tcPr>
          <w:p>
            <w:pPr>
              <w:ind w:left="57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 and Executive Chairman of the Board</w:t>
            </w:r>
          </w:p>
        </w:tc>
        <w:tc>
          <w:tcPr>
            <w:tcW w:w="40" w:type="dxa"/>
            <w:vAlign w:val="bottom"/>
          </w:tcPr>
          <w:p>
            <w:pPr>
              <w:spacing w:after="0"/>
              <w:rPr>
                <w:sz w:val="20"/>
                <w:szCs w:val="20"/>
                <w:color w:val="auto"/>
              </w:rPr>
            </w:pPr>
          </w:p>
        </w:tc>
      </w:tr>
      <w:tr>
        <w:trPr>
          <w:trHeight w:val="432"/>
        </w:trPr>
        <w:tc>
          <w:tcPr>
            <w:tcW w:w="6480" w:type="dxa"/>
            <w:vAlign w:val="bottom"/>
          </w:tcPr>
          <w:p>
            <w:pPr>
              <w:spacing w:after="0"/>
              <w:rPr>
                <w:sz w:val="20"/>
                <w:szCs w:val="20"/>
                <w:color w:val="auto"/>
              </w:rPr>
            </w:pPr>
            <w:r>
              <w:rPr>
                <w:rFonts w:ascii="Arial" w:cs="Arial" w:eastAsia="Arial" w:hAnsi="Arial"/>
                <w:sz w:val="18"/>
                <w:szCs w:val="18"/>
                <w:color w:val="auto"/>
              </w:rPr>
              <w:t>Date: December 20, 2019</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80" w:type="dxa"/>
            <w:vAlign w:val="bottom"/>
          </w:tcPr>
          <w:p>
            <w:pPr>
              <w:ind w:left="566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154940</wp:posOffset>
            </wp:positionV>
            <wp:extent cx="1166495"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64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iClick Interactive Asia Group Limited Announces the Promotion of Jian Tang as Chief Executive Officer and Appointment of Matthew Chu Pong Fong to Board of Directors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Hong Kong, December 19, 2019 — iClick Interactive Asia Group Limited (“iClick” or the “Company”) (NASDAQ: ICLK), an independent online marketing and enterprise data solutions provider in China, today announced the promotion of Mr. Jian “T.J.” Tang, a co-founder and formerly the Company’s chief operating officer and chief technology officer, as its chief executive officer, as well as the appointment of Mr. Matthew Chu Pong Fong to its board of directors. Both appointments will become effective on January 1, 2020.</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 am particularly pleased to welcome T.J. as iClick’s new CEO, as he is a proven innovator with a unique insight of the Chinese digital market place,” said Sammy Hsieh, co-founder of iClick, who will remain the chairman of the board of directors. “T.J.’s experience in founding, directing and developing business such as OptAim, one of China’s leading mobile platform, and working as one of the key team members that developed Tencent AdExchange qualifies him as a visionary leader, very capable of inspiring people in our organization that will take us into the future.”</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Mr. Sammy Hsieh, who will stay actively involved, will now have the ability to have a more long-term focus on the Company’s growth by leveraging the existing platform to develop joint partnerships and explore new high growth areas in technology that may compliment the Company’s existing business lines. “I am excited about the opportunity to search for future growth drivers for the Company,” said Mr. Hsieh. “In addition we are also honored to welcome Matthew as an independent director to our Board. His extensive financial experience will be an important addition to our Company and we look forward to benefitting from his guidance.”</w:t>
      </w:r>
    </w:p>
    <w:p>
      <w:pPr>
        <w:spacing w:after="0" w:line="18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Mr. Jian “T.J.” Tang has served as a director and co-founder of iClick and has served as its chief operating officer and chief technology officer since 2016. Mr. Tang has approximately 20 years of experience in digital advertising and is well-known in the area of advertising technologies and big data in China. Prior to joining iClick, Mr. Tang founded OptAim in 2012, which was later acquired by the Company in July 2015. Prior to founding OptAim, Mr. Tang was Tencent’s engineering director of advertising platform department who helped initiate and develop Tencent’s programmatic ad exchange platform. 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 Mr. Tang was named by Campaign Asia as one of the leaders in its Digital A-List in 2016.</w:t>
      </w:r>
    </w:p>
    <w:p>
      <w:pPr>
        <w:spacing w:after="0" w:line="16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Mr. Matthew Chu Pong Fong has more than 10 years of professional experience in auditing, corporate finance and financial management for both private and listed corporations. He has held multiple financial leadership positions, including as a manager at a Hong Kong-based multi-strategy private investment fund, from 2015 to 2017, and the chief financial officer of Fornton Group Limited, a knitwear manufacturer, from 2011 to 2014. He also led teams in performing financial audit-related engagements including initial public offering and acquisition at Ernst &amp; Young from 2007 to 2009. He obtained his bachelor degree in accountancy from The Hong Kong Polytechnic University in 2003 and is currently a fellow member of the Association of Chartered Certified Accountants. Mr. Fong will also be a member of the Company’s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60"/>
        <w:spacing w:after="0" w:line="264" w:lineRule="auto"/>
        <w:rPr>
          <w:sz w:val="20"/>
          <w:szCs w:val="20"/>
          <w:color w:val="auto"/>
        </w:rPr>
      </w:pPr>
      <w:r>
        <w:rPr>
          <w:rFonts w:ascii="Arial" w:cs="Arial" w:eastAsia="Arial" w:hAnsi="Arial"/>
          <w:sz w:val="18"/>
          <w:szCs w:val="18"/>
          <w:color w:val="auto"/>
        </w:rPr>
        <w:t>Mr. Matthew Chu Pong Fong’s appointment will follow Mr. Scott Moore’s departure from the Company’s board of directors, effective December 31, 2019. Mr. Scott Moore’s departure was not due to any disagreement with the company. “Scott’s advice and superior insights into corporate governance and financial management was invaluable. The board wishes him success in his future endeavors,” said Mr. Hsieh.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iClick Interactive Asia Group Limited (NASDAQ: ICLK) is an independent online marketing and enterprise data solutions provider that connects worldwide marketers with audiences in China. Built on cutting-edge technologies, iClick’s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ir.i-click.com.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fluctuations in foreign exchange rates; and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For investor and media inquiries, please contact:</w:t>
            </w:r>
          </w:p>
        </w:tc>
        <w:tc>
          <w:tcPr>
            <w:tcW w:w="6780" w:type="dxa"/>
            <w:vAlign w:val="bottom"/>
          </w:tcPr>
          <w:p>
            <w:pPr>
              <w:spacing w:after="0"/>
              <w:rPr>
                <w:sz w:val="20"/>
                <w:szCs w:val="20"/>
                <w:color w:val="auto"/>
              </w:rPr>
            </w:pPr>
          </w:p>
        </w:tc>
      </w:tr>
      <w:tr>
        <w:trPr>
          <w:trHeight w:val="414"/>
        </w:trPr>
        <w:tc>
          <w:tcPr>
            <w:tcW w:w="4680" w:type="dxa"/>
            <w:vAlign w:val="bottom"/>
          </w:tcPr>
          <w:p>
            <w:pPr>
              <w:ind w:left="340"/>
              <w:spacing w:after="0"/>
              <w:rPr>
                <w:sz w:val="20"/>
                <w:szCs w:val="20"/>
                <w:color w:val="auto"/>
              </w:rPr>
            </w:pPr>
            <w:r>
              <w:rPr>
                <w:rFonts w:ascii="Arial" w:cs="Arial" w:eastAsia="Arial" w:hAnsi="Arial"/>
                <w:sz w:val="18"/>
                <w:szCs w:val="18"/>
                <w:b w:val="1"/>
                <w:bCs w:val="1"/>
                <w:color w:val="auto"/>
              </w:rPr>
              <w:t>In China:</w:t>
            </w:r>
          </w:p>
        </w:tc>
        <w:tc>
          <w:tcPr>
            <w:tcW w:w="6780" w:type="dxa"/>
            <w:vAlign w:val="bottom"/>
          </w:tcPr>
          <w:p>
            <w:pPr>
              <w:ind w:left="940"/>
              <w:spacing w:after="0"/>
              <w:rPr>
                <w:sz w:val="20"/>
                <w:szCs w:val="20"/>
                <w:color w:val="auto"/>
              </w:rPr>
            </w:pPr>
            <w:r>
              <w:rPr>
                <w:rFonts w:ascii="Arial" w:cs="Arial" w:eastAsia="Arial" w:hAnsi="Arial"/>
                <w:sz w:val="18"/>
                <w:szCs w:val="18"/>
                <w:b w:val="1"/>
                <w:bCs w:val="1"/>
                <w:color w:val="auto"/>
              </w:rPr>
              <w:t>In the United States:</w:t>
            </w:r>
          </w:p>
        </w:tc>
      </w:tr>
      <w:tr>
        <w:trPr>
          <w:trHeight w:val="220"/>
        </w:trPr>
        <w:tc>
          <w:tcPr>
            <w:tcW w:w="4680" w:type="dxa"/>
            <w:vAlign w:val="bottom"/>
          </w:tcPr>
          <w:p>
            <w:pPr>
              <w:ind w:left="340"/>
              <w:spacing w:after="0"/>
              <w:rPr>
                <w:sz w:val="20"/>
                <w:szCs w:val="20"/>
                <w:color w:val="auto"/>
              </w:rPr>
            </w:pPr>
            <w:r>
              <w:rPr>
                <w:rFonts w:ascii="Arial" w:cs="Arial" w:eastAsia="Arial" w:hAnsi="Arial"/>
                <w:sz w:val="18"/>
                <w:szCs w:val="18"/>
                <w:b w:val="1"/>
                <w:bCs w:val="1"/>
                <w:color w:val="auto"/>
              </w:rPr>
              <w:t>iClick Interactive Asia Group Limited</w:t>
            </w:r>
          </w:p>
        </w:tc>
        <w:tc>
          <w:tcPr>
            <w:tcW w:w="6780" w:type="dxa"/>
            <w:vAlign w:val="bottom"/>
          </w:tcPr>
          <w:p>
            <w:pPr>
              <w:ind w:left="940"/>
              <w:spacing w:after="0"/>
              <w:rPr>
                <w:sz w:val="20"/>
                <w:szCs w:val="20"/>
                <w:color w:val="auto"/>
              </w:rPr>
            </w:pPr>
            <w:r>
              <w:rPr>
                <w:rFonts w:ascii="Arial" w:cs="Arial" w:eastAsia="Arial" w:hAnsi="Arial"/>
                <w:sz w:val="18"/>
                <w:szCs w:val="18"/>
                <w:b w:val="1"/>
                <w:bCs w:val="1"/>
                <w:color w:val="auto"/>
              </w:rPr>
              <w:t>Core IR</w:t>
            </w:r>
          </w:p>
        </w:tc>
      </w:tr>
      <w:tr>
        <w:trPr>
          <w:trHeight w:val="216"/>
        </w:trPr>
        <w:tc>
          <w:tcPr>
            <w:tcW w:w="4680" w:type="dxa"/>
            <w:vAlign w:val="bottom"/>
          </w:tcPr>
          <w:p>
            <w:pPr>
              <w:ind w:left="340"/>
              <w:spacing w:after="0"/>
              <w:rPr>
                <w:sz w:val="20"/>
                <w:szCs w:val="20"/>
                <w:color w:val="auto"/>
              </w:rPr>
            </w:pPr>
            <w:r>
              <w:rPr>
                <w:rFonts w:ascii="Arial" w:cs="Arial" w:eastAsia="Arial" w:hAnsi="Arial"/>
                <w:sz w:val="18"/>
                <w:szCs w:val="18"/>
                <w:color w:val="auto"/>
              </w:rPr>
              <w:t>Lisa Li</w:t>
            </w:r>
          </w:p>
        </w:tc>
        <w:tc>
          <w:tcPr>
            <w:tcW w:w="6780" w:type="dxa"/>
            <w:vAlign w:val="bottom"/>
          </w:tcPr>
          <w:p>
            <w:pPr>
              <w:ind w:left="940"/>
              <w:spacing w:after="0"/>
              <w:rPr>
                <w:sz w:val="20"/>
                <w:szCs w:val="20"/>
                <w:color w:val="auto"/>
              </w:rPr>
            </w:pPr>
            <w:r>
              <w:rPr>
                <w:rFonts w:ascii="Arial" w:cs="Arial" w:eastAsia="Arial" w:hAnsi="Arial"/>
                <w:sz w:val="18"/>
                <w:szCs w:val="18"/>
                <w:color w:val="auto"/>
              </w:rPr>
              <w:t>John Marco</w:t>
            </w:r>
          </w:p>
        </w:tc>
      </w:tr>
      <w:tr>
        <w:trPr>
          <w:trHeight w:val="216"/>
        </w:trPr>
        <w:tc>
          <w:tcPr>
            <w:tcW w:w="4680" w:type="dxa"/>
            <w:vAlign w:val="bottom"/>
          </w:tcPr>
          <w:p>
            <w:pPr>
              <w:ind w:left="340"/>
              <w:spacing w:after="0"/>
              <w:rPr>
                <w:sz w:val="20"/>
                <w:szCs w:val="20"/>
                <w:color w:val="auto"/>
              </w:rPr>
            </w:pPr>
            <w:r>
              <w:rPr>
                <w:rFonts w:ascii="Arial" w:cs="Arial" w:eastAsia="Arial" w:hAnsi="Arial"/>
                <w:sz w:val="18"/>
                <w:szCs w:val="18"/>
                <w:color w:val="auto"/>
              </w:rPr>
              <w:t>Phone: +86-21-3230-3931 #892</w:t>
            </w:r>
          </w:p>
        </w:tc>
        <w:tc>
          <w:tcPr>
            <w:tcW w:w="6780" w:type="dxa"/>
            <w:vAlign w:val="bottom"/>
          </w:tcPr>
          <w:p>
            <w:pPr>
              <w:ind w:left="940"/>
              <w:spacing w:after="0"/>
              <w:rPr>
                <w:sz w:val="20"/>
                <w:szCs w:val="20"/>
                <w:color w:val="auto"/>
              </w:rPr>
            </w:pPr>
            <w:r>
              <w:rPr>
                <w:rFonts w:ascii="Arial" w:cs="Arial" w:eastAsia="Arial" w:hAnsi="Arial"/>
                <w:sz w:val="18"/>
                <w:szCs w:val="18"/>
                <w:color w:val="auto"/>
              </w:rPr>
              <w:t>Tel: +1-516-222-2560</w:t>
            </w:r>
          </w:p>
        </w:tc>
      </w:tr>
      <w:tr>
        <w:trPr>
          <w:trHeight w:val="230"/>
        </w:trPr>
        <w:tc>
          <w:tcPr>
            <w:tcW w:w="4680" w:type="dxa"/>
            <w:vAlign w:val="bottom"/>
          </w:tcPr>
          <w:p>
            <w:pPr>
              <w:ind w:left="340"/>
              <w:spacing w:after="0"/>
              <w:rPr>
                <w:sz w:val="20"/>
                <w:szCs w:val="20"/>
                <w:color w:val="auto"/>
              </w:rPr>
            </w:pPr>
            <w:r>
              <w:rPr>
                <w:rFonts w:ascii="Arial" w:cs="Arial" w:eastAsia="Arial" w:hAnsi="Arial"/>
                <w:sz w:val="18"/>
                <w:szCs w:val="18"/>
                <w:color w:val="auto"/>
              </w:rPr>
              <w:t>E-mail: ir@i-click.com</w:t>
            </w:r>
          </w:p>
        </w:tc>
        <w:tc>
          <w:tcPr>
            <w:tcW w:w="6780" w:type="dxa"/>
            <w:vAlign w:val="bottom"/>
          </w:tcPr>
          <w:p>
            <w:pPr>
              <w:ind w:left="940"/>
              <w:spacing w:after="0"/>
              <w:rPr>
                <w:sz w:val="20"/>
                <w:szCs w:val="20"/>
                <w:color w:val="auto"/>
              </w:rPr>
            </w:pPr>
            <w:r>
              <w:rPr>
                <w:rFonts w:ascii="Arial" w:cs="Arial" w:eastAsia="Arial" w:hAnsi="Arial"/>
                <w:sz w:val="18"/>
                <w:szCs w:val="18"/>
                <w:color w:val="auto"/>
              </w:rPr>
              <w:t>E-mail: johnm@coreir.com</w:t>
            </w:r>
          </w:p>
        </w:tc>
      </w:tr>
      <w:tr>
        <w:trPr>
          <w:trHeight w:val="348"/>
        </w:trPr>
        <w:tc>
          <w:tcPr>
            <w:tcW w:w="4680" w:type="dxa"/>
            <w:vAlign w:val="bottom"/>
            <w:tcBorders>
              <w:bottom w:val="single" w:sz="8" w:color="808080"/>
            </w:tcBorders>
          </w:tcPr>
          <w:p>
            <w:pPr>
              <w:spacing w:after="0"/>
              <w:rPr>
                <w:sz w:val="24"/>
                <w:szCs w:val="24"/>
                <w:color w:val="auto"/>
              </w:rPr>
            </w:pPr>
          </w:p>
        </w:tc>
        <w:tc>
          <w:tcPr>
            <w:tcW w:w="6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2019-12-20T05:46:17Z</dcterms:created>
  <dcterms:modified xsi:type="dcterms:W3CDTF">2019-12-20T05:46:17Z</dcterms:modified>
</cp:coreProperties>
</file>