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Issuer Free Writing Prospectus</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333- 221034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December 11, 2017</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4"/>
          <w:szCs w:val="24"/>
          <w:color w:val="auto"/>
        </w:rPr>
      </w:pPr>
    </w:p>
    <w:p>
      <w:pPr>
        <w:ind w:right="180"/>
        <w:spacing w:after="0" w:line="270"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iClick Interactive Asia Group Limited, or the Company, has filed a registration statement on Form F-1 (including a prospectus) with the Securities and Exchange Commission, or the SEC, for the offering to which this free writing prospectus relates. Before you invest, you should read the prospectus in that registration statement and other documents the Company has filed with the SEC for more complete information about the Company and this offering. Investors should rely upon the prospectus and any relevant free writing prospectus for complete details. You may obtain these documents and other documents the Company has filed for free by visiting EDGAR on the SEC web site at www.sec.gov. Alternatively, the Company, any underwriter or any dealer participating in the offering will arrange to send you the prospectus if you request it by contacting Network 1 Financial Securities, Inc. at 2 Bridge Avenue, Penthouse, Red Bank, NJ 07701, United States, by telephone at 1(732)-758-9001 or by emailing jsun@netw1.com. You may also access the Company’s most recent prospectus dated December 11, 2017, which is included in Amendment No. 3 to the Company’s registration statement on Form F-1, as filed with the SEC on December 11, 2017, or Amendment No. 3 by visiting EDGAR on the SEC website at: </w:t>
      </w:r>
      <w:hyperlink r:id="rId8">
        <w:r>
          <w:rPr>
            <w:rFonts w:ascii="Arial" w:cs="Arial" w:eastAsia="Arial" w:hAnsi="Arial"/>
            <w:sz w:val="17"/>
            <w:szCs w:val="17"/>
            <w:u w:val="single" w:color="auto"/>
            <w:color w:val="0000EE"/>
          </w:rPr>
          <w:t>http://www.sec.gov/Archives/edgar/data/1697818/000119312517365803/d347875df1a.htm</w:t>
        </w:r>
      </w:hyperlink>
    </w:p>
    <w:p>
      <w:pPr>
        <w:spacing w:after="0" w:line="178" w:lineRule="exact"/>
        <w:rPr>
          <w:sz w:val="24"/>
          <w:szCs w:val="24"/>
          <w:color w:val="auto"/>
        </w:rPr>
      </w:pPr>
    </w:p>
    <w:p>
      <w:pPr>
        <w:ind w:right="260"/>
        <w:spacing w:after="0" w:line="264" w:lineRule="auto"/>
        <w:rPr>
          <w:sz w:val="20"/>
          <w:szCs w:val="20"/>
          <w:color w:val="auto"/>
        </w:rPr>
      </w:pPr>
      <w:r>
        <w:rPr>
          <w:rFonts w:ascii="Arial" w:cs="Arial" w:eastAsia="Arial" w:hAnsi="Arial"/>
          <w:sz w:val="18"/>
          <w:szCs w:val="18"/>
          <w:color w:val="auto"/>
        </w:rPr>
        <w:t>The following information supplements and updates the information contained in the Company’s preliminary prospectus dated December 1, 2017 (the “Preliminary Prospectus”). This free writing prospectus reflects the following amendments that were made to the Preliminary Prospectus. All references to page numbers are to page numbers in Amendment No. 3.</w:t>
      </w:r>
    </w:p>
    <w:p>
      <w:pPr>
        <w:spacing w:after="0" w:line="326" w:lineRule="exact"/>
        <w:rPr>
          <w:sz w:val="24"/>
          <w:szCs w:val="24"/>
          <w:color w:val="auto"/>
        </w:rPr>
      </w:pPr>
    </w:p>
    <w:p>
      <w:pPr>
        <w:ind w:left="460" w:right="380" w:hanging="452"/>
        <w:spacing w:after="0" w:line="282" w:lineRule="auto"/>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reflect the revision of the underwriting compensation to remove the underwriters’ Warrant, which results in the following changes:</w:t>
      </w:r>
    </w:p>
    <w:p>
      <w:pPr>
        <w:spacing w:after="0" w:line="71" w:lineRule="exact"/>
        <w:rPr>
          <w:rFonts w:ascii="Arial" w:cs="Arial" w:eastAsia="Arial" w:hAnsi="Arial"/>
          <w:sz w:val="18"/>
          <w:szCs w:val="18"/>
          <w:b w:val="1"/>
          <w:bCs w:val="1"/>
          <w:color w:val="auto"/>
        </w:rPr>
      </w:pPr>
    </w:p>
    <w:p>
      <w:pPr>
        <w:ind w:left="900" w:right="140" w:hanging="325"/>
        <w:spacing w:after="0" w:line="277" w:lineRule="auto"/>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Replacement of the entire note 1 below the table on the prospectus front cover with the following “For a description of compensation payable to the underwriters, see “Underwriting.”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Deletion of the last two sentences under “Ordinary Shares outstanding immediately after this offering” on page 10.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Certain amendments to the “Capitalization” section (see (2)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Certain amendments to the “Dilution” section (see (3) below).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Deletion of the last two sentences in the second paragraph on page 171.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Deletion of the last two sentences in the sixth paragraph on page 177.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1"/>
        </w:numPr>
        <w:rPr>
          <w:rFonts w:ascii="Arial" w:cs="Arial" w:eastAsia="Arial" w:hAnsi="Arial"/>
          <w:sz w:val="18"/>
          <w:szCs w:val="18"/>
          <w:color w:val="auto"/>
        </w:rPr>
      </w:pPr>
      <w:r>
        <w:rPr>
          <w:rFonts w:ascii="Arial" w:cs="Arial" w:eastAsia="Arial" w:hAnsi="Arial"/>
          <w:sz w:val="18"/>
          <w:szCs w:val="18"/>
          <w:color w:val="auto"/>
        </w:rPr>
        <w:t>Certain amendments to the seventh paragraph of the “Underwriting” section (see (4) below)</w:t>
      </w:r>
    </w:p>
    <w:p>
      <w:pPr>
        <w:sectPr>
          <w:pgSz w:w="11900" w:h="16838" w:orient="portrait"/>
          <w:cols w:equalWidth="0" w:num="1">
            <w:col w:w="11420"/>
          </w:cols>
          <w:pgMar w:left="240" w:top="233" w:right="239" w:bottom="1440" w:gutter="0" w:footer="0" w:header="0"/>
        </w:sectPr>
      </w:pPr>
    </w:p>
    <w:bookmarkStart w:id="1" w:name="page2"/>
    <w:bookmarkEnd w:id="1"/>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 the “Capitalization” section on page 66 as follows:</w:t>
      </w:r>
    </w:p>
    <w:p>
      <w:pPr>
        <w:spacing w:after="0" w:line="200" w:lineRule="exact"/>
        <w:rPr>
          <w:sz w:val="20"/>
          <w:szCs w:val="20"/>
          <w:color w:val="auto"/>
        </w:rPr>
      </w:pPr>
    </w:p>
    <w:p>
      <w:pPr>
        <w:spacing w:after="0" w:line="241"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capitalization, as of September 30, 2017:</w:t>
      </w:r>
    </w:p>
    <w:p>
      <w:pPr>
        <w:spacing w:after="0" w:line="131" w:lineRule="exact"/>
        <w:rPr>
          <w:sz w:val="20"/>
          <w:szCs w:val="20"/>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900" w:right="120" w:hanging="325"/>
        <w:spacing w:after="0" w:line="272"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a pro forma basis to reflect (i) the automatic conversion of all our preferred shares and redeemable ordinary shares into 10,268,077 Class A ordinary shares on a one-for-one basis upon completion of the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and (iii) the redesignation of all of the remaining ordinary shares into Class A ordinary shares on a one-for-one basis immediately prior to the completion of this offering; and</w:t>
      </w:r>
    </w:p>
    <w:p>
      <w:pPr>
        <w:spacing w:after="0" w:line="83" w:lineRule="exact"/>
        <w:rPr>
          <w:rFonts w:ascii="Arial" w:cs="Arial" w:eastAsia="Arial" w:hAnsi="Arial"/>
          <w:sz w:val="17"/>
          <w:szCs w:val="17"/>
          <w:color w:val="auto"/>
        </w:rPr>
      </w:pPr>
    </w:p>
    <w:p>
      <w:pPr>
        <w:ind w:left="900" w:right="20" w:hanging="325"/>
        <w:spacing w:after="0" w:line="288"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outstanding preferred shares and redeemable ordinary shares into 10,268,077 Class A ordinary shares on a one-for-one basis immediately upon completion of this offering, (ii) the redesignation of 2,500,580 ordinary shares held by Wing Hong Sammy Hsieh and 2,320,028 ordinary shares held by Jian Tang into Class B ordinary shares on a one-for-one basis immediately prior to the completion of this offering, assuming an initial public offering price of US$8.50 per ADS, being the midpoint of the estimated range and assuming the number of ADSs offered by us as set forth on the cover page of the prospectus remains the same and the underwriters do not exercise their over-allotment option, (iii) the redesignation of all of the remaining ordinary shares into Class A ordinary shares on a one-for-one basis immediately prior to the completion of this offering, and (iv) the sale of 2,941,200 Class A ordinary shares in the form of ADSs by us in this offering at an assumed initial public offering price of US$8.50 per ADS, the mid-point of the estimated range of the initial public offering price shown on the front cover of this prospectus, after deducting the underwriting discounts and commissions and estimated offering expenses payable by us assuming no exercise of the underwriters’ option to purchase additional ADSs.</w:t>
      </w:r>
    </w:p>
    <w:p>
      <w:pPr>
        <w:spacing w:after="0" w:line="16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120,067 options that were granted to Wing Hong Sammy Hsieh and 29,933 options that were granted to Yau Ping Ricky Ng under our 2010 Plan shall vest immediately upon the earlier of the following: (i) our listing on a stock exchange with an expected market capitalization of no less than US$500 million immediately after completion of the offering, or (ii) any merger or acquisition of us at a valuation of US$500 million or above as a result of which our shareholders immediately prior to such merger or acquisition no longer hold a majority of the outstanding shares of the surviving corporation, and shall expire immediately prior to our listing on a stock exchange. Therefore, assuming the number of ADSs offered by us as set forth on the cover page of the prospectus remains the same (and assuming the underwriters do not exercise their over-allotment option), if the initial public offering price is US$8.76 per ADS or above, these options will become immediately vested and exercisable prior to our listing and we expect Wing Hong Sammy Hsieh and Yau Ping Ricky Ng to exercise these options prior to our listing.</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ind w:right="5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20" w:type="dxa"/>
            <w:vAlign w:val="bottom"/>
          </w:tcPr>
          <w:p>
            <w:pPr>
              <w:spacing w:after="0"/>
              <w:rPr>
                <w:sz w:val="14"/>
                <w:szCs w:val="14"/>
                <w:color w:val="auto"/>
              </w:rPr>
            </w:pPr>
          </w:p>
        </w:tc>
        <w:tc>
          <w:tcPr>
            <w:tcW w:w="280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As of September 30, 2017</w:t>
            </w:r>
          </w:p>
        </w:tc>
        <w:tc>
          <w:tcPr>
            <w:tcW w:w="0" w:type="dxa"/>
            <w:vAlign w:val="bottom"/>
          </w:tcPr>
          <w:p>
            <w:pPr>
              <w:spacing w:after="0"/>
              <w:rPr>
                <w:sz w:val="1"/>
                <w:szCs w:val="1"/>
                <w:color w:val="auto"/>
              </w:rPr>
            </w:pPr>
          </w:p>
        </w:tc>
      </w:tr>
      <w:tr>
        <w:trPr>
          <w:trHeight w:val="119"/>
        </w:trPr>
        <w:tc>
          <w:tcPr>
            <w:tcW w:w="8620" w:type="dxa"/>
            <w:vAlign w:val="bottom"/>
          </w:tcPr>
          <w:p>
            <w:pPr>
              <w:spacing w:after="0"/>
              <w:rPr>
                <w:sz w:val="10"/>
                <w:szCs w:val="10"/>
                <w:color w:val="auto"/>
              </w:rPr>
            </w:pPr>
          </w:p>
        </w:tc>
        <w:tc>
          <w:tcPr>
            <w:tcW w:w="76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Actual</w:t>
            </w: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Pro Forma</w:t>
            </w:r>
          </w:p>
        </w:tc>
        <w:tc>
          <w:tcPr>
            <w:tcW w:w="880" w:type="dxa"/>
            <w:vAlign w:val="bottom"/>
            <w:tcBorders>
              <w:top w:val="single" w:sz="8" w:color="auto"/>
            </w:tcBorders>
          </w:tcPr>
          <w:p>
            <w:pPr>
              <w:jc w:val="right"/>
              <w:ind w:right="12"/>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6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9"/>
              </w:rPr>
              <w:t>as Adjusted</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42"/>
        </w:trPr>
        <w:tc>
          <w:tcPr>
            <w:tcW w:w="8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692"/>
              <w:spacing w:after="0" w:line="142" w:lineRule="exact"/>
              <w:rPr>
                <w:sz w:val="20"/>
                <w:szCs w:val="20"/>
                <w:color w:val="auto"/>
              </w:rPr>
            </w:pPr>
            <w:r>
              <w:rPr>
                <w:rFonts w:ascii="Arial" w:cs="Arial" w:eastAsia="Arial" w:hAnsi="Arial"/>
                <w:sz w:val="14"/>
                <w:szCs w:val="14"/>
                <w:b w:val="1"/>
                <w:bCs w:val="1"/>
                <w:color w:val="auto"/>
                <w:w w:val="89"/>
              </w:rPr>
              <w:t>(US$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Mezzanine equity:</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A convertible redeemable preferred shares (US$0.001 par value; 2,500,000 shares authorized; 2,476,190</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0"/>
              </w:rPr>
              <w:t>shares issued and outstanding on an actual basis; none outstanding on a pro forma and a pro forma as adjusted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1"/>
              </w:rPr>
              <w:t>basis; redemption amount of US$7,234 on an actual basis; redemption amount of US$nil on a pro forma and a</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540"/>
              <w:spacing w:after="0"/>
              <w:rPr>
                <w:sz w:val="20"/>
                <w:szCs w:val="20"/>
                <w:color w:val="auto"/>
              </w:rPr>
            </w:pPr>
            <w:r>
              <w:rPr>
                <w:rFonts w:ascii="Arial" w:cs="Arial" w:eastAsia="Arial" w:hAnsi="Arial"/>
                <w:sz w:val="18"/>
                <w:szCs w:val="18"/>
                <w:color w:val="auto"/>
              </w:rPr>
              <w:t>pro forma as adjusted basis)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5,683</w:t>
            </w: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Series B convertible redeemable preferred shares (US$0.001 par value; 3,000,000 shares authorized as;</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1,889,249 shares issued and outstanding on an actual basis; none outstanding on a pro forma and a pro forma</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4"/>
              </w:rPr>
              <w:t>as adjusted basis; redemption amount of US$15,055 on an actual basis; redemption amount of US$nil on a</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 forma and a pro forma as adjusted basis)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10,326</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tcPr>
          <w:p>
            <w:pPr>
              <w:ind w:left="360"/>
              <w:spacing w:after="0" w:line="201" w:lineRule="exact"/>
              <w:rPr>
                <w:sz w:val="20"/>
                <w:szCs w:val="20"/>
                <w:color w:val="auto"/>
              </w:rPr>
            </w:pPr>
            <w:r>
              <w:rPr>
                <w:rFonts w:ascii="Arial" w:cs="Arial" w:eastAsia="Arial" w:hAnsi="Arial"/>
                <w:sz w:val="18"/>
                <w:szCs w:val="18"/>
                <w:color w:val="auto"/>
                <w:w w:val="91"/>
              </w:rPr>
              <w:t>Series C convertible redeemable preferred shares (US$0.001 par value; 1,650,000 shares authorized; 1,599,186</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0"/>
              </w:rPr>
              <w:t>shares issued and outstanding on an actual basis; none outstanding on a pro forma and a pro forma as adjusted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2"/>
              </w:rPr>
              <w:t>basis; redemption amount of US$23,614 on an actual basis; redemption amount of US$nil on a pro forma and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540"/>
              <w:spacing w:after="0"/>
              <w:rPr>
                <w:sz w:val="20"/>
                <w:szCs w:val="20"/>
                <w:color w:val="auto"/>
              </w:rPr>
            </w:pPr>
            <w:r>
              <w:rPr>
                <w:rFonts w:ascii="Arial" w:cs="Arial" w:eastAsia="Arial" w:hAnsi="Arial"/>
                <w:sz w:val="18"/>
                <w:szCs w:val="18"/>
                <w:color w:val="auto"/>
              </w:rPr>
              <w:t>a pro forma as adjusted basis)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10,733</w:t>
            </w: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1"/>
              </w:rPr>
              <w:t>Series D convertible redeemable preferred shares (US$0.001 par value; 4,500,000 shares authorized; 2,493,018</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shares issued and outstanding on an actual basis; none outstanding on a pro forma and a pro forma as adjusted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basis; redemption amount of US$64,815 on an actual basis; redemption amount of US$nil on a pro forma and</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 pro forma as adjusted basis)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43,956</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tcPr>
          <w:p>
            <w:pPr>
              <w:ind w:left="360"/>
              <w:spacing w:after="0" w:line="201" w:lineRule="exact"/>
              <w:rPr>
                <w:sz w:val="20"/>
                <w:szCs w:val="20"/>
                <w:color w:val="auto"/>
              </w:rPr>
            </w:pPr>
            <w:r>
              <w:rPr>
                <w:rFonts w:ascii="Arial" w:cs="Arial" w:eastAsia="Arial" w:hAnsi="Arial"/>
                <w:sz w:val="18"/>
                <w:szCs w:val="18"/>
                <w:color w:val="auto"/>
                <w:w w:val="92"/>
              </w:rPr>
              <w:t>Series E convertible redeemable preferred shares (US$0.001 par value; 1,200,000 shares authorized; 1,068,114</w:t>
            </w: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0"/>
              </w:rPr>
              <w:t>shares issued and outstanding on an actual basis; none outstanding on a pro forma and a pro forma as adjusted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tcPr>
          <w:p>
            <w:pPr>
              <w:ind w:left="540"/>
              <w:spacing w:after="0"/>
              <w:rPr>
                <w:sz w:val="20"/>
                <w:szCs w:val="20"/>
                <w:color w:val="auto"/>
              </w:rPr>
            </w:pPr>
            <w:r>
              <w:rPr>
                <w:rFonts w:ascii="Arial" w:cs="Arial" w:eastAsia="Arial" w:hAnsi="Arial"/>
                <w:sz w:val="18"/>
                <w:szCs w:val="18"/>
                <w:color w:val="auto"/>
                <w:w w:val="92"/>
              </w:rPr>
              <w:t>basis; redemption amount of US$29,059 on an actual basis; redemption amount of US$nil on a pro forma and</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540"/>
              <w:spacing w:after="0"/>
              <w:rPr>
                <w:sz w:val="20"/>
                <w:szCs w:val="20"/>
                <w:color w:val="auto"/>
              </w:rPr>
            </w:pPr>
            <w:r>
              <w:rPr>
                <w:rFonts w:ascii="Arial" w:cs="Arial" w:eastAsia="Arial" w:hAnsi="Arial"/>
                <w:sz w:val="18"/>
                <w:szCs w:val="18"/>
                <w:color w:val="auto"/>
              </w:rPr>
              <w:t>a pro forma as adjusted basis)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18,845</w:t>
            </w:r>
          </w:p>
        </w:tc>
        <w:tc>
          <w:tcPr>
            <w:tcW w:w="14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Redeemable ordinary shares (US$0.001 par value; 742,320 shares issued and outstanding on an actual basis;</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 outstanding on a pro forma and a pro forma as adjusted basis)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16,724</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Shareholders’ (deficit)/equity:</w:t>
            </w: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2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Ordinary shares (US$0.001 par value; 37,150,000 shares authorized; 13,633,106 shares issued and outstanding</w:t>
            </w: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on an actual basis; 19,080,575 Class A ordinary shares and 4,820,608 Class B ordinary shares outstanding on</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1"/>
              </w:rPr>
              <w:t>a pro forma basis; and 22,021,775 Class A ordinary shares and 4,820,608 Class B ordinary shares outstanding</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on a pro forma as adjusted basis)</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Class A ordinary shares</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19</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Class B ordinary shares</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Treasury shares (2,125,382 shares on an actual, a pro forma and a pro forma as adjusted basis)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(2,121)</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(2,121)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5"/>
                <w:szCs w:val="15"/>
                <w:color w:val="auto"/>
              </w:rPr>
              <w:t>(2)(3)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66,349</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240,546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285,388</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Statutory reserves</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81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(3,310)</w:t>
            </w:r>
          </w:p>
        </w:tc>
        <w:tc>
          <w:tcPr>
            <w:tcW w:w="0" w:type="dxa"/>
            <w:vAlign w:val="bottom"/>
          </w:tcPr>
          <w:p>
            <w:pPr>
              <w:spacing w:after="0"/>
              <w:rPr>
                <w:sz w:val="1"/>
                <w:szCs w:val="1"/>
                <w:color w:val="auto"/>
              </w:rPr>
            </w:pPr>
          </w:p>
        </w:tc>
      </w:tr>
      <w:tr>
        <w:trPr>
          <w:trHeight w:val="216"/>
        </w:trPr>
        <w:tc>
          <w:tcPr>
            <w:tcW w:w="8620" w:type="dxa"/>
            <w:vAlign w:val="bottom"/>
          </w:tcPr>
          <w:p>
            <w:pPr>
              <w:ind w:left="360"/>
              <w:spacing w:after="0"/>
              <w:rPr>
                <w:sz w:val="20"/>
                <w:szCs w:val="20"/>
                <w:color w:val="auto"/>
              </w:rPr>
            </w:pPr>
            <w:r>
              <w:rPr>
                <w:rFonts w:ascii="Arial" w:cs="Arial" w:eastAsia="Arial" w:hAnsi="Arial"/>
                <w:sz w:val="18"/>
                <w:szCs w:val="18"/>
                <w:color w:val="auto"/>
              </w:rPr>
              <w:t>Accumulated deficit</w:t>
            </w:r>
            <w:r>
              <w:rPr>
                <w:rFonts w:ascii="Arial" w:cs="Arial" w:eastAsia="Arial" w:hAnsi="Arial"/>
                <w:sz w:val="15"/>
                <w:szCs w:val="15"/>
                <w:color w:val="auto"/>
              </w:rPr>
              <w:t>(3)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5"/>
              </w:rPr>
              <w:t>(140,269)</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(140,269)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(141,478)</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(deficit)/equity</w:t>
            </w:r>
            <w:r>
              <w:rPr>
                <w:rFonts w:ascii="Arial" w:cs="Arial" w:eastAsia="Arial" w:hAnsi="Arial"/>
                <w:sz w:val="15"/>
                <w:szCs w:val="15"/>
                <w:color w:val="auto"/>
              </w:rPr>
              <w:t>(1)(3)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(79,256)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94,951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138,587</w:t>
            </w:r>
          </w:p>
        </w:tc>
        <w:tc>
          <w:tcPr>
            <w:tcW w:w="0" w:type="dxa"/>
            <w:vAlign w:val="bottom"/>
          </w:tcPr>
          <w:p>
            <w:pPr>
              <w:spacing w:after="0"/>
              <w:rPr>
                <w:sz w:val="1"/>
                <w:szCs w:val="1"/>
                <w:color w:val="auto"/>
              </w:rPr>
            </w:pPr>
          </w:p>
        </w:tc>
      </w:tr>
      <w:tr>
        <w:trPr>
          <w:trHeight w:val="216"/>
        </w:trPr>
        <w:tc>
          <w:tcPr>
            <w:tcW w:w="8620" w:type="dxa"/>
            <w:vAlign w:val="bottom"/>
          </w:tcPr>
          <w:p>
            <w:pPr>
              <w:spacing w:after="0"/>
              <w:rPr>
                <w:sz w:val="20"/>
                <w:szCs w:val="20"/>
                <w:color w:val="auto"/>
              </w:rPr>
            </w:pPr>
            <w:r>
              <w:rPr>
                <w:rFonts w:ascii="Arial" w:cs="Arial" w:eastAsia="Arial" w:hAnsi="Arial"/>
                <w:sz w:val="18"/>
                <w:szCs w:val="18"/>
                <w:color w:val="auto"/>
              </w:rPr>
              <w:t>Total mezzanine equity and shareholders’ equity</w:t>
            </w:r>
            <w:r>
              <w:rPr>
                <w:rFonts w:ascii="Arial" w:cs="Arial" w:eastAsia="Arial" w:hAnsi="Arial"/>
                <w:sz w:val="15"/>
                <w:szCs w:val="15"/>
                <w:color w:val="auto"/>
              </w:rPr>
              <w:t>(1)(3)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27,011</w:t>
            </w: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94,951</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138,587</w:t>
            </w:r>
          </w:p>
        </w:tc>
        <w:tc>
          <w:tcPr>
            <w:tcW w:w="0" w:type="dxa"/>
            <w:vAlign w:val="bottom"/>
          </w:tcPr>
          <w:p>
            <w:pPr>
              <w:spacing w:after="0"/>
              <w:rPr>
                <w:sz w:val="1"/>
                <w:szCs w:val="1"/>
                <w:color w:val="auto"/>
              </w:rPr>
            </w:pPr>
          </w:p>
        </w:tc>
      </w:tr>
      <w:tr>
        <w:trPr>
          <w:trHeight w:val="372"/>
        </w:trPr>
        <w:tc>
          <w:tcPr>
            <w:tcW w:w="8620" w:type="dxa"/>
            <w:vAlign w:val="bottom"/>
          </w:tcPr>
          <w:p>
            <w:pPr>
              <w:ind w:left="5660"/>
              <w:spacing w:after="0"/>
              <w:rPr>
                <w:sz w:val="20"/>
                <w:szCs w:val="20"/>
                <w:color w:val="auto"/>
              </w:rPr>
            </w:pPr>
            <w:r>
              <w:rPr>
                <w:rFonts w:ascii="Arial" w:cs="Arial" w:eastAsia="Arial" w:hAnsi="Arial"/>
                <w:sz w:val="18"/>
                <w:szCs w:val="18"/>
                <w:color w:val="auto"/>
              </w:rPr>
              <w:t>3</w:t>
            </w:r>
          </w:p>
        </w:tc>
        <w:tc>
          <w:tcPr>
            <w:tcW w:w="7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3" w:name="page4"/>
    <w:bookmarkEnd w:id="3"/>
    <w:p>
      <w:pPr>
        <w:ind w:left="332" w:right="460" w:hanging="332"/>
        <w:spacing w:after="0" w:line="248" w:lineRule="auto"/>
        <w:tabs>
          <w:tab w:leader="none" w:pos="332" w:val="left"/>
        </w:tabs>
        <w:numPr>
          <w:ilvl w:val="0"/>
          <w:numId w:val="4"/>
        </w:numPr>
        <w:rPr>
          <w:rFonts w:ascii="Arial" w:cs="Arial" w:eastAsia="Arial" w:hAnsi="Arial"/>
          <w:sz w:val="11"/>
          <w:szCs w:val="11"/>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269240</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8980" cy="8890"/>
                    </a:xfrm>
                    <a:prstGeom prst="rect">
                      <a:avLst/>
                    </a:prstGeom>
                    <a:noFill/>
                  </pic:spPr>
                </pic:pic>
              </a:graphicData>
            </a:graphic>
          </wp:anchor>
        </w:drawing>
        <w:t>The pro forma as adjusted information discussed above is illustrative only. Our additional paid-in capital, total shareholders’ deficit and total mezzanine equity and shareholders’ deficit following the completion of this offering are subject to adjustment based on the actual initial public offering price and other terms of this offering determined at pricing.</w:t>
      </w:r>
    </w:p>
    <w:p>
      <w:pPr>
        <w:ind w:left="332" w:right="40" w:hanging="332"/>
        <w:spacing w:after="0" w:line="221" w:lineRule="auto"/>
        <w:tabs>
          <w:tab w:leader="none" w:pos="332" w:val="left"/>
        </w:tabs>
        <w:numPr>
          <w:ilvl w:val="0"/>
          <w:numId w:val="4"/>
        </w:numPr>
        <w:rPr>
          <w:rFonts w:ascii="Arial" w:cs="Arial" w:eastAsia="Arial" w:hAnsi="Arial"/>
          <w:sz w:val="12"/>
          <w:szCs w:val="12"/>
          <w:color w:val="auto"/>
        </w:rPr>
      </w:pPr>
      <w:r>
        <w:rPr>
          <w:rFonts w:ascii="Arial" w:cs="Arial" w:eastAsia="Arial" w:hAnsi="Arial"/>
          <w:sz w:val="14"/>
          <w:szCs w:val="14"/>
          <w:color w:val="auto"/>
        </w:rPr>
        <w:t>Assuming the number of ADSs offered by us as set forth on the cover page of this prospectus remains the same, and after deduction of underwriting discounts and commissions and the estimated offering expenses payable by us, a US$1.00 change in the assumed initial public offering price of US$8.50 per ADS, the midpoint of the estimated range of the initial public offering price shows on the front cover of this prospectus, would, in the case of an increase, increase and, in the case of a decrease, decrease each of additional paid-in capital, total shareholders’ deficit and total mezzanine equity and shareholders’ deficit by US$5.5 million.</w:t>
      </w:r>
    </w:p>
    <w:p>
      <w:pPr>
        <w:spacing w:after="0" w:line="1" w:lineRule="exact"/>
        <w:rPr>
          <w:rFonts w:ascii="Arial" w:cs="Arial" w:eastAsia="Arial" w:hAnsi="Arial"/>
          <w:sz w:val="12"/>
          <w:szCs w:val="12"/>
          <w:color w:val="auto"/>
        </w:rPr>
      </w:pPr>
    </w:p>
    <w:p>
      <w:pPr>
        <w:ind w:left="332" w:hanging="332"/>
        <w:spacing w:after="0" w:line="249" w:lineRule="auto"/>
        <w:tabs>
          <w:tab w:leader="none" w:pos="332" w:val="left"/>
        </w:tabs>
        <w:numPr>
          <w:ilvl w:val="0"/>
          <w:numId w:val="4"/>
        </w:numPr>
        <w:rPr>
          <w:rFonts w:ascii="Arial" w:cs="Arial" w:eastAsia="Arial" w:hAnsi="Arial"/>
          <w:sz w:val="11"/>
          <w:szCs w:val="11"/>
          <w:color w:val="auto"/>
        </w:rPr>
      </w:pPr>
      <w:r>
        <w:rPr>
          <w:rFonts w:ascii="Arial" w:cs="Arial" w:eastAsia="Arial" w:hAnsi="Arial"/>
          <w:sz w:val="13"/>
          <w:szCs w:val="13"/>
          <w:color w:val="auto"/>
        </w:rPr>
        <w:t>The pro forma as adjusted amounts include (i) the impact of the derecognition of derivative liabilities amounting to US$67.9 million in relation to the conversion and redemption features of the convertible redeemable preferred shares upon the completion of this offering; and (ii) an expense of US$1.2 million as a result of redesignation of certain of our ordinary shares into Class B ordinary shares upon completion of this offering. Our receipt of waiver to amend the definition of qualified initial public offering as described in “Description of Share Capital — History of Security Issuances”, which made the anti-dilution provision in relation to the convertible redeemable preferred shares inapplicable, does not have any net impact to our capitalization.</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458" w:right="239" w:bottom="1440" w:gutter="0" w:footer="0" w:header="0"/>
        </w:sectPr>
      </w:pPr>
    </w:p>
    <w:bookmarkStart w:id="4" w:name="page5"/>
    <w:bookmarkEnd w:id="4"/>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 the “Dilution” section on page 69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 and holders of our convertible preferred shares which will automatically convert into our ordinary shares concurrently with the completion of this offering.</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Our negative net tangible book value as of September 30, 2017 was approximately US$33.1 million, or US$2.43 per ordinary share as of that date, and US$1.21 per ADS. Net tangible book value represents the amount of our total consolidated assets, less the amount of our intangible assets, net, goodwill and total consolidated liabilities. Pro forma net tangible book value per ordinary share is calculated after giving effect to the automatic conversion of all of our issued and outstanding convertible preferred shares. Dilution is determined by subtracting net tangible book value per ordinary share after giving effect to the additional proceeds we will receive from the offering after deducting underwriting discounts and commissions and estimated offering expenses payable by us, from the assumed initial public offering price, which is the midpoint of the estimated initial public offering price range set forth on the cover page of the prospectus adjusted to reflect the ADS-to-Class A ordinary share ratio.</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Without taking into account any other changes in net tangible book value after September 30, 2017, other than to give effect to (i) the automatic conversion of all of our issued and outstanding convertible preferred shares and redeemable ordinary shares into 10,268,077 Class A ordinary shares concurrently with the completion of this offering and (ii) the issuance and sale by us of 2,941,200 Class A ordinary shares in the form of ADSs in this offering at an assumed initial public offering price of US$8.50 per ADS (the mid-point of the estimated initial public offering price range shown on the cover page of this prospectus) after deduction of the estimated underwriting discounts and commissions and estimated offering expenses payable by us and assuming the over-allotment option is not exercised, our pro forma as adjusted net tangible book value as of September 30, 2017 would have been US$78.5 million, or US$2.92 per outstanding ordinary share and US$1.46 per ADS. This represents an immediate increase in pro forma net tangible book value of US$1.46 per ordinary share and US$0.73 per ADS to the existing shareholders and an immediate dilution in net tangible book value of US$14.08 per ordinary share and US$7.04 per ADS to investors purchasing ADSs in this offering. The following table illustrates such dilution: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4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w w:val="92"/>
              </w:rPr>
              <w:t>Per ordinary</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71"/>
        </w:trPr>
        <w:tc>
          <w:tcPr>
            <w:tcW w:w="9440" w:type="dxa"/>
            <w:vAlign w:val="bottom"/>
          </w:tcPr>
          <w:p>
            <w:pPr>
              <w:spacing w:after="0"/>
              <w:rPr>
                <w:sz w:val="14"/>
                <w:szCs w:val="14"/>
                <w:color w:val="auto"/>
              </w:rPr>
            </w:pPr>
          </w:p>
        </w:tc>
        <w:tc>
          <w:tcPr>
            <w:tcW w:w="1200" w:type="dxa"/>
            <w:vAlign w:val="bottom"/>
          </w:tcPr>
          <w:p>
            <w:pPr>
              <w:jc w:val="right"/>
              <w:ind w:right="557"/>
              <w:spacing w:after="0"/>
              <w:rPr>
                <w:sz w:val="20"/>
                <w:szCs w:val="20"/>
                <w:color w:val="auto"/>
              </w:rPr>
            </w:pPr>
            <w:r>
              <w:rPr>
                <w:rFonts w:ascii="Arial" w:cs="Arial" w:eastAsia="Arial" w:hAnsi="Arial"/>
                <w:sz w:val="14"/>
                <w:szCs w:val="14"/>
                <w:b w:val="1"/>
                <w:bCs w:val="1"/>
                <w:color w:val="auto"/>
              </w:rPr>
              <w:t>share</w:t>
            </w: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40" w:type="dxa"/>
            <w:vAlign w:val="bottom"/>
          </w:tcPr>
          <w:p>
            <w:pPr>
              <w:spacing w:after="0"/>
              <w:rPr>
                <w:sz w:val="12"/>
                <w:szCs w:val="12"/>
                <w:color w:val="auto"/>
              </w:rPr>
            </w:pPr>
          </w:p>
        </w:tc>
        <w:tc>
          <w:tcPr>
            <w:tcW w:w="120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US$</w:t>
            </w: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17.00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Actual net tangible book value per ordinary share as of September 30, 2017</w:t>
            </w:r>
          </w:p>
        </w:tc>
        <w:tc>
          <w:tcPr>
            <w:tcW w:w="1200" w:type="dxa"/>
            <w:vAlign w:val="bottom"/>
          </w:tcPr>
          <w:p>
            <w:pPr>
              <w:jc w:val="right"/>
              <w:ind w:right="257"/>
              <w:spacing w:after="0"/>
              <w:rPr>
                <w:sz w:val="20"/>
                <w:szCs w:val="20"/>
                <w:color w:val="auto"/>
              </w:rPr>
            </w:pPr>
            <w:r>
              <w:rPr>
                <w:rFonts w:ascii="Arial" w:cs="Arial" w:eastAsia="Arial" w:hAnsi="Arial"/>
                <w:sz w:val="18"/>
                <w:szCs w:val="18"/>
                <w:color w:val="auto"/>
              </w:rPr>
              <w:t>(2.43)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2"/>
        </w:trPr>
        <w:tc>
          <w:tcPr>
            <w:tcW w:w="9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Pro forma net tangible book value per ordinary share after giving effect to the automatic conversion of all of our issued and</w:t>
            </w:r>
          </w:p>
        </w:tc>
        <w:tc>
          <w:tcPr>
            <w:tcW w:w="1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convertible preferred shares and redeemable ordinary shares into ordinary shares</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1.46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2"/>
        </w:trPr>
        <w:tc>
          <w:tcPr>
            <w:tcW w:w="9440" w:type="dxa"/>
            <w:vAlign w:val="bottom"/>
          </w:tcPr>
          <w:p>
            <w:pPr>
              <w:spacing w:after="0" w:line="201" w:lineRule="exact"/>
              <w:rPr>
                <w:sz w:val="20"/>
                <w:szCs w:val="20"/>
                <w:color w:val="auto"/>
              </w:rPr>
            </w:pPr>
            <w:r>
              <w:rPr>
                <w:rFonts w:ascii="Arial" w:cs="Arial" w:eastAsia="Arial" w:hAnsi="Arial"/>
                <w:sz w:val="18"/>
                <w:szCs w:val="18"/>
                <w:color w:val="auto"/>
                <w:w w:val="97"/>
              </w:rPr>
              <w:t>Pro forma as adjusted net tangible book value per ordinary share after giving effect to (i) the automatic conversion of all of</w:t>
            </w:r>
          </w:p>
        </w:tc>
        <w:tc>
          <w:tcPr>
            <w:tcW w:w="1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180"/>
              <w:spacing w:after="0"/>
              <w:rPr>
                <w:sz w:val="20"/>
                <w:szCs w:val="20"/>
                <w:color w:val="auto"/>
              </w:rPr>
            </w:pPr>
            <w:r>
              <w:rPr>
                <w:rFonts w:ascii="Arial" w:cs="Arial" w:eastAsia="Arial" w:hAnsi="Arial"/>
                <w:sz w:val="18"/>
                <w:szCs w:val="18"/>
                <w:color w:val="auto"/>
                <w:w w:val="97"/>
              </w:rPr>
              <w:t>our issued and outstanding convertible preferred shares into ordinary shares and (ii) the issuance of 2,941,200 ordinary</w:t>
            </w: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shares in the form of 5,882,400 ADSs in this offering</w:t>
            </w:r>
          </w:p>
        </w:tc>
        <w:tc>
          <w:tcPr>
            <w:tcW w:w="1200" w:type="dxa"/>
            <w:vAlign w:val="bottom"/>
          </w:tcPr>
          <w:p>
            <w:pPr>
              <w:jc w:val="right"/>
              <w:ind w:right="317"/>
              <w:spacing w:after="0"/>
              <w:rPr>
                <w:sz w:val="20"/>
                <w:szCs w:val="20"/>
                <w:color w:val="auto"/>
              </w:rPr>
            </w:pPr>
            <w:r>
              <w:rPr>
                <w:rFonts w:ascii="Arial" w:cs="Arial" w:eastAsia="Arial" w:hAnsi="Arial"/>
                <w:sz w:val="18"/>
                <w:szCs w:val="18"/>
                <w:color w:val="auto"/>
              </w:rPr>
              <w:t>2.92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Dilution in net tangible book value per ordinary share to new investors in the offering</w:t>
            </w:r>
          </w:p>
        </w:tc>
        <w:tc>
          <w:tcPr>
            <w:tcW w:w="12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rPr>
              <w:t>14.08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US$1.00 increase (decrease) in the assumed initial public offering price of US$8.50 per ADS (the mid-point of the estimated initial public offering price range shown on the cover page of this prospectus) would increase (decrease) our pro forma net tangible book value after giving effect to the offering by US$5.5 million, the pro forma net tangible book value per ordinary share and per ADS after giving effect to the automatic conversion of our convertible preferred shares and this offering by US$0.21 per ordinary share and US$0.10 per ADS and the dilution in pro forma net tangible book value per ordinary share and per ADS to new investors in this offering by US$1.79 per ordinary share and US$0.90 per ADS, assuming no change to the number of ADSs offered by us as set forth on the cover page of this prospectus, and after deducting the estimated underwriting discounts and commissions and estimated offering expenses payable by us.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0" w:right="239" w:bottom="1440" w:gutter="0" w:footer="0" w:header="0"/>
        </w:sectPr>
      </w:pPr>
    </w:p>
    <w:bookmarkStart w:id="5" w:name="page6"/>
    <w:bookmarkEnd w:id="5"/>
    <w:p>
      <w:pPr>
        <w:ind w:right="18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summarizes, on a pro forma basis as adjusted basis as of September 30, 2017, the differences between existing shareholders, including holders of our convertible preferred shares, and new investors with respect to the number of ordinary shares (in the form of ADSs or ordinary shares) purchased from us, the total consideration paid and the average price per ordinary share/ADS paid before deducting the estimated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18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Ordinary Shares</w:t>
            </w:r>
          </w:p>
        </w:tc>
        <w:tc>
          <w:tcPr>
            <w:tcW w:w="2260" w:type="dxa"/>
            <w:vAlign w:val="bottom"/>
            <w:gridSpan w:val="4"/>
            <w:vMerge w:val="restart"/>
          </w:tcPr>
          <w:p>
            <w:pPr>
              <w:jc w:val="right"/>
              <w:ind w:right="760"/>
              <w:spacing w:after="0"/>
              <w:rPr>
                <w:sz w:val="20"/>
                <w:szCs w:val="20"/>
                <w:color w:val="auto"/>
              </w:rPr>
            </w:pPr>
            <w:r>
              <w:rPr>
                <w:rFonts w:ascii="Arial" w:cs="Arial" w:eastAsia="Arial" w:hAnsi="Arial"/>
                <w:sz w:val="14"/>
                <w:szCs w:val="14"/>
                <w:b w:val="1"/>
                <w:bCs w:val="1"/>
                <w:color w:val="auto"/>
              </w:rPr>
              <w:t>Total Consideration</w:t>
            </w:r>
          </w:p>
        </w:tc>
        <w:tc>
          <w:tcPr>
            <w:tcW w:w="12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Average Price per</w:t>
            </w:r>
          </w:p>
        </w:tc>
        <w:tc>
          <w:tcPr>
            <w:tcW w:w="18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9"/>
              </w:rPr>
              <w:t>Average Price</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Purchased</w:t>
            </w:r>
          </w:p>
        </w:tc>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60" w:type="dxa"/>
            <w:vAlign w:val="bottom"/>
            <w:gridSpan w:val="4"/>
            <w:vMerge w:val="continue"/>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Ordinary Share</w:t>
            </w:r>
          </w:p>
        </w:tc>
        <w:tc>
          <w:tcPr>
            <w:tcW w:w="180" w:type="dxa"/>
            <w:vAlign w:val="bottom"/>
          </w:tcPr>
          <w:p>
            <w:pPr>
              <w:spacing w:after="0"/>
              <w:rPr>
                <w:sz w:val="14"/>
                <w:szCs w:val="14"/>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 ADS</w:t>
            </w:r>
          </w:p>
        </w:tc>
        <w:tc>
          <w:tcPr>
            <w:tcW w:w="0" w:type="dxa"/>
            <w:vAlign w:val="bottom"/>
          </w:tcPr>
          <w:p>
            <w:pPr>
              <w:spacing w:after="0"/>
              <w:rPr>
                <w:sz w:val="1"/>
                <w:szCs w:val="1"/>
                <w:color w:val="auto"/>
              </w:rPr>
            </w:pPr>
          </w:p>
        </w:tc>
      </w:tr>
      <w:tr>
        <w:trPr>
          <w:trHeight w:val="142"/>
        </w:trPr>
        <w:tc>
          <w:tcPr>
            <w:tcW w:w="460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Percent</w:t>
            </w:r>
          </w:p>
        </w:tc>
        <w:tc>
          <w:tcPr>
            <w:tcW w:w="50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4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23,901,183</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118,103,595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US$4.94</w:t>
            </w:r>
          </w:p>
        </w:tc>
        <w:tc>
          <w:tcPr>
            <w:tcW w:w="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New investors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2,941,200</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50,000,400</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29.7%</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US$17.00</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26,842,383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168,103,995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100.0%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A US$1.00 increase (decrease) in the assumed public offering price of US$8.50 per ADS (the mid-point of the estimated initial public offering price range shown on the cover page of this prospectus) would increase (decrease) total consideration paid by new investors by US$5.9 million, assuming that the number of shares offered by us, as set forth on the cover page of this prospectus, remains the same.</w:t>
      </w:r>
    </w:p>
    <w:p>
      <w:pPr>
        <w:spacing w:after="0" w:line="18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pro forma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70" w:lineRule="exact"/>
        <w:rPr>
          <w:sz w:val="20"/>
          <w:szCs w:val="20"/>
          <w:color w:val="auto"/>
        </w:rPr>
      </w:pPr>
    </w:p>
    <w:p>
      <w:pPr>
        <w:jc w:val="both"/>
        <w:ind w:right="560" w:firstLine="456"/>
        <w:spacing w:after="0" w:line="264" w:lineRule="auto"/>
        <w:rPr>
          <w:sz w:val="20"/>
          <w:szCs w:val="20"/>
          <w:color w:val="auto"/>
        </w:rPr>
      </w:pPr>
      <w:r>
        <w:rPr>
          <w:rFonts w:ascii="Arial" w:cs="Arial" w:eastAsia="Arial" w:hAnsi="Arial"/>
          <w:sz w:val="18"/>
          <w:szCs w:val="18"/>
          <w:color w:val="auto"/>
        </w:rPr>
        <w:t>As of the date of this prospectus, options to purchase 1,542,793 ordinary shares are outstanding, including unvested options to purchase 501,144 ordinary shares, and vested and unexercised options to purchase 1,041,649 ordinary shares. To the extent that any of the unvested options later vest are exercised to purchase ordinary shares, there will be further dilution to new investors.</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2010 Plan, the maximum number of ordinary shares that may be issued to the beneficiaries is 2,398,137, which have been issued to Arda Holdings Limited, or Arda, as trustee to the beneficiaries of the 2010 Plan. These ordinary shares issued to Arda are accounted for as our treasury shares until the options underlying these ordinary shares are vested and exercised into ordinary shares. Please refer to note 18 of our consolidated financial statements as of and for the years ended December 31, 2015 and 2016 and note 17 of our consolidated financial statement as of and for the nine months ended September 30, 2016 and 2017 included elsewhere in this prospectus for more information. In addition, 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w:t>
      </w:r>
    </w:p>
    <w:p>
      <w:pPr>
        <w:spacing w:after="0" w:line="19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adopted a share incentive plan in 2017, or the 2017 Plan, to provide additional incentives to employees, directors and consultants and promote the success of our business. The maximum aggregate number of shares which may be issued pursuant to all awards under the proposed 2017 Plan shall initially be 1,000,000, plus an annual increase on the first day of each of our fiscal year during the term of the 2017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 Amend the seventh paragraph of the “Underwriting” on pages 209 and 210 as follows: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We have also agreed to (i) pay the underwriters non-accountable expense allowance of 1% of the gross proceeds from this offering; (ii) reimburse the underwriters up to US$125,000 for certain out-of-pocket expenses; and (iii) reimburse the underwriters up to US$500,000 for the fees and expenses of the underwriters’ counsel, including the cost of the qualification of this offering with the Financial Industry Regulatory Authority, Inc.</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Amend the last sentence of the second paragraph on page 90 as follows: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Marketing agency clients represented 21.3%, 21.8%, 21.6% and 27.5% of our clients in 2015, 2016, and the nine months ended September 30, 2016 and September 30, 2017, respectively.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sectPr>
      <w:pgSz w:w="11900" w:h="16838" w:orient="portrait"/>
      <w:cols w:equalWidth="0" w:num="1">
        <w:col w:w="11120"/>
      </w:cols>
      <w:pgMar w:left="2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lvl w:ilvl="1">
      <w:lvlJc w:val="left"/>
      <w:lvlText w:val="•"/>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8" Type="http://schemas.openxmlformats.org/officeDocument/2006/relationships/hyperlink" Target="http://www.sec.gov/Archives/edgar/data/1697818/000119312517365803/d347875df1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2019-12-08T07:03:10Z</dcterms:created>
  <dcterms:modified xsi:type="dcterms:W3CDTF">2019-12-08T07:03:10Z</dcterms:modified>
</cp:coreProperties>
</file>