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rFonts w:ascii="Wingdings" w:cs="Wingdings" w:eastAsia="Wingdings" w:hAnsi="Wingdings"/>
          <w:sz w:val="18"/>
          <w:szCs w:val="18"/>
          <w:b w:val="1"/>
          <w:bCs w:val="1"/>
          <w:color w:val="auto"/>
        </w:rPr>
      </w:pPr>
    </w:p>
    <w:p>
      <w:pPr>
        <w:ind w:left="900" w:hanging="244"/>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2 of 11</w:t>
      </w:r>
    </w:p>
    <w:p>
      <w:pPr>
        <w:spacing w:after="0" w:line="215"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Nuveen Asset Management, LLC</w:t>
            </w:r>
          </w:p>
        </w:tc>
        <w:tc>
          <w:tcPr>
            <w:tcW w:w="2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27-4357327</w:t>
            </w:r>
          </w:p>
        </w:tc>
        <w:tc>
          <w:tcPr>
            <w:tcW w:w="104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213</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480" w:right="3019" w:hanging="5472"/>
        <w:spacing w:after="0" w:line="500" w:lineRule="auto"/>
        <w:tabs>
          <w:tab w:leader="none" w:pos="5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213</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0.00%</w:t>
      </w:r>
    </w:p>
    <w:p>
      <w:pPr>
        <w:spacing w:after="0" w:line="225"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one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3 of 11</w:t>
      </w:r>
    </w:p>
    <w:p>
      <w:pPr>
        <w:spacing w:after="0" w:line="215"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TIAA-CREF Investment Management,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473,737</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473,737</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5.33%</w:t>
      </w:r>
    </w:p>
    <w:p>
      <w:pPr>
        <w:spacing w:after="0" w:line="225" w:lineRule="exact"/>
        <w:rPr>
          <w:sz w:val="20"/>
          <w:szCs w:val="20"/>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4 of 11</w:t>
      </w:r>
    </w:p>
    <w:p>
      <w:pPr>
        <w:spacing w:after="0" w:line="215" w:lineRule="exact"/>
        <w:rPr>
          <w:sz w:val="20"/>
          <w:szCs w:val="20"/>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Teachers Advisors, LLC</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269,361</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269,361</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3.03%</w:t>
      </w:r>
    </w:p>
    <w:p>
      <w:pPr>
        <w:spacing w:after="0" w:line="225"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5 of 11</w:t>
      </w:r>
    </w:p>
    <w:p>
      <w:pPr>
        <w:spacing w:after="0" w:line="215"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College Retirement Equities Fund- Stock Account</w:t>
            </w:r>
          </w:p>
        </w:tc>
        <w:tc>
          <w:tcPr>
            <w:tcW w:w="1280" w:type="dxa"/>
            <w:vAlign w:val="bottom"/>
          </w:tcPr>
          <w:p>
            <w:pPr>
              <w:spacing w:after="0"/>
              <w:rPr>
                <w:sz w:val="20"/>
                <w:szCs w:val="20"/>
                <w:color w:val="auto"/>
              </w:rPr>
            </w:pP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3"/>
              </w:rPr>
              <w:t xml:space="preserve">(a) </w:t>
            </w:r>
            <w:r>
              <w:rPr>
                <w:rFonts w:ascii="Wingdings" w:cs="Wingdings" w:eastAsia="Wingdings" w:hAnsi="Wingdings"/>
                <w:sz w:val="18"/>
                <w:szCs w:val="18"/>
                <w:b w:val="1"/>
                <w:bCs w:val="1"/>
                <w:color w:val="auto"/>
                <w:w w:val="93"/>
              </w:rPr>
              <w:t>o</w:t>
            </w:r>
          </w:p>
        </w:tc>
      </w:tr>
      <w:tr>
        <w:trPr>
          <w:trHeight w:val="234"/>
        </w:trPr>
        <w:tc>
          <w:tcPr>
            <w:tcW w:w="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1"/>
              </w:rPr>
              <w:t xml:space="preserve">(b) </w:t>
            </w:r>
            <w:r>
              <w:rPr>
                <w:rFonts w:ascii="Wingdings" w:cs="Wingdings" w:eastAsia="Wingdings" w:hAnsi="Wingdings"/>
                <w:sz w:val="18"/>
                <w:szCs w:val="18"/>
                <w:b w:val="1"/>
                <w:bCs w:val="1"/>
                <w:color w:val="auto"/>
                <w:w w:val="91"/>
              </w:rPr>
              <w:t>o</w:t>
            </w:r>
          </w:p>
        </w:tc>
      </w:tr>
    </w:tbl>
    <w:p>
      <w:pPr>
        <w:spacing w:after="0" w:line="198"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5899" w:hanging="572"/>
        <w:spacing w:after="0" w:line="532"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3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VOTING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8.</w:t>
            </w:r>
          </w:p>
        </w:tc>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5"/>
              </w:rPr>
              <w:t>450,306</w:t>
            </w:r>
          </w:p>
        </w:tc>
      </w:tr>
    </w:tbl>
    <w:p>
      <w:pPr>
        <w:spacing w:after="0" w:line="198" w:lineRule="exact"/>
        <w:rPr>
          <w:sz w:val="20"/>
          <w:szCs w:val="20"/>
          <w:color w:val="auto"/>
        </w:rPr>
      </w:pPr>
    </w:p>
    <w:p>
      <w:pPr>
        <w:ind w:left="5340" w:right="3019" w:hanging="5332"/>
        <w:spacing w:after="0" w:line="500" w:lineRule="auto"/>
        <w:tabs>
          <w:tab w:leader="none" w:pos="5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450,306</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Wingdings" w:cs="Wingdings" w:eastAsia="Wingdings" w:hAnsi="Wingdings"/>
          <w:sz w:val="18"/>
          <w:szCs w:val="18"/>
          <w:b w:val="1"/>
          <w:bCs w:val="1"/>
          <w:color w:val="auto"/>
        </w:rPr>
        <w:t>o</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5.06%</w:t>
      </w:r>
    </w:p>
    <w:p>
      <w:pPr>
        <w:spacing w:after="0" w:line="22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IV</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 The number of shares listed represents the underlying class of securities. One ADR represents five (5) ordinary shares (ICLK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6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jc w:val="center"/>
        <w:ind w:right="3779"/>
        <w:spacing w:after="0"/>
        <w:rPr>
          <w:sz w:val="20"/>
          <w:szCs w:val="20"/>
          <w:color w:val="auto"/>
        </w:rPr>
      </w:pPr>
      <w:r>
        <w:rPr>
          <w:rFonts w:ascii="Times New Roman" w:cs="Times New Roman" w:eastAsia="Times New Roman" w:hAnsi="Times New Roman"/>
          <w:sz w:val="18"/>
          <w:szCs w:val="18"/>
          <w:color w:val="auto"/>
        </w:rPr>
        <w:t>iClick Interactive Asia Group Ltd.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Items 2(a)-2(c).</w:t>
      </w:r>
      <w:r>
        <w:rPr>
          <w:sz w:val="20"/>
          <w:szCs w:val="20"/>
          <w:color w:val="auto"/>
        </w:rPr>
        <w:tab/>
      </w:r>
      <w:r>
        <w:rPr>
          <w:rFonts w:ascii="Times New Roman" w:cs="Times New Roman" w:eastAsia="Times New Roman" w:hAnsi="Times New Roman"/>
          <w:sz w:val="17"/>
          <w:szCs w:val="17"/>
          <w:b w:val="1"/>
          <w:bCs w:val="1"/>
          <w:color w:val="auto"/>
        </w:rPr>
        <w:t>NAME, ADDRESS OF PRINCIPAL BUSINESS OFFICE, AND CITIZENSHIP OF PERSONS FILING:</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Nuveen Asset Management, LLC (“NAM”)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333 W. Wacker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TIAA-CREF Investment Management, LLC (“TCIM”)</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Teachers Advisors, LLC (“TAL”)</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College Retirement Equities Fund-Stock Account (“CREF SA”)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730 Third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10017-3206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Citizenship: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7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Sponsored American Depository Receipt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45113Y203</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w:t>
      </w:r>
    </w:p>
    <w:p>
      <w:pPr>
        <w:spacing w:after="0" w:line="22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TCIM</w:t>
      </w:r>
    </w:p>
    <w:p>
      <w:pPr>
        <w:spacing w:after="0" w:line="22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right="160" w:hanging="1292"/>
        <w:spacing w:after="0" w:line="282" w:lineRule="auto"/>
        <w:tabs>
          <w:tab w:leader="none" w:pos="652"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8 of 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w:t>
      </w:r>
    </w:p>
    <w:p>
      <w:pPr>
        <w:spacing w:after="0" w:line="220"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Investment Company registered under Section 8 of the Investment Company Act of 1940.</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CREF SA</w:t>
      </w:r>
    </w:p>
    <w:p>
      <w:pPr>
        <w:spacing w:after="0" w:line="22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Bank as defined in Section 3(a)(6) of the Exchange Act.</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Insurance Company as defined in Section 3(a)(19) of the Exchange Act.</w:t>
      </w:r>
    </w:p>
    <w:p>
      <w:pPr>
        <w:spacing w:after="0" w:line="184"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w:t>
      </w:r>
    </w:p>
    <w:p>
      <w:pPr>
        <w:spacing w:after="0" w:line="2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investment adviser in accordance with Rule 13d-1(b)(1)(ii)(E).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An employee benefit plan or endowment fund in accordance with Rule 13d-1(b)(1)(ii)(F).</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7"/>
          <w:szCs w:val="17"/>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w:t>
      </w:r>
    </w:p>
    <w:p>
      <w:pPr>
        <w:spacing w:after="0" w:line="1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Group, in accordance with Rule 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64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9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Aggregate amount beneficially owned: 743,311</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Number of shares as to which person has: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TCIM</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TAL</w:t>
            </w:r>
          </w:p>
        </w:tc>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CREF SA</w:t>
            </w:r>
          </w:p>
        </w:tc>
      </w:tr>
      <w:tr>
        <w:trPr>
          <w:trHeight w:val="142"/>
        </w:trPr>
        <w:tc>
          <w:tcPr>
            <w:tcW w:w="16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120" w:type="dxa"/>
            <w:vAlign w:val="bottom"/>
          </w:tcPr>
          <w:p>
            <w:pPr>
              <w:spacing w:after="0"/>
              <w:rPr>
                <w:sz w:val="12"/>
                <w:szCs w:val="12"/>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Voting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r>
        <w:trPr>
          <w:trHeight w:val="132"/>
        </w:trPr>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120" w:type="dxa"/>
            <w:vAlign w:val="bottom"/>
          </w:tcPr>
          <w:p>
            <w:pPr>
              <w:spacing w:after="0"/>
              <w:rPr>
                <w:sz w:val="11"/>
                <w:szCs w:val="11"/>
                <w:color w:val="auto"/>
              </w:rPr>
            </w:pPr>
          </w:p>
        </w:tc>
      </w:tr>
      <w:tr>
        <w:trPr>
          <w:trHeight w:val="148"/>
        </w:trPr>
        <w:tc>
          <w:tcPr>
            <w:tcW w:w="16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Sole Dispositive Power:</w:t>
            </w:r>
          </w:p>
        </w:tc>
        <w:tc>
          <w:tcPr>
            <w:tcW w:w="3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640" w:type="dxa"/>
            <w:vAlign w:val="bottom"/>
            <w:shd w:val="clear" w:color="auto" w:fill="E5FFFF"/>
          </w:tcPr>
          <w:p>
            <w:pPr>
              <w:spacing w:after="0"/>
              <w:rPr>
                <w:sz w:val="12"/>
                <w:szCs w:val="12"/>
                <w:color w:val="auto"/>
              </w:rPr>
            </w:pPr>
          </w:p>
        </w:tc>
        <w:tc>
          <w:tcPr>
            <w:tcW w:w="98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473,737</w:t>
            </w:r>
          </w:p>
        </w:tc>
        <w:tc>
          <w:tcPr>
            <w:tcW w:w="960" w:type="dxa"/>
            <w:vAlign w:val="bottom"/>
            <w:gridSpan w:val="2"/>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269,361</w:t>
            </w:r>
          </w:p>
        </w:tc>
        <w:tc>
          <w:tcPr>
            <w:tcW w:w="580" w:type="dxa"/>
            <w:vAlign w:val="bottom"/>
            <w:shd w:val="clear" w:color="auto" w:fill="E5FF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120" w:type="dxa"/>
            <w:vAlign w:val="bottom"/>
            <w:shd w:val="clear" w:color="auto" w:fill="E5FFFF"/>
          </w:tcPr>
          <w:p>
            <w:pPr>
              <w:spacing w:after="0"/>
              <w:rPr>
                <w:sz w:val="12"/>
                <w:szCs w:val="12"/>
                <w:color w:val="auto"/>
              </w:rPr>
            </w:pPr>
          </w:p>
        </w:tc>
      </w:tr>
      <w:tr>
        <w:trPr>
          <w:trHeight w:val="31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450,306</w:t>
            </w:r>
          </w:p>
        </w:tc>
        <w:tc>
          <w:tcPr>
            <w:tcW w:w="6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-858520</wp:posOffset>
            </wp:positionV>
            <wp:extent cx="363474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4740" cy="3771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-387350</wp:posOffset>
            </wp:positionV>
            <wp:extent cx="3634740" cy="28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34740" cy="282575"/>
                    </a:xfrm>
                    <a:prstGeom prst="rect">
                      <a:avLst/>
                    </a:prstGeom>
                    <a:noFill/>
                  </pic:spPr>
                </pic:pic>
              </a:graphicData>
            </a:graphic>
          </wp:anchor>
        </w:drawing>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229"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A attached</w:t>
      </w:r>
    </w:p>
    <w:p>
      <w:pPr>
        <w:spacing w:after="0" w:line="221" w:lineRule="exact"/>
        <w:rPr>
          <w:sz w:val="20"/>
          <w:szCs w:val="20"/>
          <w:color w:val="auto"/>
        </w:rPr>
      </w:pPr>
    </w:p>
    <w:p>
      <w:pPr>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10 of 11</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nomination under §240.14a-11</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NUVEEN ASSET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Erik Mogavero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Erik Mogavero</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Head of Affiliate Compliance</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TIAA-CREF INVESTMENT MANAGEMENT,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TEACHERS ADVISORS,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COLLEGE RETIREMENT EQUITIES FUND-STOCK ACCOUNT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Stuart R. Brunet</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Stuart Brunet, Managing Director,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45113Y203</w:t>
      </w:r>
    </w:p>
    <w:p>
      <w:pPr>
        <w:spacing w:after="0" w:line="206" w:lineRule="exact"/>
        <w:rPr>
          <w:sz w:val="20"/>
          <w:szCs w:val="20"/>
          <w:color w:val="auto"/>
        </w:rPr>
      </w:pPr>
    </w:p>
    <w:p>
      <w:pPr>
        <w:ind w:left="2060"/>
        <w:spacing w:after="0"/>
        <w:tabs>
          <w:tab w:leader="none" w:pos="5580" w:val="left"/>
        </w:tabs>
        <w:rPr>
          <w:sz w:val="20"/>
          <w:szCs w:val="20"/>
          <w:color w:val="auto"/>
        </w:rPr>
      </w:pPr>
      <w:r>
        <w:rPr>
          <w:rFonts w:ascii="Times New Roman" w:cs="Times New Roman" w:eastAsia="Times New Roman" w:hAnsi="Times New Roman"/>
          <w:sz w:val="22"/>
          <w:szCs w:val="22"/>
          <w:color w:val="auto"/>
        </w:rPr>
        <w:t>13G</w:t>
      </w:r>
      <w:r>
        <w:rPr>
          <w:sz w:val="20"/>
          <w:szCs w:val="20"/>
          <w:color w:val="auto"/>
        </w:rPr>
        <w:tab/>
      </w:r>
      <w:r>
        <w:rPr>
          <w:rFonts w:ascii="Times New Roman" w:cs="Times New Roman" w:eastAsia="Times New Roman" w:hAnsi="Times New Roman"/>
          <w:sz w:val="22"/>
          <w:szCs w:val="22"/>
          <w:color w:val="auto"/>
        </w:rPr>
        <w:t>Page 11 of 11</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Nuveen Asset Management, LLC (“NAM”), is a registered investment adviser affiliated with TCIM and TAL. NAM may be deemed to be a beneficial owner of 213 shares of Issuer’s common stock. TIAA-CREF Investment Management, LLC (“TCIM”) is the investment adviser to the College Retirement Equities Fund (“CREF”), a registered investment company, and may be deemed to be a beneficial owner of 473,737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269,361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40"/>
      </w:cols>
      <w:pgMar w:left="320" w:top="3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2024-02-14T11:47:32Z</dcterms:created>
  <dcterms:modified xsi:type="dcterms:W3CDTF">2024-02-14T11:47:32Z</dcterms:modified>
</cp:coreProperties>
</file>