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12(g) OF THE SECURITIES EXCHANGE ACT OF 1934</w:t>
      </w:r>
    </w:p>
    <w:p>
      <w:pPr>
        <w:spacing w:after="0" w:line="18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16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iClick Interactive Asia Group Limited</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Cayman Islands</w:t>
      </w:r>
    </w:p>
    <w:p>
      <w:pPr>
        <w:spacing w:after="0" w:line="21"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Jie Jiao, Chief Financial Officer</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15/F</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E-mail: jill.jiao@i-click.com</w:t>
      </w:r>
    </w:p>
    <w:p>
      <w:pPr>
        <w:spacing w:after="0" w:line="2" w:lineRule="exact"/>
        <w:rPr>
          <w:sz w:val="24"/>
          <w:szCs w:val="24"/>
          <w:color w:val="auto"/>
        </w:rPr>
      </w:pPr>
    </w:p>
    <w:p>
      <w:pPr>
        <w:ind w:left="2800"/>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2"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2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4960" w:type="dxa"/>
            <w:vAlign w:val="bottom"/>
            <w:gridSpan w:val="2"/>
          </w:tcPr>
          <w:p>
            <w:pPr>
              <w:jc w:val="center"/>
              <w:ind w:right="3790"/>
              <w:spacing w:after="0"/>
              <w:rPr>
                <w:sz w:val="20"/>
                <w:szCs w:val="20"/>
                <w:color w:val="auto"/>
              </w:rPr>
            </w:pPr>
            <w:r>
              <w:rPr>
                <w:rFonts w:ascii="Arial" w:cs="Arial" w:eastAsia="Arial" w:hAnsi="Arial"/>
                <w:sz w:val="14"/>
                <w:szCs w:val="14"/>
                <w:b w:val="1"/>
                <w:bCs w:val="1"/>
                <w:color w:val="auto"/>
                <w:w w:val="89"/>
              </w:rPr>
              <w:t>Title of each class</w:t>
            </w: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8"/>
        </w:trPr>
        <w:tc>
          <w:tcPr>
            <w:tcW w:w="2340" w:type="dxa"/>
            <w:vAlign w:val="bottom"/>
          </w:tcPr>
          <w:p>
            <w:pPr>
              <w:spacing w:after="0" w:line="178" w:lineRule="exact"/>
              <w:rPr>
                <w:sz w:val="20"/>
                <w:szCs w:val="20"/>
                <w:color w:val="auto"/>
              </w:rPr>
            </w:pPr>
            <w:r>
              <w:rPr>
                <w:rFonts w:ascii="Arial" w:cs="Arial" w:eastAsia="Arial" w:hAnsi="Arial"/>
                <w:sz w:val="18"/>
                <w:szCs w:val="18"/>
                <w:b w:val="1"/>
                <w:bCs w:val="1"/>
                <w:color w:val="auto"/>
                <w:w w:val="92"/>
              </w:rPr>
              <w:t>American Depositary Shares,</w:t>
            </w:r>
          </w:p>
        </w:tc>
        <w:tc>
          <w:tcPr>
            <w:tcW w:w="108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74"/>
              </w:rPr>
              <w:t>two representing</w:t>
            </w:r>
          </w:p>
        </w:tc>
        <w:tc>
          <w:tcPr>
            <w:tcW w:w="3880" w:type="dxa"/>
            <w:vAlign w:val="bottom"/>
          </w:tcPr>
          <w:p>
            <w:pPr>
              <w:ind w:left="200"/>
              <w:spacing w:after="0" w:line="178" w:lineRule="exact"/>
              <w:rPr>
                <w:sz w:val="20"/>
                <w:szCs w:val="20"/>
                <w:color w:val="auto"/>
              </w:rPr>
            </w:pPr>
            <w:r>
              <w:rPr>
                <w:rFonts w:ascii="Arial" w:cs="Arial" w:eastAsia="Arial" w:hAnsi="Arial"/>
                <w:sz w:val="18"/>
                <w:szCs w:val="18"/>
                <w:b w:val="1"/>
                <w:bCs w:val="1"/>
                <w:color w:val="auto"/>
              </w:rPr>
              <w:t>one Class A ordinary share,</w:t>
            </w:r>
          </w:p>
        </w:tc>
        <w:tc>
          <w:tcPr>
            <w:tcW w:w="2660" w:type="dxa"/>
            <w:vAlign w:val="bottom"/>
            <w:tcBorders>
              <w:top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5"/>
              </w:rPr>
              <w:t>NASDAQ Global Market</w:t>
            </w:r>
          </w:p>
        </w:tc>
      </w:tr>
      <w:tr>
        <w:trPr>
          <w:trHeight w:val="216"/>
        </w:trPr>
        <w:tc>
          <w:tcPr>
            <w:tcW w:w="7300" w:type="dxa"/>
            <w:vAlign w:val="bottom"/>
            <w:gridSpan w:val="3"/>
          </w:tcPr>
          <w:p>
            <w:pPr>
              <w:jc w:val="center"/>
              <w:ind w:right="1470"/>
              <w:spacing w:after="0"/>
              <w:rPr>
                <w:sz w:val="20"/>
                <w:szCs w:val="20"/>
                <w:color w:val="auto"/>
              </w:rPr>
            </w:pPr>
            <w:r>
              <w:rPr>
                <w:rFonts w:ascii="Arial" w:cs="Arial" w:eastAsia="Arial" w:hAnsi="Arial"/>
                <w:sz w:val="18"/>
                <w:szCs w:val="18"/>
                <w:b w:val="1"/>
                <w:bCs w:val="1"/>
                <w:color w:val="auto"/>
                <w:w w:val="90"/>
              </w:rPr>
              <w:t>par value US$0.001 per share*</w:t>
            </w:r>
          </w:p>
        </w:tc>
        <w:tc>
          <w:tcPr>
            <w:tcW w:w="2660" w:type="dxa"/>
            <w:vAlign w:val="bottom"/>
          </w:tcPr>
          <w:p>
            <w:pPr>
              <w:spacing w:after="0"/>
              <w:rPr>
                <w:sz w:val="18"/>
                <w:szCs w:val="18"/>
                <w:color w:val="auto"/>
              </w:rPr>
            </w:pPr>
          </w:p>
        </w:tc>
      </w:tr>
      <w:tr>
        <w:trPr>
          <w:trHeight w:val="216"/>
        </w:trPr>
        <w:tc>
          <w:tcPr>
            <w:tcW w:w="7300" w:type="dxa"/>
            <w:vAlign w:val="bottom"/>
            <w:gridSpan w:val="3"/>
          </w:tcPr>
          <w:p>
            <w:pPr>
              <w:jc w:val="center"/>
              <w:ind w:right="1470"/>
              <w:spacing w:after="0"/>
              <w:rPr>
                <w:sz w:val="20"/>
                <w:szCs w:val="20"/>
                <w:color w:val="auto"/>
              </w:rPr>
            </w:pPr>
            <w:r>
              <w:rPr>
                <w:rFonts w:ascii="Arial" w:cs="Arial" w:eastAsia="Arial" w:hAnsi="Arial"/>
                <w:sz w:val="18"/>
                <w:szCs w:val="18"/>
                <w:b w:val="1"/>
                <w:bCs w:val="1"/>
                <w:color w:val="auto"/>
                <w:w w:val="90"/>
              </w:rPr>
              <w:t>*Not for trading, but only in connection with the listing on the Nasdaq</w:t>
            </w:r>
          </w:p>
        </w:tc>
        <w:tc>
          <w:tcPr>
            <w:tcW w:w="2660" w:type="dxa"/>
            <w:vAlign w:val="bottom"/>
          </w:tcPr>
          <w:p>
            <w:pPr>
              <w:spacing w:after="0"/>
              <w:rPr>
                <w:sz w:val="18"/>
                <w:szCs w:val="18"/>
                <w:color w:val="auto"/>
              </w:rPr>
            </w:pPr>
          </w:p>
        </w:tc>
      </w:tr>
      <w:tr>
        <w:trPr>
          <w:trHeight w:val="234"/>
        </w:trPr>
        <w:tc>
          <w:tcPr>
            <w:tcW w:w="7300" w:type="dxa"/>
            <w:vAlign w:val="bottom"/>
            <w:gridSpan w:val="3"/>
          </w:tcPr>
          <w:p>
            <w:pPr>
              <w:jc w:val="center"/>
              <w:ind w:right="1470"/>
              <w:spacing w:after="0"/>
              <w:rPr>
                <w:sz w:val="20"/>
                <w:szCs w:val="20"/>
                <w:color w:val="auto"/>
              </w:rPr>
            </w:pPr>
            <w:r>
              <w:rPr>
                <w:rFonts w:ascii="Arial" w:cs="Arial" w:eastAsia="Arial" w:hAnsi="Arial"/>
                <w:sz w:val="18"/>
                <w:szCs w:val="18"/>
                <w:b w:val="1"/>
                <w:bCs w:val="1"/>
                <w:color w:val="auto"/>
                <w:w w:val="91"/>
              </w:rPr>
              <w:t>Global Market of American depositary shares.</w:t>
            </w:r>
          </w:p>
        </w:tc>
        <w:tc>
          <w:tcPr>
            <w:tcW w:w="2660" w:type="dxa"/>
            <w:vAlign w:val="bottom"/>
          </w:tcPr>
          <w:p>
            <w:pPr>
              <w:spacing w:after="0"/>
              <w:rPr>
                <w:sz w:val="20"/>
                <w:szCs w:val="20"/>
                <w:color w:val="auto"/>
              </w:rPr>
            </w:pPr>
          </w:p>
        </w:tc>
      </w:tr>
    </w:tbl>
    <w:p>
      <w:pPr>
        <w:sectPr>
          <w:pgSz w:w="11900" w:h="16838" w:orient="portrait"/>
          <w:cols w:equalWidth="0" w:num="1">
            <w:col w:w="11120"/>
          </w:cols>
          <w:pgMar w:left="240" w:top="230" w:right="5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4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December 31, 2017, there were 26,059,433 ordinary shares outstanding, par value $0.001 per share, being the sum of 21,238,825 Class A ordinary shares and 4,820,608 Class B ordinary shares.</w:t>
      </w:r>
    </w:p>
    <w:p>
      <w:pPr>
        <w:spacing w:after="0" w:line="138" w:lineRule="exact"/>
        <w:rPr>
          <w:sz w:val="20"/>
          <w:szCs w:val="20"/>
          <w:color w:val="auto"/>
        </w:rPr>
      </w:pPr>
    </w:p>
    <w:p>
      <w:pPr>
        <w:spacing w:after="0" w:line="207" w:lineRule="exact"/>
        <w:tabs>
          <w:tab w:leader="none" w:pos="8620" w:val="left"/>
          <w:tab w:leader="none" w:pos="93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jc w:val="center"/>
        <w:ind w:right="-19"/>
        <w:spacing w:after="0" w:line="207" w:lineRule="exact"/>
        <w:tabs>
          <w:tab w:leader="none" w:pos="500" w:val="left"/>
          <w:tab w:leader="none" w:pos="520" w:val="left"/>
          <w:tab w:leader="none" w:pos="5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7" w:lineRule="exact"/>
        <w:rPr>
          <w:sz w:val="20"/>
          <w:szCs w:val="20"/>
          <w:color w:val="auto"/>
        </w:rPr>
      </w:pPr>
    </w:p>
    <w:p>
      <w:pPr>
        <w:ind w:left="220" w:right="540" w:hanging="212"/>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300"/>
        <w:spacing w:after="0" w:line="233" w:lineRule="exact"/>
        <w:rPr>
          <w:sz w:val="20"/>
          <w:szCs w:val="20"/>
          <w:color w:val="auto"/>
        </w:rPr>
      </w:pPr>
      <w:r>
        <w:rPr>
          <w:rFonts w:ascii="Arial" w:cs="Arial" w:eastAsia="Arial" w:hAnsi="Arial"/>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1" w:lineRule="exact"/>
        <w:rPr>
          <w:sz w:val="20"/>
          <w:szCs w:val="20"/>
          <w:color w:val="auto"/>
        </w:rPr>
      </w:pPr>
    </w:p>
    <w:p>
      <w:pPr>
        <w:sectPr>
          <w:pgSz w:w="11900" w:h="16838" w:orient="portrait"/>
          <w:cols w:equalWidth="0" w:num="5">
            <w:col w:w="2300" w:space="80"/>
            <w:col w:w="160" w:space="460"/>
            <w:col w:w="5600" w:space="720"/>
            <w:col w:w="420" w:space="80"/>
            <w:col w:w="1600"/>
          </w:cols>
          <w:pgMar w:left="240" w:top="121" w:right="239" w:bottom="1440" w:gutter="0" w:footer="0" w:header="0"/>
          <w:type w:val="continuous"/>
        </w:sectPr>
      </w:pPr>
    </w:p>
    <w:p>
      <w:pPr>
        <w:ind w:right="70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150" w:lineRule="exact"/>
        <w:rPr>
          <w:sz w:val="20"/>
          <w:szCs w:val="20"/>
          <w:color w:val="auto"/>
        </w:rPr>
      </w:pPr>
    </w:p>
    <w:p>
      <w:pPr>
        <w:jc w:val="center"/>
        <w:ind w:right="20"/>
        <w:spacing w:after="0" w:line="207" w:lineRule="exact"/>
        <w:tabs>
          <w:tab w:leader="none" w:pos="160" w:val="left"/>
          <w:tab w:leader="none" w:pos="160" w:val="left"/>
        </w:tabs>
        <w:rPr>
          <w:sz w:val="20"/>
          <w:szCs w:val="20"/>
          <w:color w:val="auto"/>
        </w:rPr>
      </w:pPr>
      <w:r>
        <w:rPr>
          <w:rFonts w:ascii="Arial" w:cs="Arial" w:eastAsia="Arial" w:hAnsi="Arial"/>
          <w:sz w:val="17"/>
          <w:szCs w:val="17"/>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(APPLICABLE ONLY TO ISSUERS INVOLVED IN BANKRUPTCY PROCEEDINGS DURING THE PAST FIVE YEARS)</w:t>
      </w:r>
    </w:p>
    <w:p>
      <w:pPr>
        <w:spacing w:after="0" w:line="225"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1340" w:type="dxa"/>
            <w:vAlign w:val="bottom"/>
            <w:gridSpan w:val="3"/>
          </w:tcPr>
          <w:p>
            <w:pPr>
              <w:spacing w:after="0" w:line="190"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8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w:t>
            </w:r>
          </w:p>
        </w:tc>
        <w:tc>
          <w:tcPr>
            <w:tcW w:w="8800" w:type="dxa"/>
            <w:vAlign w:val="bottom"/>
            <w:gridSpan w:val="25"/>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ADVISERS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56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3200" w:type="dxa"/>
            <w:vAlign w:val="bottom"/>
            <w:gridSpan w:val="5"/>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1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KEY INFORMATION</w:t>
              </w:r>
            </w:hyperlink>
          </w:p>
        </w:tc>
        <w:tc>
          <w:tcPr>
            <w:tcW w:w="2360" w:type="dxa"/>
            <w:vAlign w:val="bottom"/>
            <w:tcBorders>
              <w:top w:val="single" w:sz="8" w:color="0000EE"/>
            </w:tcBorders>
            <w:gridSpan w:val="11"/>
          </w:tcPr>
          <w:p>
            <w:pPr>
              <w:spacing w:after="0"/>
              <w:rPr>
                <w:sz w:val="17"/>
                <w:szCs w:val="17"/>
                <w:color w:val="auto"/>
              </w:rPr>
            </w:pPr>
          </w:p>
        </w:tc>
        <w:tc>
          <w:tcPr>
            <w:tcW w:w="4780" w:type="dxa"/>
            <w:vAlign w:val="bottom"/>
            <w:gridSpan w:val="1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288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47">
              <w:r>
                <w:rPr>
                  <w:rFonts w:ascii="Arial" w:cs="Arial" w:eastAsia="Arial" w:hAnsi="Arial"/>
                  <w:sz w:val="18"/>
                  <w:szCs w:val="18"/>
                  <w:color w:val="0000EE"/>
                  <w:w w:val="96"/>
                </w:rPr>
                <w:t>INFORMATION ON THE COMPANY</w:t>
              </w:r>
            </w:hyperlink>
          </w:p>
        </w:tc>
        <w:tc>
          <w:tcPr>
            <w:tcW w:w="5920" w:type="dxa"/>
            <w:vAlign w:val="bottom"/>
            <w:gridSpan w:val="1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4A.</w:t>
            </w:r>
          </w:p>
        </w:tc>
        <w:tc>
          <w:tcPr>
            <w:tcW w:w="880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UNRESOLVED STAFF COMMENTS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5.</w:t>
            </w:r>
          </w:p>
        </w:tc>
        <w:tc>
          <w:tcPr>
            <w:tcW w:w="4680" w:type="dxa"/>
            <w:vAlign w:val="bottom"/>
            <w:tcBorders>
              <w:bottom w:val="single" w:sz="8" w:color="0000EE"/>
            </w:tcBorders>
            <w:gridSpan w:val="16"/>
          </w:tcPr>
          <w:p>
            <w:pPr>
              <w:spacing w:after="0" w:line="196" w:lineRule="exact"/>
              <w:rPr>
                <w:rFonts w:ascii="Arial" w:cs="Arial" w:eastAsia="Arial" w:hAnsi="Arial"/>
                <w:sz w:val="18"/>
                <w:szCs w:val="18"/>
                <w:color w:val="0000EE"/>
                <w:w w:val="96"/>
              </w:rPr>
            </w:pPr>
            <w:hyperlink w:anchor="page72">
              <w:r>
                <w:rPr>
                  <w:rFonts w:ascii="Arial" w:cs="Arial" w:eastAsia="Arial" w:hAnsi="Arial"/>
                  <w:sz w:val="18"/>
                  <w:szCs w:val="18"/>
                  <w:color w:val="0000EE"/>
                  <w:w w:val="96"/>
                </w:rPr>
                <w:t>OPERATING AND FINANCIAL REVIEW AND PROSPECTS</w:t>
              </w:r>
            </w:hyperlink>
          </w:p>
        </w:tc>
        <w:tc>
          <w:tcPr>
            <w:tcW w:w="4120" w:type="dxa"/>
            <w:vAlign w:val="bottom"/>
            <w:gridSpan w:val="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8800" w:type="dxa"/>
            <w:vAlign w:val="bottom"/>
            <w:gridSpan w:val="25"/>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DIRECTORS, SENIOR MANAGEMENT AND EMPLOYEES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8800" w:type="dxa"/>
            <w:vAlign w:val="bottom"/>
            <w:gridSpan w:val="25"/>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MAJOR SHAREHOLDERS AND RELATED PARTY TRANSACTIONS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22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9"/>
              </w:rPr>
            </w:pPr>
            <w:hyperlink w:anchor="page115">
              <w:r>
                <w:rPr>
                  <w:rFonts w:ascii="Arial" w:cs="Arial" w:eastAsia="Arial" w:hAnsi="Arial"/>
                  <w:sz w:val="18"/>
                  <w:szCs w:val="18"/>
                  <w:color w:val="0000EE"/>
                  <w:w w:val="99"/>
                </w:rPr>
                <w:t>FINANCIAL INFORMATION</w:t>
              </w:r>
            </w:hyperlink>
          </w:p>
        </w:tc>
        <w:tc>
          <w:tcPr>
            <w:tcW w:w="3120" w:type="dxa"/>
            <w:vAlign w:val="bottom"/>
            <w:tcBorders>
              <w:top w:val="single" w:sz="8" w:color="0000EE"/>
            </w:tcBorders>
            <w:gridSpan w:val="11"/>
          </w:tcPr>
          <w:p>
            <w:pPr>
              <w:spacing w:after="0"/>
              <w:rPr>
                <w:sz w:val="17"/>
                <w:szCs w:val="17"/>
                <w:color w:val="auto"/>
              </w:rPr>
            </w:pPr>
          </w:p>
        </w:tc>
        <w:tc>
          <w:tcPr>
            <w:tcW w:w="3420" w:type="dxa"/>
            <w:vAlign w:val="bottom"/>
            <w:gridSpan w:val="7"/>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16">
              <w:r>
                <w:rPr>
                  <w:rFonts w:ascii="Arial" w:cs="Arial" w:eastAsia="Arial" w:hAnsi="Arial"/>
                  <w:sz w:val="18"/>
                  <w:szCs w:val="18"/>
                  <w:color w:val="0000EE"/>
                  <w:w w:val="96"/>
                </w:rPr>
                <w:t>THE OFFER AND LISTING</w:t>
              </w:r>
            </w:hyperlink>
          </w:p>
        </w:tc>
        <w:tc>
          <w:tcPr>
            <w:tcW w:w="6660" w:type="dxa"/>
            <w:vAlign w:val="bottom"/>
            <w:gridSpan w:val="21"/>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114</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10.</w:t>
            </w:r>
          </w:p>
        </w:tc>
        <w:tc>
          <w:tcPr>
            <w:tcW w:w="8800" w:type="dxa"/>
            <w:vAlign w:val="bottom"/>
            <w:gridSpan w:val="25"/>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ADDITIONAL INFORMATION</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8800" w:type="dxa"/>
            <w:vAlign w:val="bottom"/>
            <w:gridSpan w:val="25"/>
          </w:tcPr>
          <w:p>
            <w:pPr>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QUANTITATIVE AND QUALITATIVE DISCLOSURES ABOUT MARKET RISK</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61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DESCRIPTION OF SECURITIES OTHER THAN EQUITY SECURITIES</w:t>
              </w:r>
            </w:hyperlink>
          </w:p>
        </w:tc>
        <w:tc>
          <w:tcPr>
            <w:tcW w:w="2660" w:type="dxa"/>
            <w:vAlign w:val="bottom"/>
            <w:gridSpan w:val="4"/>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196"/>
        </w:trPr>
        <w:tc>
          <w:tcPr>
            <w:tcW w:w="1340" w:type="dxa"/>
            <w:vAlign w:val="bottom"/>
            <w:gridSpan w:val="3"/>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PART II</w:t>
              </w:r>
            </w:hyperlink>
          </w:p>
        </w:tc>
        <w:tc>
          <w:tcPr>
            <w:tcW w:w="8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502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129">
              <w:r>
                <w:rPr>
                  <w:rFonts w:ascii="Arial" w:cs="Arial" w:eastAsia="Arial" w:hAnsi="Arial"/>
                  <w:sz w:val="18"/>
                  <w:szCs w:val="18"/>
                  <w:color w:val="0000EE"/>
                  <w:w w:val="97"/>
                </w:rPr>
                <w:t>DEFAULTS, DIVIDEND ARREARAGES AND DELINQUENCIES</w:t>
              </w:r>
            </w:hyperlink>
          </w:p>
        </w:tc>
        <w:tc>
          <w:tcPr>
            <w:tcW w:w="3780" w:type="dxa"/>
            <w:vAlign w:val="bottom"/>
            <w:gridSpan w:val="8"/>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8800" w:type="dxa"/>
            <w:vAlign w:val="bottom"/>
            <w:gridSpan w:val="25"/>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MATERIAL MODIFICATIONS TO THE RIGHTS OF SECURITY HOLDERS AND USE OF PROCEEDS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15.</w:t>
            </w:r>
          </w:p>
        </w:tc>
        <w:tc>
          <w:tcPr>
            <w:tcW w:w="78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130">
              <w:r>
                <w:rPr>
                  <w:rFonts w:ascii="Arial" w:cs="Arial" w:eastAsia="Arial" w:hAnsi="Arial"/>
                  <w:sz w:val="18"/>
                  <w:szCs w:val="18"/>
                  <w:color w:val="0000EE"/>
                </w:rPr>
                <w:t>CONTROLS AND PROCEDURES</w:t>
              </w:r>
            </w:hyperlink>
          </w:p>
        </w:tc>
        <w:tc>
          <w:tcPr>
            <w:tcW w:w="9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16A.</w:t>
            </w:r>
          </w:p>
        </w:tc>
        <w:tc>
          <w:tcPr>
            <w:tcW w:w="8800" w:type="dxa"/>
            <w:vAlign w:val="bottom"/>
            <w:gridSpan w:val="25"/>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AUDIT COMMITTEE FINANCIAL EXPERT</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16B.</w:t>
            </w:r>
          </w:p>
        </w:tc>
        <w:tc>
          <w:tcPr>
            <w:tcW w:w="34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CODE OF ETHICS</w:t>
              </w:r>
            </w:hyperlink>
          </w:p>
        </w:tc>
        <w:tc>
          <w:tcPr>
            <w:tcW w:w="5400" w:type="dxa"/>
            <w:vAlign w:val="bottom"/>
            <w:gridSpan w:val="13"/>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20"/>
        </w:trPr>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16C.</w:t>
            </w:r>
          </w:p>
        </w:tc>
        <w:tc>
          <w:tcPr>
            <w:tcW w:w="8800" w:type="dxa"/>
            <w:vAlign w:val="bottom"/>
            <w:gridSpan w:val="25"/>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PRINCIPAL ACCOUNTANT FEES AND SERVICES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20"/>
        </w:trPr>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20" w:type="dxa"/>
            <w:vAlign w:val="bottom"/>
            <w:tcBorders>
              <w:left w:val="single" w:sz="8" w:color="0000EE"/>
            </w:tcBorders>
            <w:gridSpan w:val="5"/>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16D.</w:t>
            </w:r>
          </w:p>
        </w:tc>
        <w:tc>
          <w:tcPr>
            <w:tcW w:w="8800" w:type="dxa"/>
            <w:vAlign w:val="bottom"/>
            <w:gridSpan w:val="2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EXEMPTIONS FROM THE LISTING STANDARDS FOR AUDIT COMMITTEES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340" w:type="dxa"/>
            <w:vAlign w:val="bottom"/>
            <w:tcBorders>
              <w:left w:val="single" w:sz="8" w:color="0000EE"/>
            </w:tcBorders>
            <w:gridSpan w:val="8"/>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16E.</w:t>
            </w:r>
          </w:p>
        </w:tc>
        <w:tc>
          <w:tcPr>
            <w:tcW w:w="8800" w:type="dxa"/>
            <w:vAlign w:val="bottom"/>
            <w:gridSpan w:val="2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PURCHASES OF EQUITY SECURITIES BY THE ISSUER AND AFFILIATED PURCHASERS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16F.</w:t>
            </w:r>
          </w:p>
        </w:tc>
        <w:tc>
          <w:tcPr>
            <w:tcW w:w="71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CHANGE IN REGISTRANT’S CERTIFYING ACCOUNTANT</w:t>
              </w:r>
            </w:hyperlink>
          </w:p>
        </w:tc>
        <w:tc>
          <w:tcPr>
            <w:tcW w:w="1640" w:type="dxa"/>
            <w:vAlign w:val="bottom"/>
            <w:gridSpan w:val="2"/>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16G.</w:t>
            </w:r>
          </w:p>
        </w:tc>
        <w:tc>
          <w:tcPr>
            <w:tcW w:w="46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CORPORATE GOVERNANCE</w:t>
              </w:r>
            </w:hyperlink>
          </w:p>
        </w:tc>
        <w:tc>
          <w:tcPr>
            <w:tcW w:w="4120" w:type="dxa"/>
            <w:vAlign w:val="bottom"/>
            <w:gridSpan w:val="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5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460" w:type="dxa"/>
            <w:vAlign w:val="bottom"/>
            <w:gridSpan w:val="1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16H.</w:t>
            </w:r>
          </w:p>
        </w:tc>
        <w:tc>
          <w:tcPr>
            <w:tcW w:w="8800" w:type="dxa"/>
            <w:vAlign w:val="bottom"/>
            <w:gridSpan w:val="25"/>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MINE SAFETY DISCLOSURE</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340" w:type="dxa"/>
            <w:vAlign w:val="bottom"/>
            <w:gridSpan w:val="3"/>
          </w:tcPr>
          <w:p>
            <w:pPr>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Part III</w:t>
              </w:r>
            </w:hyperlink>
          </w:p>
        </w:tc>
        <w:tc>
          <w:tcPr>
            <w:tcW w:w="8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20"/>
        </w:trPr>
        <w:tc>
          <w:tcPr>
            <w:tcW w:w="52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20" w:type="dxa"/>
            <w:vAlign w:val="bottom"/>
            <w:gridSpan w:val="19"/>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17.</w:t>
            </w:r>
          </w:p>
        </w:tc>
        <w:tc>
          <w:tcPr>
            <w:tcW w:w="218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132">
              <w:r>
                <w:rPr>
                  <w:rFonts w:ascii="Arial" w:cs="Arial" w:eastAsia="Arial" w:hAnsi="Arial"/>
                  <w:sz w:val="18"/>
                  <w:szCs w:val="18"/>
                  <w:color w:val="0000EE"/>
                  <w:w w:val="98"/>
                </w:rPr>
                <w:t>FINANCIAL STATEMENTS</w:t>
              </w:r>
            </w:hyperlink>
          </w:p>
        </w:tc>
        <w:tc>
          <w:tcPr>
            <w:tcW w:w="6620" w:type="dxa"/>
            <w:vAlign w:val="bottom"/>
            <w:gridSpan w:val="19"/>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18.</w:t>
            </w:r>
          </w:p>
        </w:tc>
        <w:tc>
          <w:tcPr>
            <w:tcW w:w="216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32">
              <w:r>
                <w:rPr>
                  <w:rFonts w:ascii="Arial" w:cs="Arial" w:eastAsia="Arial" w:hAnsi="Arial"/>
                  <w:sz w:val="18"/>
                  <w:szCs w:val="18"/>
                  <w:color w:val="0000EE"/>
                  <w:w w:val="97"/>
                </w:rPr>
                <w:t>FINANCIAL STATEMENTS</w:t>
              </w:r>
            </w:hyperlink>
          </w:p>
        </w:tc>
        <w:tc>
          <w:tcPr>
            <w:tcW w:w="6640" w:type="dxa"/>
            <w:vAlign w:val="bottom"/>
            <w:gridSpan w:val="20"/>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1340" w:type="dxa"/>
            <w:vAlign w:val="bottom"/>
            <w:gridSpan w:val="3"/>
          </w:tcPr>
          <w:p>
            <w:pPr>
              <w:spacing w:after="0" w:line="196" w:lineRule="exact"/>
              <w:rPr>
                <w:sz w:val="20"/>
                <w:szCs w:val="20"/>
                <w:color w:val="auto"/>
              </w:rPr>
            </w:pPr>
            <w:r>
              <w:rPr>
                <w:rFonts w:ascii="Arial" w:cs="Arial" w:eastAsia="Arial" w:hAnsi="Arial"/>
                <w:sz w:val="18"/>
                <w:szCs w:val="18"/>
                <w:color w:val="auto"/>
              </w:rPr>
              <w:t>Item 19.</w:t>
            </w:r>
          </w:p>
        </w:tc>
        <w:tc>
          <w:tcPr>
            <w:tcW w:w="8800" w:type="dxa"/>
            <w:vAlign w:val="bottom"/>
            <w:gridSpan w:val="25"/>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EXHIBITS</w:t>
              </w:r>
            </w:hyperlink>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CONVENTIONS THAT APPLY TO THIS ANNUAL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and except where the context otherwise requires, references in this annual report to:</w:t>
      </w:r>
    </w:p>
    <w:p>
      <w:pPr>
        <w:spacing w:after="0" w:line="131" w:lineRule="exact"/>
        <w:rPr>
          <w:sz w:val="20"/>
          <w:szCs w:val="20"/>
          <w:color w:val="auto"/>
        </w:rPr>
      </w:pPr>
    </w:p>
    <w:p>
      <w:pPr>
        <w:ind w:left="1480" w:right="20" w:hanging="446"/>
        <w:spacing w:after="0" w:line="264"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annual report only, Hong Kong, Macau and Taiwan;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“end marketers” refers to marketers that are represented by our marketing agency clients and have no direct contractual relationship with us;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130" w:lineRule="exact"/>
        <w:rPr>
          <w:rFonts w:ascii="Arial" w:cs="Arial" w:eastAsia="Arial" w:hAnsi="Arial"/>
          <w:sz w:val="18"/>
          <w:szCs w:val="18"/>
          <w:color w:val="auto"/>
        </w:rPr>
      </w:pPr>
    </w:p>
    <w:p>
      <w:pPr>
        <w:ind w:left="1480" w:right="34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which do not own any online publishing resources, and are not part of any group which owns any online publishing resources;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mobile apps or websites “covered” refers to the mobile apps or websites from which we are able to receive data to build user profiles;</w:t>
      </w:r>
    </w:p>
    <w:p>
      <w:pPr>
        <w:spacing w:after="0" w:line="153" w:lineRule="exact"/>
        <w:rPr>
          <w:rFonts w:ascii="Arial" w:cs="Arial" w:eastAsia="Arial" w:hAnsi="Arial"/>
          <w:sz w:val="16"/>
          <w:szCs w:val="16"/>
          <w:color w:val="auto"/>
        </w:rPr>
      </w:pPr>
    </w:p>
    <w:p>
      <w:pPr>
        <w:ind w:left="1480" w:right="8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75" w:lineRule="exact"/>
        <w:rPr>
          <w:rFonts w:ascii="Arial" w:cs="Arial" w:eastAsia="Arial" w:hAnsi="Arial"/>
          <w:sz w:val="18"/>
          <w:szCs w:val="18"/>
          <w:color w:val="auto"/>
        </w:rPr>
      </w:pPr>
    </w:p>
    <w:p>
      <w:pPr>
        <w:ind w:left="1480" w:right="4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shares” refer to our Class A and Class B ordinary shares, par value US$0.001 per share;</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“OTT” refers to over-the-top, a media distribution practice that allows a content provider to sell media directly to the customer over the internet.</w:t>
      </w:r>
    </w:p>
    <w:p>
      <w:pPr>
        <w:spacing w:after="0" w:line="75"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clients” refers to entities which enter into marketing campaign contracts with us and incur marketing spend during the relevant period;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marketers” refers to both direct marketer clients and end marketers;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ectPr>
          <w:pgSz w:w="11900" w:h="16838" w:orient="portrait"/>
          <w:cols w:equalWidth="0" w:num="1">
            <w:col w:w="11340"/>
          </w:cols>
          <w:pgMar w:left="240" w:top="45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117" w:lineRule="exact"/>
        <w:rPr>
          <w:sz w:val="20"/>
          <w:szCs w:val="20"/>
          <w:color w:val="auto"/>
        </w:rPr>
      </w:pPr>
    </w:p>
    <w:p>
      <w:pPr>
        <w:ind w:right="240" w:firstLine="913"/>
        <w:spacing w:after="0" w:line="273" w:lineRule="auto"/>
        <w:rPr>
          <w:sz w:val="20"/>
          <w:szCs w:val="20"/>
          <w:color w:val="auto"/>
        </w:rPr>
      </w:pPr>
      <w:r>
        <w:rPr>
          <w:rFonts w:ascii="Arial" w:cs="Arial" w:eastAsia="Arial" w:hAnsi="Arial"/>
          <w:sz w:val="17"/>
          <w:szCs w:val="17"/>
          <w:color w:val="auto"/>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Selected Financial Data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Selected Consolidated Financial Data</w:t>
      </w:r>
    </w:p>
    <w:p>
      <w:pPr>
        <w:spacing w:after="0" w:line="12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following selected consolidated statements of comprehensive loss data for the years ended December 31, 2015, 2016, and 2017 and selected consolidated balance sheet data as of December 31, 2016 and 2017 and selected consolidated cash flow data for the years ended December 31, 2015, 2016 and 2017 have been derived from our audited consolidated financial statements included elsewhere in this annual report. The selected consolidated balance sheet data as of December 31, 2015 have been derived from our audited consolidated financial statements that are not included in this annual report and reflected the impact of the retrospective adjustment for the reclassification of current deferred tax assets and liabilities to non-current assets and liabilities following the adoption of ASU No. 2015-17 on January 1, 2017. Our consolidated financial statements are prepared and presented in accordance with accounting principles generally accepted in the United States of America, or U.S. GAAP.</w:t>
      </w:r>
    </w:p>
    <w:p>
      <w:pPr>
        <w:spacing w:after="0" w:line="178"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You should read the selected consolidated financial information in conjunction with our consolidated financial statements and related notes and “Item 5. Operating and Financial Review and Prospects” included elsewhere in this annual report. Our historical results are not necessarily indicative of our results expected for future periods.</w:t>
      </w:r>
    </w:p>
    <w:p>
      <w:pPr>
        <w:spacing w:after="0" w:line="200"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Year Ended</w:t>
      </w:r>
    </w:p>
    <w:p>
      <w:pPr>
        <w:jc w:val="center"/>
        <w:ind w:left="67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19"/>
        </w:trPr>
        <w:tc>
          <w:tcPr>
            <w:tcW w:w="46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268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w w:val="98"/>
              </w:rPr>
              <w:t>(US$ in thousands, except for per</w:t>
            </w:r>
          </w:p>
        </w:tc>
        <w:tc>
          <w:tcPr>
            <w:tcW w:w="100" w:type="dxa"/>
            <w:vAlign w:val="bottom"/>
          </w:tcPr>
          <w:p>
            <w:pPr>
              <w:spacing w:after="0"/>
              <w:rPr>
                <w:sz w:val="10"/>
                <w:szCs w:val="10"/>
                <w:color w:val="auto"/>
              </w:rPr>
            </w:pPr>
          </w:p>
        </w:tc>
      </w:tr>
      <w:tr>
        <w:trPr>
          <w:trHeight w:val="171"/>
        </w:trPr>
        <w:tc>
          <w:tcPr>
            <w:tcW w:w="46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share and share data)</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0"/>
              </w:rPr>
              <w:t>Selected Consolidated Statements of Comprehensive Loss:</w:t>
            </w:r>
          </w:p>
        </w:tc>
        <w:tc>
          <w:tcPr>
            <w:tcW w:w="2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revenues</w:t>
            </w:r>
          </w:p>
        </w:tc>
        <w:tc>
          <w:tcPr>
            <w:tcW w:w="3200" w:type="dxa"/>
            <w:vAlign w:val="bottom"/>
            <w:gridSpan w:val="3"/>
          </w:tcPr>
          <w:p>
            <w:pPr>
              <w:jc w:val="right"/>
              <w:ind w:right="328"/>
              <w:spacing w:after="0"/>
              <w:rPr>
                <w:sz w:val="20"/>
                <w:szCs w:val="20"/>
                <w:color w:val="auto"/>
              </w:rPr>
            </w:pPr>
            <w:r>
              <w:rPr>
                <w:rFonts w:ascii="Arial" w:cs="Arial" w:eastAsia="Arial" w:hAnsi="Arial"/>
                <w:sz w:val="18"/>
                <w:szCs w:val="18"/>
                <w:color w:val="auto"/>
              </w:rPr>
              <w:t>65,242</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95,357</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125,258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(34,531)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(61,048)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(95,733)</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Gross profit</w:t>
            </w:r>
          </w:p>
        </w:tc>
        <w:tc>
          <w:tcPr>
            <w:tcW w:w="21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4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38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29,525</w:t>
            </w: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Research and development expenses</w:t>
            </w:r>
          </w:p>
        </w:tc>
        <w:tc>
          <w:tcPr>
            <w:tcW w:w="3200" w:type="dxa"/>
            <w:vAlign w:val="bottom"/>
            <w:gridSpan w:val="3"/>
          </w:tcPr>
          <w:p>
            <w:pPr>
              <w:jc w:val="right"/>
              <w:ind w:right="268"/>
              <w:spacing w:after="0"/>
              <w:rPr>
                <w:sz w:val="20"/>
                <w:szCs w:val="20"/>
                <w:color w:val="auto"/>
              </w:rPr>
            </w:pPr>
            <w:r>
              <w:rPr>
                <w:rFonts w:ascii="Arial" w:cs="Arial" w:eastAsia="Arial" w:hAnsi="Arial"/>
                <w:sz w:val="18"/>
                <w:szCs w:val="18"/>
                <w:color w:val="auto"/>
              </w:rPr>
              <w:t>(8,106)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(8,584)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(5,778)</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 expenses</w:t>
            </w:r>
          </w:p>
        </w:tc>
        <w:tc>
          <w:tcPr>
            <w:tcW w:w="32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(31,385)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(28,266)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(25,935)</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General and administrative expenses</w:t>
            </w:r>
          </w:p>
        </w:tc>
        <w:tc>
          <w:tcPr>
            <w:tcW w:w="2180" w:type="dxa"/>
            <w:vAlign w:val="bottom"/>
          </w:tcPr>
          <w:p>
            <w:pPr>
              <w:spacing w:after="0"/>
              <w:rPr>
                <w:sz w:val="18"/>
                <w:szCs w:val="18"/>
                <w:color w:val="auto"/>
              </w:rPr>
            </w:pPr>
          </w:p>
        </w:tc>
        <w:tc>
          <w:tcPr>
            <w:tcW w:w="1020" w:type="dxa"/>
            <w:vAlign w:val="bottom"/>
            <w:gridSpan w:val="2"/>
          </w:tcPr>
          <w:p>
            <w:pPr>
              <w:jc w:val="right"/>
              <w:ind w:right="268"/>
              <w:spacing w:after="0"/>
              <w:rPr>
                <w:sz w:val="20"/>
                <w:szCs w:val="20"/>
                <w:color w:val="auto"/>
              </w:rPr>
            </w:pPr>
            <w:r>
              <w:rPr>
                <w:rFonts w:ascii="Arial" w:cs="Arial" w:eastAsia="Arial" w:hAnsi="Arial"/>
                <w:sz w:val="18"/>
                <w:szCs w:val="18"/>
                <w:color w:val="auto"/>
                <w:w w:val="98"/>
              </w:rPr>
              <w:t>(12,745)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(26,767)</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(12,983)</w:t>
            </w:r>
          </w:p>
        </w:tc>
      </w:tr>
      <w:tr>
        <w:trPr>
          <w:trHeight w:val="27"/>
        </w:trPr>
        <w:tc>
          <w:tcPr>
            <w:tcW w:w="46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w w:val="98"/>
              </w:rPr>
              <w:t>(52,236)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(63,617)</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(44,696)</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loss</w:t>
            </w:r>
          </w:p>
        </w:tc>
        <w:tc>
          <w:tcPr>
            <w:tcW w:w="2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(21,525)</w:t>
            </w:r>
          </w:p>
        </w:tc>
        <w:tc>
          <w:tcPr>
            <w:tcW w:w="4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(29,308)</w:t>
            </w: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(15,171)</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2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(107)</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(551)</w:t>
            </w:r>
          </w:p>
        </w:tc>
      </w:tr>
      <w:tr>
        <w:trPr>
          <w:trHeight w:val="216"/>
        </w:trPr>
        <w:tc>
          <w:tcPr>
            <w:tcW w:w="4620" w:type="dxa"/>
            <w:vAlign w:val="bottom"/>
          </w:tcPr>
          <w:p>
            <w:pPr>
              <w:ind w:left="360"/>
              <w:spacing w:after="0"/>
              <w:rPr>
                <w:sz w:val="20"/>
                <w:szCs w:val="20"/>
                <w:color w:val="auto"/>
              </w:rPr>
            </w:pPr>
            <w:r>
              <w:rPr>
                <w:rFonts w:ascii="Arial" w:cs="Arial" w:eastAsia="Arial" w:hAnsi="Arial"/>
                <w:sz w:val="18"/>
                <w:szCs w:val="18"/>
                <w:color w:val="auto"/>
              </w:rPr>
              <w:t>Other gains/(losses), net</w:t>
            </w:r>
          </w:p>
        </w:tc>
        <w:tc>
          <w:tcPr>
            <w:tcW w:w="3200" w:type="dxa"/>
            <w:vAlign w:val="bottom"/>
            <w:gridSpan w:val="3"/>
          </w:tcPr>
          <w:p>
            <w:pPr>
              <w:jc w:val="right"/>
              <w:ind w:right="328"/>
              <w:spacing w:after="0"/>
              <w:rPr>
                <w:sz w:val="20"/>
                <w:szCs w:val="20"/>
                <w:color w:val="auto"/>
              </w:rPr>
            </w:pPr>
            <w:r>
              <w:rPr>
                <w:rFonts w:ascii="Arial" w:cs="Arial" w:eastAsia="Arial" w:hAnsi="Arial"/>
                <w:sz w:val="18"/>
                <w:szCs w:val="18"/>
                <w:color w:val="auto"/>
              </w:rPr>
              <w:t>791</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(1,082)</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1,841</w:t>
            </w: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(loss)/gain on derivative liabilities</w:t>
            </w:r>
          </w:p>
        </w:tc>
        <w:tc>
          <w:tcPr>
            <w:tcW w:w="320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(19,390)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3,995</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(10,190)</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2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(40,231)</w:t>
            </w:r>
          </w:p>
        </w:tc>
        <w:tc>
          <w:tcPr>
            <w:tcW w:w="4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(27,108)</w:t>
            </w:r>
          </w:p>
        </w:tc>
        <w:tc>
          <w:tcPr>
            <w:tcW w:w="3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(24,071)</w:t>
            </w:r>
          </w:p>
        </w:tc>
        <w:tc>
          <w:tcPr>
            <w:tcW w:w="100" w:type="dxa"/>
            <w:vAlign w:val="bottom"/>
          </w:tcPr>
          <w:p>
            <w:pPr>
              <w:spacing w:after="0"/>
              <w:rPr>
                <w:sz w:val="19"/>
                <w:szCs w:val="19"/>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benefit/(expenses)</w:t>
            </w:r>
          </w:p>
        </w:tc>
        <w:tc>
          <w:tcPr>
            <w:tcW w:w="3200" w:type="dxa"/>
            <w:vAlign w:val="bottom"/>
            <w:gridSpan w:val="3"/>
            <w:shd w:val="clear" w:color="auto" w:fill="CCEEFF"/>
          </w:tcPr>
          <w:p>
            <w:pPr>
              <w:jc w:val="right"/>
              <w:ind w:right="328"/>
              <w:spacing w:after="0"/>
              <w:rPr>
                <w:sz w:val="20"/>
                <w:szCs w:val="20"/>
                <w:color w:val="auto"/>
              </w:rPr>
            </w:pPr>
            <w:r>
              <w:rPr>
                <w:rFonts w:ascii="Arial" w:cs="Arial" w:eastAsia="Arial" w:hAnsi="Arial"/>
                <w:sz w:val="18"/>
                <w:szCs w:val="18"/>
                <w:color w:val="auto"/>
              </w:rPr>
              <w:t>555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(548)</w:t>
            </w:r>
          </w:p>
        </w:tc>
      </w:tr>
      <w:tr>
        <w:trPr>
          <w:trHeight w:val="365"/>
        </w:trPr>
        <w:tc>
          <w:tcPr>
            <w:tcW w:w="4620" w:type="dxa"/>
            <w:vAlign w:val="bottom"/>
          </w:tcPr>
          <w:p>
            <w:pPr>
              <w:spacing w:after="0"/>
              <w:rPr>
                <w:sz w:val="24"/>
                <w:szCs w:val="24"/>
                <w:color w:val="auto"/>
              </w:rPr>
            </w:pPr>
          </w:p>
        </w:tc>
        <w:tc>
          <w:tcPr>
            <w:tcW w:w="2180" w:type="dxa"/>
            <w:vAlign w:val="bottom"/>
          </w:tcPr>
          <w:p>
            <w:pPr>
              <w:jc w:val="right"/>
              <w:ind w:right="187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Year Ended</w:t>
      </w:r>
    </w:p>
    <w:p>
      <w:pPr>
        <w:jc w:val="center"/>
        <w:ind w:left="61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w w:val="89"/>
              </w:rPr>
              <w:t>2016</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3200" w:type="dxa"/>
            <w:vAlign w:val="bottom"/>
            <w:gridSpan w:val="13"/>
          </w:tcPr>
          <w:p>
            <w:pPr>
              <w:jc w:val="right"/>
              <w:ind w:right="170"/>
              <w:spacing w:after="0" w:line="119" w:lineRule="exact"/>
              <w:rPr>
                <w:sz w:val="20"/>
                <w:szCs w:val="20"/>
                <w:color w:val="auto"/>
              </w:rPr>
            </w:pPr>
            <w:r>
              <w:rPr>
                <w:rFonts w:ascii="Arial" w:cs="Arial" w:eastAsia="Arial" w:hAnsi="Arial"/>
                <w:sz w:val="13"/>
                <w:szCs w:val="13"/>
                <w:b w:val="1"/>
                <w:bCs w:val="1"/>
                <w:color w:val="auto"/>
              </w:rPr>
              <w:t>(US$ in thousands, except for per share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7"/>
          </w:tcPr>
          <w:p>
            <w:pPr>
              <w:jc w:val="right"/>
              <w:ind w:right="440"/>
              <w:spacing w:after="0"/>
              <w:rPr>
                <w:sz w:val="20"/>
                <w:szCs w:val="20"/>
                <w:color w:val="auto"/>
              </w:rPr>
            </w:pPr>
            <w:r>
              <w:rPr>
                <w:rFonts w:ascii="Arial" w:cs="Arial" w:eastAsia="Arial" w:hAnsi="Arial"/>
                <w:sz w:val="14"/>
                <w:szCs w:val="14"/>
                <w:b w:val="1"/>
                <w:bCs w:val="1"/>
                <w:color w:val="auto"/>
              </w:rPr>
              <w:t>share data)</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of losses from an equity investee</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(39,714)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(27,330)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(773)</w:t>
            </w:r>
          </w:p>
        </w:tc>
        <w:tc>
          <w:tcPr>
            <w:tcW w:w="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10"/>
              <w:spacing w:after="0"/>
              <w:rPr>
                <w:sz w:val="20"/>
                <w:szCs w:val="20"/>
                <w:color w:val="auto"/>
              </w:rPr>
            </w:pPr>
            <w:r>
              <w:rPr>
                <w:rFonts w:ascii="Arial" w:cs="Arial" w:eastAsia="Arial" w:hAnsi="Arial"/>
                <w:sz w:val="18"/>
                <w:szCs w:val="18"/>
                <w:color w:val="auto"/>
              </w:rPr>
              <w:t>(1,556)</w:t>
            </w: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280" w:type="dxa"/>
            <w:vAlign w:val="bottom"/>
          </w:tcPr>
          <w:p>
            <w:pPr>
              <w:spacing w:after="0"/>
              <w:rPr>
                <w:sz w:val="20"/>
                <w:szCs w:val="20"/>
                <w:color w:val="auto"/>
              </w:rPr>
            </w:pPr>
            <w:r>
              <w:rPr>
                <w:rFonts w:ascii="Arial" w:cs="Arial" w:eastAsia="Arial" w:hAnsi="Arial"/>
                <w:sz w:val="18"/>
                <w:szCs w:val="18"/>
                <w:color w:val="auto"/>
              </w:rPr>
              <w:t>Net loss attributable to iClick Interactive Asia Group Limited’s ordinary</w:t>
            </w:r>
          </w:p>
        </w:tc>
        <w:tc>
          <w:tcPr>
            <w:tcW w:w="7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shareholders</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(41,797)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3"/>
          </w:tcPr>
          <w:p>
            <w:pPr>
              <w:jc w:val="right"/>
              <w:ind w:right="110"/>
              <w:spacing w:after="0"/>
              <w:rPr>
                <w:sz w:val="20"/>
                <w:szCs w:val="20"/>
                <w:color w:val="auto"/>
              </w:rPr>
            </w:pPr>
            <w:r>
              <w:rPr>
                <w:rFonts w:ascii="Arial" w:cs="Arial" w:eastAsia="Arial" w:hAnsi="Arial"/>
                <w:sz w:val="18"/>
                <w:szCs w:val="18"/>
                <w:color w:val="auto"/>
                <w:w w:val="95"/>
              </w:rPr>
              <w:t>(29,659)</w:t>
            </w: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(29,931)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 net of US$nil tax</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1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(39,843)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5"/>
              </w:rPr>
              <w:t>(27,469)</w:t>
            </w:r>
          </w:p>
        </w:tc>
        <w:tc>
          <w:tcPr>
            <w:tcW w:w="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(24,698)</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(2.26)</w:t>
            </w:r>
          </w:p>
        </w:tc>
        <w:tc>
          <w:tcPr>
            <w:tcW w:w="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Diluted</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(3.58)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3"/>
          </w:tcPr>
          <w:p>
            <w:pPr>
              <w:jc w:val="right"/>
              <w:ind w:right="11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ordinary shares used in per share calculation</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11,661,049</w:t>
            </w:r>
          </w:p>
        </w:tc>
        <w:tc>
          <w:tcPr>
            <w:tcW w:w="1360" w:type="dxa"/>
            <w:vAlign w:val="bottom"/>
            <w:gridSpan w:val="7"/>
          </w:tcPr>
          <w:p>
            <w:pPr>
              <w:jc w:val="right"/>
              <w:ind w:right="170"/>
              <w:spacing w:after="0"/>
              <w:rPr>
                <w:sz w:val="20"/>
                <w:szCs w:val="20"/>
                <w:color w:val="auto"/>
              </w:rPr>
            </w:pPr>
            <w:r>
              <w:rPr>
                <w:rFonts w:ascii="Arial" w:cs="Arial" w:eastAsia="Arial" w:hAnsi="Arial"/>
                <w:sz w:val="18"/>
                <w:szCs w:val="18"/>
                <w:color w:val="auto"/>
              </w:rPr>
              <w:t>13,151,063</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88"/>
              </w:rPr>
              <w:t>13,931,503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5"/>
              </w:rPr>
              <w:t>11,661,049</w:t>
            </w:r>
          </w:p>
        </w:tc>
        <w:tc>
          <w:tcPr>
            <w:tcW w:w="1360" w:type="dxa"/>
            <w:vAlign w:val="bottom"/>
            <w:gridSpan w:val="7"/>
            <w:shd w:val="clear" w:color="auto" w:fill="CCEEFF"/>
          </w:tcPr>
          <w:p>
            <w:pPr>
              <w:jc w:val="right"/>
              <w:ind w:right="170"/>
              <w:spacing w:after="0"/>
              <w:rPr>
                <w:sz w:val="20"/>
                <w:szCs w:val="20"/>
                <w:color w:val="auto"/>
              </w:rPr>
            </w:pPr>
            <w:r>
              <w:rPr>
                <w:rFonts w:ascii="Arial" w:cs="Arial" w:eastAsia="Arial" w:hAnsi="Arial"/>
                <w:sz w:val="18"/>
                <w:szCs w:val="18"/>
                <w:color w:val="auto"/>
              </w:rPr>
              <w:t>13,151,063</w:t>
            </w:r>
          </w:p>
        </w:tc>
        <w:tc>
          <w:tcPr>
            <w:tcW w:w="8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13,931,503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6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8"/>
          </w:tcPr>
          <w:p>
            <w:pPr>
              <w:jc w:val="center"/>
              <w:ind w:right="700"/>
              <w:spacing w:after="0"/>
              <w:rPr>
                <w:sz w:val="20"/>
                <w:szCs w:val="20"/>
                <w:color w:val="auto"/>
              </w:rPr>
            </w:pPr>
            <w:r>
              <w:rPr>
                <w:rFonts w:ascii="Arial" w:cs="Arial" w:eastAsia="Arial" w:hAnsi="Arial"/>
                <w:sz w:val="14"/>
                <w:szCs w:val="14"/>
                <w:b w:val="1"/>
                <w:bCs w:val="1"/>
                <w:color w:val="auto"/>
                <w:w w:val="90"/>
              </w:rPr>
              <w:t>As of December 31,</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Borders>
              <w:top w:val="single" w:sz="8" w:color="auto"/>
              <w:bottom w:val="single" w:sz="8" w:color="auto"/>
            </w:tcBorders>
            <w:gridSpan w:val="4"/>
          </w:tcPr>
          <w:p>
            <w:pPr>
              <w:jc w:val="right"/>
              <w:ind w:right="10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jc w:val="center"/>
              <w:ind w:left="132"/>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20" w:type="dxa"/>
            <w:vAlign w:val="bottom"/>
            <w:gridSpan w:val="7"/>
          </w:tcPr>
          <w:p>
            <w:pPr>
              <w:jc w:val="center"/>
              <w:ind w:right="530"/>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10,395</w:t>
            </w: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27,280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19,401</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Time deposit</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4"/>
          </w:tcPr>
          <w:p>
            <w:pPr>
              <w:jc w:val="right"/>
              <w:ind w:right="10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2"/>
        </w:trPr>
        <w:tc>
          <w:tcPr>
            <w:tcW w:w="7220" w:type="dxa"/>
            <w:vAlign w:val="bottom"/>
            <w:gridSpan w:val="4"/>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Accounts receivable, net of allowance for doubtful receivables of US$1,733, US$1,693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US$1,478 as of December 31, 2015, 2016 and 2017, respectively</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28,423</w:t>
            </w:r>
          </w:p>
        </w:tc>
        <w:tc>
          <w:tcPr>
            <w:tcW w:w="60" w:type="dxa"/>
            <w:vAlign w:val="bottom"/>
            <w:shd w:val="clear" w:color="auto" w:fill="CCEEFF"/>
          </w:tcPr>
          <w:p>
            <w:pPr>
              <w:spacing w:after="0"/>
              <w:rPr>
                <w:sz w:val="20"/>
                <w:szCs w:val="20"/>
                <w:color w:val="auto"/>
              </w:rPr>
            </w:pPr>
          </w:p>
        </w:tc>
        <w:tc>
          <w:tcPr>
            <w:tcW w:w="9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30,694</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40,798</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Rebates receivable</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3,642</w:t>
            </w:r>
          </w:p>
        </w:tc>
        <w:tc>
          <w:tcPr>
            <w:tcW w:w="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2,250</w:t>
            </w:r>
          </w:p>
        </w:tc>
        <w:tc>
          <w:tcPr>
            <w:tcW w:w="8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media cost</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24,793</w:t>
            </w: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34,409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37,784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Non-current assets:</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19,095</w:t>
            </w:r>
          </w:p>
        </w:tc>
        <w:tc>
          <w:tcPr>
            <w:tcW w:w="6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14,804</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380" w:type="dxa"/>
            <w:vAlign w:val="bottom"/>
            <w:gridSpan w:val="6"/>
          </w:tcPr>
          <w:p>
            <w:pPr>
              <w:jc w:val="right"/>
              <w:ind w:right="20"/>
              <w:spacing w:after="0"/>
              <w:rPr>
                <w:sz w:val="20"/>
                <w:szCs w:val="20"/>
                <w:color w:val="auto"/>
              </w:rPr>
            </w:pPr>
            <w:r>
              <w:rPr>
                <w:rFonts w:ascii="Arial" w:cs="Arial" w:eastAsia="Arial" w:hAnsi="Arial"/>
                <w:sz w:val="18"/>
                <w:szCs w:val="18"/>
                <w:color w:val="auto"/>
              </w:rPr>
              <w:t>48,496</w:t>
            </w:r>
          </w:p>
        </w:tc>
        <w:tc>
          <w:tcPr>
            <w:tcW w:w="60" w:type="dxa"/>
            <w:vAlign w:val="bottom"/>
          </w:tcPr>
          <w:p>
            <w:pPr>
              <w:spacing w:after="0"/>
              <w:rPr>
                <w:sz w:val="18"/>
                <w:szCs w:val="18"/>
                <w:color w:val="auto"/>
              </w:rPr>
            </w:pPr>
          </w:p>
        </w:tc>
        <w:tc>
          <w:tcPr>
            <w:tcW w:w="940" w:type="dxa"/>
            <w:vAlign w:val="bottom"/>
            <w:gridSpan w:val="4"/>
          </w:tcPr>
          <w:p>
            <w:pPr>
              <w:jc w:val="right"/>
              <w:ind w:right="80"/>
              <w:spacing w:after="0"/>
              <w:rPr>
                <w:sz w:val="20"/>
                <w:szCs w:val="20"/>
                <w:color w:val="auto"/>
              </w:rPr>
            </w:pPr>
            <w:r>
              <w:rPr>
                <w:rFonts w:ascii="Arial" w:cs="Arial" w:eastAsia="Arial" w:hAnsi="Arial"/>
                <w:sz w:val="18"/>
                <w:szCs w:val="18"/>
                <w:color w:val="auto"/>
              </w:rPr>
              <w:t>48,496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146,110</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188,822</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Liabilities, mezzanine equity and shareholders’ deficit:</w:t>
            </w:r>
          </w:p>
        </w:tc>
        <w:tc>
          <w:tcPr>
            <w:tcW w:w="7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r>
              <w:rPr>
                <w:rFonts w:ascii="Arial" w:cs="Arial" w:eastAsia="Arial" w:hAnsi="Arial"/>
                <w:sz w:val="15"/>
                <w:szCs w:val="15"/>
                <w:color w:val="auto"/>
              </w:rPr>
              <w:t>(1)</w:t>
            </w:r>
          </w:p>
        </w:tc>
        <w:tc>
          <w:tcPr>
            <w:tcW w:w="13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114,063</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125,505</w:t>
            </w:r>
          </w:p>
        </w:tc>
        <w:tc>
          <w:tcPr>
            <w:tcW w:w="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65,679</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15"/>
                <w:szCs w:val="15"/>
                <w:color w:val="auto"/>
              </w:rPr>
              <w:t>(1)</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4,766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118,829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129,569</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68,838</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mezzanine equity</w:t>
            </w:r>
          </w:p>
        </w:tc>
        <w:tc>
          <w:tcPr>
            <w:tcW w:w="720" w:type="dxa"/>
            <w:vAlign w:val="bottom"/>
          </w:tcPr>
          <w:p>
            <w:pPr>
              <w:spacing w:after="0"/>
              <w:rPr>
                <w:sz w:val="19"/>
                <w:szCs w:val="19"/>
                <w:color w:val="auto"/>
              </w:rPr>
            </w:pPr>
          </w:p>
        </w:tc>
        <w:tc>
          <w:tcPr>
            <w:tcW w:w="6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83,210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104,383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deficit/equity</w:t>
            </w:r>
          </w:p>
        </w:tc>
        <w:tc>
          <w:tcPr>
            <w:tcW w:w="14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(55,929)</w:t>
            </w:r>
          </w:p>
        </w:tc>
        <w:tc>
          <w:tcPr>
            <w:tcW w:w="9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(64,312)</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119,984</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720" w:type="dxa"/>
            <w:vAlign w:val="bottom"/>
          </w:tcPr>
          <w:p>
            <w:pPr>
              <w:spacing w:after="0"/>
              <w:rPr>
                <w:sz w:val="19"/>
                <w:szCs w:val="19"/>
                <w:color w:val="auto"/>
              </w:rPr>
            </w:pPr>
          </w:p>
        </w:tc>
        <w:tc>
          <w:tcPr>
            <w:tcW w:w="6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146,110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169,640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line="27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balance as of December 31, 2015 and 2016 reflects the impact of the retrospective adjustment for the reclassification of current deferred tax liabilities to non-current liabilities following the adoption of ASU No. 2015-17 on January 1, 2017.</w:t>
      </w:r>
    </w:p>
    <w:p>
      <w:pPr>
        <w:spacing w:after="0" w:line="10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240" w:top="459" w:right="8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7860"/>
        <w:spacing w:after="0"/>
        <w:rPr>
          <w:sz w:val="20"/>
          <w:szCs w:val="20"/>
          <w:color w:val="auto"/>
        </w:rPr>
      </w:pPr>
      <w:r>
        <w:rPr>
          <w:rFonts w:ascii="Arial" w:cs="Arial" w:eastAsia="Arial" w:hAnsi="Arial"/>
          <w:sz w:val="14"/>
          <w:szCs w:val="14"/>
          <w:b w:val="1"/>
          <w:bCs w:val="1"/>
          <w:color w:val="auto"/>
        </w:rPr>
        <w:t>Year Ended</w:t>
      </w:r>
    </w:p>
    <w:p>
      <w:pPr>
        <w:jc w:val="center"/>
        <w:ind w:left="78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798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980" w:type="dxa"/>
            <w:vAlign w:val="bottom"/>
          </w:tcPr>
          <w:p>
            <w:pPr>
              <w:spacing w:after="0"/>
              <w:rPr>
                <w:sz w:val="12"/>
                <w:szCs w:val="12"/>
                <w:color w:val="auto"/>
              </w:rPr>
            </w:pPr>
          </w:p>
        </w:tc>
        <w:tc>
          <w:tcPr>
            <w:tcW w:w="1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(US$ in thousands)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8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(9,797)</w:t>
            </w:r>
          </w:p>
        </w:tc>
        <w:tc>
          <w:tcPr>
            <w:tcW w:w="980" w:type="dxa"/>
            <w:vAlign w:val="bottom"/>
          </w:tcPr>
          <w:p>
            <w:pPr>
              <w:jc w:val="right"/>
              <w:ind w:right="192"/>
              <w:spacing w:after="0"/>
              <w:rPr>
                <w:sz w:val="20"/>
                <w:szCs w:val="20"/>
                <w:color w:val="auto"/>
              </w:rPr>
            </w:pPr>
            <w:r>
              <w:rPr>
                <w:rFonts w:ascii="Arial" w:cs="Arial" w:eastAsia="Arial" w:hAnsi="Arial"/>
                <w:sz w:val="18"/>
                <w:szCs w:val="18"/>
                <w:color w:val="auto"/>
              </w:rPr>
              <w:t>(3,907)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(13,881)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8"/>
              </w:rPr>
              <w:t>(18,095)</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(3,710)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(19,931)</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rPr>
              <w:t>(2,612)</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24,564</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25,546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8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(232)</w:t>
            </w:r>
          </w:p>
        </w:tc>
        <w:tc>
          <w:tcPr>
            <w:tcW w:w="9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(62)</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840" w:type="dxa"/>
            <w:vAlign w:val="bottom"/>
          </w:tcPr>
          <w:p>
            <w:pPr>
              <w:jc w:val="right"/>
              <w:ind w:right="74"/>
              <w:spacing w:after="0"/>
              <w:rPr>
                <w:sz w:val="20"/>
                <w:szCs w:val="20"/>
                <w:color w:val="auto"/>
              </w:rPr>
            </w:pPr>
            <w:r>
              <w:rPr>
                <w:rFonts w:ascii="Arial" w:cs="Arial" w:eastAsia="Arial" w:hAnsi="Arial"/>
                <w:sz w:val="18"/>
                <w:szCs w:val="18"/>
                <w:color w:val="auto"/>
                <w:w w:val="98"/>
              </w:rPr>
              <w:t>(30,504)</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16,947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(8,266)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41,131</w:t>
            </w:r>
          </w:p>
        </w:tc>
        <w:tc>
          <w:tcPr>
            <w:tcW w:w="9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10,395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Cash and cash equivalents at the end of period</w:t>
            </w:r>
          </w:p>
        </w:tc>
        <w:tc>
          <w:tcPr>
            <w:tcW w:w="840" w:type="dxa"/>
            <w:vAlign w:val="bottom"/>
          </w:tcPr>
          <w:p>
            <w:pPr>
              <w:jc w:val="right"/>
              <w:ind w:right="134"/>
              <w:spacing w:after="0"/>
              <w:rPr>
                <w:sz w:val="20"/>
                <w:szCs w:val="20"/>
                <w:color w:val="auto"/>
              </w:rPr>
            </w:pPr>
            <w:r>
              <w:rPr>
                <w:rFonts w:ascii="Arial" w:cs="Arial" w:eastAsia="Arial" w:hAnsi="Arial"/>
                <w:sz w:val="18"/>
                <w:szCs w:val="18"/>
                <w:color w:val="auto"/>
              </w:rPr>
              <w:t>10,395</w:t>
            </w:r>
          </w:p>
        </w:tc>
        <w:tc>
          <w:tcPr>
            <w:tcW w:w="980" w:type="dxa"/>
            <w:vAlign w:val="bottom"/>
          </w:tcPr>
          <w:p>
            <w:pPr>
              <w:jc w:val="right"/>
              <w:ind w:right="252"/>
              <w:spacing w:after="0"/>
              <w:rPr>
                <w:sz w:val="20"/>
                <w:szCs w:val="20"/>
                <w:color w:val="auto"/>
              </w:rPr>
            </w:pPr>
            <w:r>
              <w:rPr>
                <w:rFonts w:ascii="Arial" w:cs="Arial" w:eastAsia="Arial" w:hAnsi="Arial"/>
                <w:sz w:val="18"/>
                <w:szCs w:val="18"/>
                <w:color w:val="auto"/>
              </w:rPr>
              <w:t>27,280</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19,401</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Information</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publish our consolidated financial statements in Renminbi. The conversion of Renminbi into U.S. dollars in this annual report is solely for the convenience of readers. The exchange rate refers to the exchange rate as set forth in the H.10 statistical release of the Federal Reserve Board. Unless otherwise noted, all translations from Renminbi to U.S. dollars and from U.S. dollars to Renminbi in this annual report were made at a rate of RMB6.5063 to US$1.00, the noon buying rate in effect as of December 29, 2017. The Renminbi is not freely convertible into foreign currency. We make no representation that any Renminbi or U.S. dollar amounts could have been, or could be, converted into U.S. dollars or Renminbi, as the case may be, at any particular rate, the rates stated below, or at all. On April 13, 2018, the exchange rate, as set forth in the H.10 statistical release of the Federal Reserve Board, was RMB6.2725 to US$1.00.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Period</w:t>
            </w:r>
          </w:p>
        </w:tc>
        <w:tc>
          <w:tcPr>
            <w:tcW w:w="10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92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Low</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91"/>
        </w:trPr>
        <w:tc>
          <w:tcPr>
            <w:tcW w:w="7040" w:type="dxa"/>
            <w:vAlign w:val="bottom"/>
            <w:gridSpan w:val="2"/>
            <w:vMerge w:val="continue"/>
          </w:tcPr>
          <w:p>
            <w:pPr>
              <w:spacing w:after="0"/>
              <w:rPr>
                <w:sz w:val="16"/>
                <w:szCs w:val="16"/>
                <w:color w:val="auto"/>
              </w:rPr>
            </w:pPr>
          </w:p>
        </w:tc>
        <w:tc>
          <w:tcPr>
            <w:tcW w:w="740" w:type="dxa"/>
            <w:vAlign w:val="bottom"/>
          </w:tcPr>
          <w:p>
            <w:pPr>
              <w:ind w:left="160"/>
              <w:spacing w:after="0"/>
              <w:rPr>
                <w:sz w:val="20"/>
                <w:szCs w:val="20"/>
                <w:color w:val="auto"/>
              </w:rPr>
            </w:pPr>
            <w:r>
              <w:rPr>
                <w:rFonts w:ascii="Arial" w:cs="Arial" w:eastAsia="Arial" w:hAnsi="Arial"/>
                <w:sz w:val="14"/>
                <w:szCs w:val="14"/>
                <w:b w:val="1"/>
                <w:bCs w:val="1"/>
                <w:color w:val="auto"/>
              </w:rPr>
              <w:t>End</w:t>
            </w:r>
          </w:p>
        </w:tc>
        <w:tc>
          <w:tcPr>
            <w:tcW w:w="10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20" w:type="dxa"/>
            <w:vAlign w:val="bottom"/>
            <w:tcBorders>
              <w:top w:val="single" w:sz="8" w:color="auto"/>
            </w:tcBorders>
          </w:tcPr>
          <w:p>
            <w:pPr>
              <w:spacing w:after="0"/>
              <w:rPr>
                <w:sz w:val="10"/>
                <w:szCs w:val="10"/>
                <w:color w:val="auto"/>
              </w:rPr>
            </w:pPr>
          </w:p>
        </w:tc>
        <w:tc>
          <w:tcPr>
            <w:tcW w:w="66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2"/>
          </w:tcPr>
          <w:p>
            <w:pPr>
              <w:jc w:val="right"/>
              <w:ind w:right="291"/>
              <w:spacing w:after="0" w:line="122" w:lineRule="exact"/>
              <w:rPr>
                <w:sz w:val="20"/>
                <w:szCs w:val="20"/>
                <w:color w:val="auto"/>
              </w:rPr>
            </w:pPr>
            <w:r>
              <w:rPr>
                <w:rFonts w:ascii="Arial" w:cs="Arial" w:eastAsia="Arial" w:hAnsi="Arial"/>
                <w:sz w:val="14"/>
                <w:szCs w:val="14"/>
                <w:b w:val="1"/>
                <w:bCs w:val="1"/>
                <w:color w:val="auto"/>
              </w:rPr>
              <w:t>(RMB per US$1.00)</w:t>
            </w:r>
          </w:p>
        </w:tc>
        <w:tc>
          <w:tcPr>
            <w:tcW w:w="7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2012</w:t>
            </w:r>
          </w:p>
        </w:tc>
        <w:tc>
          <w:tcPr>
            <w:tcW w:w="662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6.2301</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6.3043</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6.3879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6.2221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2013</w:t>
            </w:r>
          </w:p>
        </w:tc>
        <w:tc>
          <w:tcPr>
            <w:tcW w:w="66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6.0537</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6.1412</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6.2438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6.0537</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2014</w:t>
            </w:r>
          </w:p>
        </w:tc>
        <w:tc>
          <w:tcPr>
            <w:tcW w:w="662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6.2046</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6.1704</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6.2591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6.0402</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2015</w:t>
            </w:r>
          </w:p>
        </w:tc>
        <w:tc>
          <w:tcPr>
            <w:tcW w:w="66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6.4778</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6.2869</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6.4896</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6.1870</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99"/>
              </w:rPr>
              <w:t>2016</w:t>
            </w:r>
          </w:p>
        </w:tc>
        <w:tc>
          <w:tcPr>
            <w:tcW w:w="6620" w:type="dxa"/>
            <w:vAlign w:val="bottom"/>
            <w:shd w:val="clear" w:color="auto" w:fill="CCEEFF"/>
          </w:tcPr>
          <w:p>
            <w:pPr>
              <w:spacing w:after="0"/>
              <w:rPr>
                <w:sz w:val="18"/>
                <w:szCs w:val="18"/>
                <w:color w:val="auto"/>
              </w:rPr>
            </w:pP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6.9430</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6.6549</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6.9580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6.4480</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2017</w:t>
            </w:r>
          </w:p>
        </w:tc>
        <w:tc>
          <w:tcPr>
            <w:tcW w:w="6620" w:type="dxa"/>
            <w:vAlign w:val="bottom"/>
          </w:tcPr>
          <w:p>
            <w:pPr>
              <w:spacing w:after="0"/>
              <w:rPr>
                <w:sz w:val="18"/>
                <w:szCs w:val="18"/>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rPr>
              <w:t>6.5063</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6.7350</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6.9575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6.4773</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w:t>
            </w: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6.6328</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6.6254</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6.6533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6.5712</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November</w:t>
            </w:r>
          </w:p>
        </w:tc>
        <w:tc>
          <w:tcPr>
            <w:tcW w:w="740" w:type="dxa"/>
            <w:vAlign w:val="bottom"/>
          </w:tcPr>
          <w:p>
            <w:pPr>
              <w:ind w:left="60"/>
              <w:spacing w:after="0"/>
              <w:rPr>
                <w:sz w:val="20"/>
                <w:szCs w:val="20"/>
                <w:color w:val="auto"/>
              </w:rPr>
            </w:pPr>
            <w:r>
              <w:rPr>
                <w:rFonts w:ascii="Arial" w:cs="Arial" w:eastAsia="Arial" w:hAnsi="Arial"/>
                <w:sz w:val="18"/>
                <w:szCs w:val="18"/>
                <w:color w:val="auto"/>
              </w:rPr>
              <w:t>6.6090</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6.6200</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6.6385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6.5967</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w:t>
            </w: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6.5063</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6.5392</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6.6210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6.5063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99"/>
              </w:rPr>
              <w:t>2018</w:t>
            </w:r>
          </w:p>
        </w:tc>
        <w:tc>
          <w:tcPr>
            <w:tcW w:w="6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w:t>
            </w: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6.2841</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6.4233</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6.5263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6.2841</w:t>
            </w:r>
          </w:p>
        </w:tc>
        <w:tc>
          <w:tcPr>
            <w:tcW w:w="0" w:type="dxa"/>
            <w:vAlign w:val="bottom"/>
          </w:tcPr>
          <w:p>
            <w:pPr>
              <w:spacing w:after="0"/>
              <w:rPr>
                <w:sz w:val="1"/>
                <w:szCs w:val="1"/>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February</w:t>
            </w:r>
          </w:p>
        </w:tc>
        <w:tc>
          <w:tcPr>
            <w:tcW w:w="740" w:type="dxa"/>
            <w:vAlign w:val="bottom"/>
          </w:tcPr>
          <w:p>
            <w:pPr>
              <w:ind w:left="60"/>
              <w:spacing w:after="0"/>
              <w:rPr>
                <w:sz w:val="20"/>
                <w:szCs w:val="20"/>
                <w:color w:val="auto"/>
              </w:rPr>
            </w:pPr>
            <w:r>
              <w:rPr>
                <w:rFonts w:ascii="Arial" w:cs="Arial" w:eastAsia="Arial" w:hAnsi="Arial"/>
                <w:sz w:val="18"/>
                <w:szCs w:val="18"/>
                <w:color w:val="auto"/>
              </w:rPr>
              <w:t>6.3280</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6.3183</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6.3471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6.2649</w:t>
            </w:r>
          </w:p>
        </w:tc>
        <w:tc>
          <w:tcPr>
            <w:tcW w:w="0" w:type="dxa"/>
            <w:vAlign w:val="bottom"/>
          </w:tcPr>
          <w:p>
            <w:pPr>
              <w:spacing w:after="0"/>
              <w:rPr>
                <w:sz w:val="1"/>
                <w:szCs w:val="1"/>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w:t>
            </w:r>
          </w:p>
        </w:tc>
        <w:tc>
          <w:tcPr>
            <w:tcW w:w="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6.2726</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6.3174</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6.3565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6.2685</w:t>
            </w:r>
          </w:p>
        </w:tc>
        <w:tc>
          <w:tcPr>
            <w:tcW w:w="0" w:type="dxa"/>
            <w:vAlign w:val="bottom"/>
          </w:tcPr>
          <w:p>
            <w:pPr>
              <w:spacing w:after="0"/>
              <w:rPr>
                <w:sz w:val="1"/>
                <w:szCs w:val="1"/>
                <w:color w:val="auto"/>
              </w:rPr>
            </w:pPr>
          </w:p>
        </w:tc>
      </w:t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April (through April 13, 2018)</w:t>
            </w:r>
          </w:p>
        </w:tc>
        <w:tc>
          <w:tcPr>
            <w:tcW w:w="740" w:type="dxa"/>
            <w:vAlign w:val="bottom"/>
          </w:tcPr>
          <w:p>
            <w:pPr>
              <w:ind w:left="60"/>
              <w:spacing w:after="0"/>
              <w:rPr>
                <w:sz w:val="20"/>
                <w:szCs w:val="20"/>
                <w:color w:val="auto"/>
              </w:rPr>
            </w:pPr>
            <w:r>
              <w:rPr>
                <w:rFonts w:ascii="Arial" w:cs="Arial" w:eastAsia="Arial" w:hAnsi="Arial"/>
                <w:sz w:val="18"/>
                <w:szCs w:val="18"/>
                <w:color w:val="auto"/>
              </w:rPr>
              <w:t>6.2725</w:t>
            </w: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6.2889</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6.3045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6.2655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40" w:hanging="452"/>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averages are calculated by averaging the rates on the last business day of each month during the annual period. Monthly averages are calculated by averaging the rates on each business day during the month.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Capitalization and Indebtedness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Reasons for the Offer and Use of Proceeds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Risk Factors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growth in recent periods, and our historical growth rates may not be indicative of our future growth.</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have experienced growth in recent periods. We may not be able to sustain our historical growth rates, or at all. You should not consider our historical growth in gross billing and net revenues as indicative of our future performance. Our recent growth was driven by increase in gross billing from mobile solutions as a result of our strategic focus shifting to capture more market demand in mobile audience solutions. In future periods, our gross billing and net revenues could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99" w:lineRule="exact"/>
        <w:rPr>
          <w:sz w:val="20"/>
          <w:szCs w:val="20"/>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execute our mobile strategy in the increasingly competitive mobile online marketing segment;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retain existing clients while continuing to optimize our client base;</w:t>
      </w:r>
    </w:p>
    <w:p>
      <w:pPr>
        <w:spacing w:after="0" w:line="130" w:lineRule="exact"/>
        <w:rPr>
          <w:rFonts w:ascii="Arial" w:cs="Arial" w:eastAsia="Arial" w:hAnsi="Arial"/>
          <w:sz w:val="18"/>
          <w:szCs w:val="18"/>
          <w:color w:val="auto"/>
        </w:rPr>
      </w:pPr>
    </w:p>
    <w:p>
      <w:pPr>
        <w:ind w:left="1480" w:right="240" w:hanging="446"/>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75" w:lineRule="exact"/>
        <w:rPr>
          <w:rFonts w:ascii="Arial" w:cs="Arial" w:eastAsia="Arial" w:hAnsi="Arial"/>
          <w:sz w:val="18"/>
          <w:szCs w:val="18"/>
          <w:color w:val="auto"/>
        </w:rPr>
      </w:pPr>
    </w:p>
    <w:p>
      <w:pPr>
        <w:ind w:left="1480" w:right="620" w:hanging="446"/>
        <w:spacing w:after="0" w:line="342" w:lineRule="auto"/>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29" w:lineRule="exact"/>
        <w:rPr>
          <w:rFonts w:ascii="Arial" w:cs="Arial" w:eastAsia="Arial" w:hAnsi="Arial"/>
          <w:sz w:val="16"/>
          <w:szCs w:val="16"/>
          <w:color w:val="auto"/>
        </w:rPr>
      </w:pPr>
    </w:p>
    <w:p>
      <w:pPr>
        <w:ind w:left="1480" w:right="260" w:hanging="446"/>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businesses, products and technologies and to integrate these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implementing our mobile strategies, which could materially and adversely affect our results of operations.</w:t>
      </w:r>
    </w:p>
    <w:p>
      <w:pPr>
        <w:spacing w:after="0" w:line="10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recent growth was in part driven by our expansion since 2014 into mobile channels to identify, engage and convert mobile audience.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 control. We may not be successful in developing solutions that operate effectively with these technologies, systems, networks or standards. Any of these could have a material adverse effect on our business, prospects and results of operations.</w:t>
      </w:r>
    </w:p>
    <w:p>
      <w:pPr>
        <w:spacing w:after="0" w:line="8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While marketing via non-mobile online channels has been established for several years, marketing via mobile channels, in particular via mobile apps, is a relatively new phenomenon. We have experienced and expect to continue to face more significant competition for our mobile audience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audience solutions. While net revenues from our mobile audience solutions increased significantly, which amounted to US$11.9 million, US$57.8 million and US$101.4 million in 2015, 2016 and 2017, respectively, gross margins for our mobile audience solutions remained relatively low and decreased during these periods, which contributed to the decrease in our overall gross profit margin from 47.1% in 2015 to 36.0% in 2016 and further to 23.6% in 2017. As we continue to prioritize the execution of our mobile strategy and face increasing competition and pricing pressure for our mobile audience solutions, our profit margin could be materially and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profitability in the future.</w:t>
      </w:r>
    </w:p>
    <w:p>
      <w:pPr>
        <w:spacing w:after="0" w:line="77" w:lineRule="exact"/>
        <w:rPr>
          <w:sz w:val="20"/>
          <w:szCs w:val="20"/>
          <w:color w:val="auto"/>
        </w:rPr>
      </w:pPr>
    </w:p>
    <w:p>
      <w:pPr>
        <w:ind w:right="60" w:firstLine="913"/>
        <w:spacing w:after="0" w:line="254" w:lineRule="auto"/>
        <w:rPr>
          <w:sz w:val="20"/>
          <w:szCs w:val="20"/>
          <w:color w:val="auto"/>
        </w:rPr>
      </w:pPr>
      <w:r>
        <w:rPr>
          <w:rFonts w:ascii="Arial" w:cs="Arial" w:eastAsia="Arial" w:hAnsi="Arial"/>
          <w:sz w:val="18"/>
          <w:szCs w:val="18"/>
          <w:color w:val="auto"/>
        </w:rPr>
        <w:t>We incurred net losses of US$39.7 million in 2015, US$27.3 million in 2016 and US$24.6 million in 2017. As of December 31, 2017, we had an accumulated deficit of US$149.0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in this annual report, and unforeseen expenses, difficulties, complications and delays and other unknown events. If we are unable to achieve or sustain profitability, the market price of our ADSs may significantly decrease.</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profit margin and the comparability of our financial results may be affected by the relative percentage of gross billing recognized as net revenues under the gross and net models.</w:t>
      </w:r>
    </w:p>
    <w:p>
      <w:pPr>
        <w:spacing w:after="0" w:line="22"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“Item 5. Operating and Financial Review and Prospects — A. Operating Results — Key Components of Results of Operations — Net Revenues”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 Consequently,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 changes from time to time, the relative percentage of gross billing recognized as net revenues on the gross basis and net basis also fluctuates, which would consequently impact our net revenues and gross profit margin. Our mobile audience solutions on one hand, and other solutions, on the other hand,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clients or attract new ones could adversely impact our business and results of operations.</w:t>
      </w:r>
    </w:p>
    <w:p>
      <w:pPr>
        <w:spacing w:after="0" w:line="117"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ability to achieve renewals or marketing campaign contracts and new sales depends on many factors, some of which are out of our control,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16" w:lineRule="exact"/>
        <w:rPr>
          <w:sz w:val="20"/>
          <w:szCs w:val="20"/>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competitiveness of our pricing and payment terms for our clients, which may, in turn, be constrained by our capital and financial resources,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clients and end marketers,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marketers and marketing agencies,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marketers generally.</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Therefore, we cannot assure you that clients that have generated marketing spend on our platform in the past will continue to spend at similar levels or that they will continue to use our platform at all. We may not be able to replace clients which decrease or cease their usage of our platform with new clients that spend similarly on our platform. We have relied on a limited number of clients to generate a significant portion of our revenues. For example, in 2016, we had two clients that each contributed to more than 10% of our net revenues, including a marketer in the entertainment industry which contributed to 18% of our net revenues and a marketer in the e-commerce industry which contributed to 11% of our net revenues. In 2017, we did not have any client that contributed to more than 10% of our net revenues.</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addition, we started a comprehensive review of the client base for other solutions in 2016 to focus on profitability and liquidity. For example,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terminated relationship with certain clients for our other solutions as they had relatively long account receivable cycles and yielded relatively low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profit margins. Some of these clients were large marketers and had individually accounted for more than 5% of our annual gross billing historically.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 result, gross billing from our other solutions decreased by 9.5% from US$136.9 million in 2015 to US$123.9 million in 2016 and by 38.6%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US$76.1 million in 2017. In addition, the total number of our clients decreased by 10.1% from 2,644 in 2015 to 2,376 in 2016 notwithstanding our full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consolidation of OptAim’s results of operations in 2016 compared to our consolidation of OptAim’s results of operations only for the period from July 24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in 2015, and by 31.4% from 2,376 in 2016 to 1,630 in the same period in 2017.</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client may materially and adversely affect our business and results of operations.</w:t>
      </w:r>
    </w:p>
    <w:p>
      <w:pPr>
        <w:spacing w:after="0" w:line="117"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We engage third-party marketing agencies to help source and serve some of our marketers. In 2017, we had over 1,600 clients, including over 1,100 direct marketer clients and over 450 marketing agency clients, which represented 1,500 end marketers and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78" w:lineRule="exact"/>
        <w:rPr>
          <w:sz w:val="20"/>
          <w:szCs w:val="20"/>
          <w:color w:val="auto"/>
        </w:rPr>
      </w:pPr>
    </w:p>
    <w:p>
      <w:pPr>
        <w:jc w:val="both"/>
        <w:ind w:right="500" w:firstLine="913"/>
        <w:spacing w:after="0" w:line="264" w:lineRule="auto"/>
        <w:rPr>
          <w:sz w:val="20"/>
          <w:szCs w:val="20"/>
          <w:color w:val="auto"/>
        </w:rPr>
      </w:pPr>
      <w:r>
        <w:rPr>
          <w:rFonts w:ascii="Arial" w:cs="Arial" w:eastAsia="Arial" w:hAnsi="Arial"/>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2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62"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Our consistent access to attractive content distribution opportunities is crucial to our business.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84.0%, 81.6% and 89.1% of our media costs in 2015, 2016 and 2017, respectively. Media costs for content distribution opportunities on our largest channel partner in each of 2015, 2016 and 2017 accounted for 55.0%, 42.2% and 66.7% of our media costs, respectively, during the relevant periods, and media costs for content distribution opportunities on our second largest channel partner in each of 2015, 2016 and 2017 accounted for 22.6%, 36.1% and 21.2% of our media costs, respectively, during the relevant periods. We currently do not own or control any content distribution channels in China.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78"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Our ability to source content distribution opportunities from content distribution channels depends in part on our ability to continuously generate sufficient marketing spend from our clients on these channels. Under some of our contracts, content distribution channels may terminate the contracts during their terms if we do not meet the minimum marketing spend requirements in the contracts.</w:t>
      </w:r>
    </w:p>
    <w:p>
      <w:pPr>
        <w:spacing w:after="0" w:line="18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 See “Item 5. Operating and Financial Review and Prospects — A. Operating Results — Critical Accounting Policies — Revenue recognition — Sales Agent” and “— Critical Accounting Policies — Revenue recognition — Rebates” for a description of the accounting treatment of rebates or incentives that we receive from content distribution channels. If we are unable to meet the anticipated level of marketing spend with any content distribution partner, we may experience a material adverse impact on our financial conditions and results of operations and the content distribution partner may terminate our contract. If these or any other content distribution channel were to change their rebate or incentive programs or to cease doing business with us for any reason, our financial results would be materially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287" w:lineRule="exact"/>
        <w:rPr>
          <w:sz w:val="20"/>
          <w:szCs w:val="20"/>
          <w:color w:val="auto"/>
        </w:rPr>
      </w:pPr>
    </w:p>
    <w:p>
      <w:pPr>
        <w:ind w:right="680"/>
        <w:spacing w:after="0" w:line="375" w:lineRule="auto"/>
        <w:rPr>
          <w:sz w:val="20"/>
          <w:szCs w:val="20"/>
          <w:color w:val="auto"/>
        </w:rPr>
      </w:pPr>
      <w:r>
        <w:rPr>
          <w:rFonts w:ascii="Arial" w:cs="Arial" w:eastAsia="Arial" w:hAnsi="Arial"/>
          <w:sz w:val="15"/>
          <w:szCs w:val="15"/>
          <w:b w:val="1"/>
          <w:bCs w:val="1"/>
          <w:i w:val="1"/>
          <w:iCs w:val="1"/>
          <w:color w:val="auto"/>
        </w:rPr>
        <w:t>The independent online marketing technology market is highly fragmented and intensely competitive. In addition, independent online marketing technology platforms face competitive pressure from well-established internet companies, marketing agencies and traditional media.</w:t>
      </w:r>
    </w:p>
    <w:p>
      <w:pPr>
        <w:spacing w:after="0" w:line="1"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87" w:lineRule="exact"/>
        <w:rPr>
          <w:sz w:val="20"/>
          <w:szCs w:val="20"/>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trust;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breadth and depth of cooperation with publishers, ad exchanges, ad networks and other participants in the online marketing ecosystem;</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“Item 4. Information on the Company — B. Business Overview — Our Content Distribution Channels”.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2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do not achieve widespread market acceptance, our business, growth prospects and results of operations would be materially and adversely affected.</w:t>
      </w:r>
    </w:p>
    <w:p>
      <w:pPr>
        <w:spacing w:after="0" w:line="62"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The market for online marketing technology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83"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b w:val="1"/>
          <w:bCs w:val="1"/>
          <w:i w:val="1"/>
          <w:iCs w:val="1"/>
          <w:color w:val="auto"/>
        </w:rPr>
        <w:t>If our algorithms and data engines for assessing and predicting potential audience interaction with marketing content are flawed or ineffective, or if our platform fails to otherwise function properly, our reputation and market share would be materially and adversely affected.</w:t>
      </w:r>
    </w:p>
    <w:p>
      <w:pPr>
        <w:spacing w:after="0" w:line="16"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0"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87"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130" w:lineRule="exact"/>
        <w:rPr>
          <w:rFonts w:ascii="Arial" w:cs="Arial" w:eastAsia="Arial" w:hAnsi="Arial"/>
          <w:sz w:val="18"/>
          <w:szCs w:val="18"/>
          <w:color w:val="auto"/>
        </w:rPr>
      </w:pPr>
    </w:p>
    <w:p>
      <w:pPr>
        <w:jc w:val="both"/>
        <w:ind w:left="1480" w:right="20" w:hanging="446"/>
        <w:spacing w:after="0" w:line="342" w:lineRule="auto"/>
        <w:tabs>
          <w:tab w:leader="none" w:pos="1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29" w:lineRule="exact"/>
        <w:rPr>
          <w:rFonts w:ascii="Arial" w:cs="Arial" w:eastAsia="Arial" w:hAnsi="Arial"/>
          <w:sz w:val="16"/>
          <w:szCs w:val="16"/>
          <w:color w:val="auto"/>
        </w:rPr>
      </w:pPr>
    </w:p>
    <w:p>
      <w:pPr>
        <w:ind w:left="1480" w:right="16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75" w:lineRule="exact"/>
        <w:rPr>
          <w:rFonts w:ascii="Arial" w:cs="Arial" w:eastAsia="Arial" w:hAnsi="Arial"/>
          <w:sz w:val="18"/>
          <w:szCs w:val="18"/>
          <w:color w:val="auto"/>
        </w:rPr>
      </w:pPr>
    </w:p>
    <w:p>
      <w:pPr>
        <w:ind w:left="1480" w:right="32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75"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62"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7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50"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enforcement actions for compliance failures, or restrict portions of our business or cause us to change our technology platform or business model.</w:t>
      </w:r>
    </w:p>
    <w:p>
      <w:pPr>
        <w:spacing w:after="0" w:line="39"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Governments around the world, including the PRC and Hong Kong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59"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We primarily target Chinese language internet users in China for our marketers from all over the world. As a result, we may be directly or indirectly subject to the laws and regulations on online marketing, including data and privacy laws, of multiple jurisdictions. In recent years, the PRC government has enacted legislation on internet use to protect personal information from any unauthorized disclosure. For example, the Several Provisions on Regulating the Market Order of Internet Information Services, promulgated by the Chinese Ministry of Industry and Information Technology, or MIIT, stipulate that internet information service providers must not, without a user’s consent, collect the user’s personal information that can reveal the identity of the user whether by itself or when used in combination with other information, and must not provide any such information to third parties without prior consent from the user. In addition, internet information service providers shall inform their users about their service scope and shall not use users’ information beyond such scope or collect any other information that is irrelevant to the services they provide. 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 The European Union has adopted the EU e-Privacy Directive and is considering reforms to its existing data protection legal framework. In addition, the EU Directive 2009/136/EC, commonly referred to as the “Cookie Directive,” directs EU member states to ensure that accessing information on an internet user’s computer, such as through a cookie, is allowed only if the internet user has given his or her consent. In addition, the new European General Data Protection Regulation (GDPR), which will take effect in May 2018, will include operational requirements for companies that receive or process personal data of residents of the European Union that are different than those currently in place in the European Union, and will include significant penalties for non-compliance. The U.S. government has announced that it is reviewing the need for greater regulation of the collection of consumer information, including regulation aimed at restricting some targeted advertising practices.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We strive to comply with all applicable laws and regulations relating to privacy and data collection, processing, use, and disclosure.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privacy laws or to provide adequate notice and/or obtain consent from end users. In addition, some of our content distribution channels require us to indemnify and hold them harmless from the costs or consequences of litigation resulting from using their networks. Any proceeding or perception of concerns relating to our collection, use, disclosure, and retention of data, including our security measures applicable to the data we collect, whether or not valid, could harm our reputation, force us to spend significant amounts on defense of these proceedings, distract our management, increase our costs of doing business and inhibit the use of our solutions, which could materially and adversely affect our business, results of operations and prospects.</w:t>
      </w:r>
    </w:p>
    <w:p>
      <w:pPr>
        <w:spacing w:after="0" w:line="29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38"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54" w:lineRule="exact"/>
        <w:rPr>
          <w:sz w:val="20"/>
          <w:szCs w:val="20"/>
          <w:color w:val="auto"/>
        </w:rPr>
      </w:pPr>
    </w:p>
    <w:p>
      <w:pPr>
        <w:ind w:right="100" w:firstLine="913"/>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6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clients’ increasing needs, our operating results could be harmed.</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117" w:lineRule="exact"/>
        <w:rPr>
          <w:sz w:val="20"/>
          <w:szCs w:val="20"/>
          <w:color w:val="auto"/>
        </w:rPr>
      </w:pPr>
    </w:p>
    <w:p>
      <w:pPr>
        <w:ind w:right="200" w:firstLine="913"/>
        <w:spacing w:after="0" w:line="276" w:lineRule="auto"/>
        <w:rPr>
          <w:sz w:val="20"/>
          <w:szCs w:val="20"/>
          <w:color w:val="auto"/>
        </w:rPr>
      </w:pPr>
      <w:r>
        <w:rPr>
          <w:rFonts w:ascii="Arial" w:cs="Arial" w:eastAsia="Arial" w:hAnsi="Arial"/>
          <w:sz w:val="17"/>
          <w:szCs w:val="17"/>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2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62"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11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62"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3" w:lineRule="exact"/>
        <w:rPr>
          <w:sz w:val="20"/>
          <w:szCs w:val="20"/>
          <w:color w:val="auto"/>
        </w:rPr>
      </w:pPr>
    </w:p>
    <w:p>
      <w:pPr>
        <w:ind w:right="20" w:firstLine="913"/>
        <w:spacing w:after="0" w:line="268"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296" w:lineRule="exact"/>
        <w:rPr>
          <w:sz w:val="20"/>
          <w:szCs w:val="20"/>
          <w:color w:val="auto"/>
        </w:rPr>
      </w:pPr>
    </w:p>
    <w:p>
      <w:pPr>
        <w:ind w:right="720"/>
        <w:spacing w:after="0" w:line="375"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 There can be no assurance that we will be successful in fully integrating, utilizing and leveraging OptAim’s business and technologies to further expand our mobile business and cross-channel capabilities, which may adversely affect our ability to achieve growth and business objectives, and have a material adverse effect upon our business and results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recent acquisitions of OptAim, involve numerous risks, any of which could harm our business, including:</w:t>
      </w:r>
    </w:p>
    <w:p>
      <w:pPr>
        <w:spacing w:after="0" w:line="84" w:lineRule="exact"/>
        <w:rPr>
          <w:sz w:val="20"/>
          <w:szCs w:val="20"/>
          <w:color w:val="auto"/>
        </w:rPr>
      </w:pPr>
    </w:p>
    <w:p>
      <w:pPr>
        <w:ind w:left="1480" w:right="46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litigation for activities of the acquired company, including claims from terminated employees, clients, former shareholders or other third parties;</w:t>
      </w:r>
    </w:p>
    <w:p>
      <w:pPr>
        <w:spacing w:after="0" w:line="75" w:lineRule="exact"/>
        <w:rPr>
          <w:rFonts w:ascii="Arial" w:cs="Arial" w:eastAsia="Arial" w:hAnsi="Arial"/>
          <w:sz w:val="18"/>
          <w:szCs w:val="18"/>
          <w:color w:val="auto"/>
        </w:rPr>
      </w:pPr>
    </w:p>
    <w:p>
      <w:pPr>
        <w:ind w:left="1480" w:right="100" w:hanging="446"/>
        <w:spacing w:after="0" w:line="264"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86" w:lineRule="exact"/>
        <w:rPr>
          <w:rFonts w:ascii="Arial" w:cs="Arial" w:eastAsia="Arial" w:hAnsi="Arial"/>
          <w:sz w:val="18"/>
          <w:szCs w:val="18"/>
          <w:color w:val="auto"/>
        </w:rPr>
      </w:pPr>
    </w:p>
    <w:p>
      <w:pPr>
        <w:ind w:left="1480" w:right="20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conditions and results of operations may suffer.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 of OptAim.</w:t>
      </w:r>
    </w:p>
    <w:p>
      <w:pPr>
        <w:spacing w:after="0" w:line="117"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As of December 31, 2017, we had US$48.5 million of goodwill, which represented approximately 25.7% of our total assets, the majority of which was related to OptAim and its subsidiaries, VIE and VIE’s subsidiary.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to successfully integrate its operations with our other operations. Impairment charges could negatively affect our reported earnings and financial ratios in the periods of such charges and limit our ability to obtain financing in the future. See “Item 5. Operating and Financial Review and Prospects — A. Operating Results — The Effect of Our Acquisition of OptAim” and “Critical Accounting Policies —— Impairment of Goodwill” for more information.</w:t>
      </w:r>
    </w:p>
    <w:p>
      <w:pPr>
        <w:spacing w:after="0" w:line="2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b w:val="1"/>
          <w:bCs w:val="1"/>
          <w:i w:val="1"/>
          <w:iCs w:val="1"/>
          <w:color w:val="auto"/>
        </w:rPr>
        <w:t>If we fail to implement and maintain an effective system of internal controls, we may be unable to accurately report our results of operations, meet our reporting obligations or prevent fraud. Investor confidence and market price of our ADSs may be adversely affected.</w:t>
      </w:r>
    </w:p>
    <w:p>
      <w:pPr>
        <w:spacing w:after="0" w:line="38" w:lineRule="exact"/>
        <w:rPr>
          <w:sz w:val="20"/>
          <w:szCs w:val="20"/>
          <w:color w:val="auto"/>
        </w:rPr>
      </w:pPr>
    </w:p>
    <w:p>
      <w:pPr>
        <w:ind w:right="360" w:firstLine="913"/>
        <w:spacing w:after="0" w:line="255" w:lineRule="auto"/>
        <w:rPr>
          <w:sz w:val="20"/>
          <w:szCs w:val="20"/>
          <w:color w:val="auto"/>
        </w:rPr>
      </w:pPr>
      <w:r>
        <w:rPr>
          <w:rFonts w:ascii="Arial" w:cs="Arial" w:eastAsia="Arial" w:hAnsi="Arial"/>
          <w:sz w:val="18"/>
          <w:szCs w:val="18"/>
          <w:color w:val="auto"/>
        </w:rPr>
        <w:t>We are not required to provide a report of management on our internal control over financial reporting and our independent registered public accounting firm is not required to conduct an audit of our internal control over financial reporting due to a transition period established by rules of the Securities and Exchange Commission for newly public companies. In the course of auditing our consolidated financial statements for the year ended December 31, 2017, we and our independent registered public accounting firm identified two material weaknesses in our internal control over financial reporting as well as other control deficiencies, in accordance with the standards established by the Public Company Accounting Oversight Board of the United States, or the PCAOB.</w:t>
      </w:r>
    </w:p>
    <w:p>
      <w:pPr>
        <w:spacing w:after="0" w:line="193"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 The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and plan to continue to take measures to remediate these weaknesses. For details, see “Item 15. Controls and Procedures — Internal Control Over Financial Reporting.” However, the implementation of these measures may not fully address the material weaknesses and other control deficiencies in our internal control over financial reporting, and we cannot conclude that they have been fully remedied. Our failure to correct the material weaknesses and other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w:t>
      </w:r>
    </w:p>
    <w:p>
      <w:pPr>
        <w:spacing w:after="0" w:line="18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are a public company in the United States subject to the Sarbanes-Oxley Act of 2002. Section 404 of the Sarbanes-Oxley Act of 2002, or Section 404, requires that we include a report of management on our internal control over financial reporting in our annual report on Form 20-F beginning with our annual report for the fiscal year ending December 31, 2018.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our reporting obligations as a public company may place a significant strain on our management, operational and financial resources and systems for the foreseeable future. We may be unable to timely complete our evaluation testing and any required remediation.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Nasdaq Global Market, regulatory investigations and civil or criminal sanctions. Furthermore, internal controls over financial reporting may not prevent or detect misstatements due to their inherent limitations, including the possibility of human errors, the circumvention or overriding of controls and procedures, or fraud. Therefore, even effective internal control over financial reporting can only provide reasonable assurance with respect to the preparation and fair presentation of financial statements.</w:t>
      </w:r>
    </w:p>
    <w:p>
      <w:pPr>
        <w:spacing w:after="0" w:line="28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82" w:lineRule="exact"/>
        <w:rPr>
          <w:sz w:val="20"/>
          <w:szCs w:val="20"/>
          <w:color w:val="auto"/>
        </w:rPr>
      </w:pPr>
    </w:p>
    <w:p>
      <w:pPr>
        <w:ind w:right="100" w:firstLine="913"/>
        <w:spacing w:after="0" w:line="290" w:lineRule="auto"/>
        <w:rPr>
          <w:sz w:val="20"/>
          <w:szCs w:val="20"/>
          <w:color w:val="auto"/>
        </w:rPr>
      </w:pPr>
      <w:r>
        <w:rPr>
          <w:rFonts w:ascii="Arial" w:cs="Arial" w:eastAsia="Arial" w:hAnsi="Arial"/>
          <w:sz w:val="16"/>
          <w:szCs w:val="16"/>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27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6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62"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clients, and our business and results of operations may be harmed.</w:t>
      </w:r>
    </w:p>
    <w:p>
      <w:pPr>
        <w:spacing w:after="0" w:line="2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6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117"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117"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2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including our founders, and key employees, or attract additional technology and sales talents, we may not be able to sustain our growth or achieve our business objectives.</w:t>
      </w:r>
    </w:p>
    <w:p>
      <w:pPr>
        <w:spacing w:after="0" w:line="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future success is substantially dependent on the continued service of our senior management team, including our founders, Wing Hong Sammy Hsieh, Yau Ping Ricky Ng and Jian Tang.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82"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117" w:lineRule="exact"/>
        <w:rPr>
          <w:sz w:val="20"/>
          <w:szCs w:val="20"/>
          <w:color w:val="auto"/>
        </w:rPr>
      </w:pPr>
    </w:p>
    <w:p>
      <w:pPr>
        <w:ind w:right="160" w:firstLine="913"/>
        <w:spacing w:after="0" w:line="271" w:lineRule="auto"/>
        <w:rPr>
          <w:sz w:val="20"/>
          <w:szCs w:val="20"/>
          <w:color w:val="auto"/>
        </w:rPr>
      </w:pPr>
      <w:r>
        <w:rPr>
          <w:rFonts w:ascii="Arial" w:cs="Arial" w:eastAsia="Arial" w:hAnsi="Arial"/>
          <w:sz w:val="17"/>
          <w:szCs w:val="17"/>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79" w:lineRule="exact"/>
        <w:rPr>
          <w:sz w:val="20"/>
          <w:szCs w:val="20"/>
          <w:color w:val="auto"/>
        </w:rPr>
      </w:pPr>
    </w:p>
    <w:p>
      <w:pPr>
        <w:ind w:right="180" w:firstLine="913"/>
        <w:spacing w:after="0" w:line="302"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will need to continue to rely on the contractual arrangements that establish the structure for certain of our operations in China when and to the extent our operations are deemed as foreign-related survey.</w:t>
      </w:r>
    </w:p>
    <w:p>
      <w:pPr>
        <w:spacing w:after="0" w:line="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“Item 4. Information on the Company — C. Organizational Structure — Contractual Arrangements with OptAim Network.” As a result of these contractual arrangements, we exert control over OptAim Network and its wholly owned subsidiary, Zhiyunzhong, and consolidate their operating results in our financial statements under U.S. GAAP.</w:t>
      </w:r>
    </w:p>
    <w:p>
      <w:pPr>
        <w:spacing w:after="0" w:line="182"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 However, we cannot assure you that such transition will be completed in a timely manner or at all as some of our clients may not be willing to enter into contracts with a new signing entity or OptAim Beijing may not have the necessary infrastructure to support the transition of all our mobile audience solution business operated by OptAim. Therefore, OptAim may continue to conduct part of its business in China through the contractual arrangements between OptAim Beijing, OptAim Network and its shareholders. In 2016, OptAim contributed 44.8% to our gross billing and 53.6% of our net revenues and in 2017, OptAim contributed 68.1% to our gross billing and 78.8% of our net revenues.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pacing w:after="0" w:line="172"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78"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It is uncertain whether any new PRC laws, rules or regulations relating to variable interest entity structures will be adopted or if adopted, what they would provide. In particular, in January 2015, the Ministry of Commerce, or the MOC, published a discussion draft of the proposed Foreign Investment Law for public review and comments. Among other things, the draft Foreign Investment Law expands the definition of foreign investment and introduces the principle of “actual control” in determining whether a company is considered a foreign-invested enterprise, or an FIE. Under the draft Foreign Investment Law, variable interest entities would also be deemed as FIEs, if they are ultimately “controlled” by foreign investors, and be subject to restrictions on foreign investments. However, the draft law has not taken a position on what actions will be taken with respect to the existing companies with the “variable interest entity” structure, whether or not these companies are controlled by Chinese parties. It is uncertain when the draft would be signed into law and whether the final version would have any substantial changes from the draft. See “Item 4. Information On the Company—B. Business Overview — Regulation — Regulations on Foreign Investment” and “— Substantial uncertainties exist with respect to the enactment timetable, interpretation and implementation of draft PRC Foreign Investment Law and how it may impact the viability of our current corporate structure, corporate governance and business operations.”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initial public offering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62"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subject to the completion of the transfers of all the marketing campaign contracts executed by our VIE entity to our wholly owned PRC subsidiary, and to the extent our operations are deemed as foreign-related survey. For a description of these contractual arrangements, see “Item 4. Information on the Company — C. Organizational Structure — Contractual Arrangements with OptAim Network.” These contractual arrangements may not be as effective as direct ownership in providing us with control over our consolidated variable interest entity and its subsidiary.</w:t>
      </w:r>
    </w:p>
    <w:p>
      <w:pPr>
        <w:spacing w:after="0" w:line="178"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If we had direct ownership of OptAim Network and Zhiyunzhong, we would be able to exercise our rights as a shareholder to effect changes in the board of directors of OptAim Network and Zhiyunzhong,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subsidiary.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3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62" w:lineRule="exact"/>
        <w:rPr>
          <w:sz w:val="20"/>
          <w:szCs w:val="20"/>
          <w:color w:val="auto"/>
        </w:rPr>
      </w:pPr>
    </w:p>
    <w:p>
      <w:pPr>
        <w:ind w:right="120" w:firstLine="913"/>
        <w:spacing w:after="0" w:line="291"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6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equity interests of OptAim Network are held by Mr. Jian Tang, who is our co-founder, director, chief operating officer and chief technology officer, and Ms. Jie Jiao, who is our chief financial officer.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281"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 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38"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The MOC published a discussion draft of the proposed Foreign Investment Law in January 2015 aiming to, upon its enactment,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MOC is currently soliciting comments on this draft and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right="240" w:firstLine="913"/>
        <w:spacing w:after="0" w:line="290" w:lineRule="auto"/>
        <w:rPr>
          <w:sz w:val="20"/>
          <w:szCs w:val="20"/>
          <w:color w:val="auto"/>
        </w:rPr>
      </w:pPr>
      <w:r>
        <w:rPr>
          <w:rFonts w:ascii="Arial" w:cs="Arial" w:eastAsia="Arial" w:hAnsi="Arial"/>
          <w:sz w:val="16"/>
          <w:szCs w:val="16"/>
          <w:color w:val="auto"/>
        </w:rPr>
        <w:t>Among other things, the draft Foreign Investment Law expands the definition of foreign investment and introduces the principle of “actual control” in determining whether a company is considered an FIE. The draft Foreign Investment Law specifically provides that entities established in China but “controlled” by foreign investors will be treated as FIEs, whereas an entity set up in a foreign jurisdiction would nonetheless be, upon market entry clearance by the MOC, treated as a PRC domestic investor provided that the entity is “controlled” by PRC entities and/or citizens. According to the draft Foreign Investment Law, once an entity is determined to be an FIE, it will be subject to the foreign investment restrictions or prohibitions set forth in a “catalogue of special administrative measures,” which is classified into the “catalogue of prohibitions” and “the catalogue of restrictions”, to be separately issued by the State Council later. Foreign investors are not allowed to invest in any sector set forth in the catalogue of prohibitions. Please see “Item 4. Information On the Company—B. Business Overview — Regulation — Regulations on Foreign Investment” for more details.</w:t>
      </w:r>
    </w:p>
    <w:p>
      <w:pPr>
        <w:spacing w:after="0" w:line="166"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The draft Foreign Investment Law does not indicate what actions shall be taken with respect to companies with an existing VIE structure, whether or not these companies are controlled by Chinese parties. Moreover, it is uncertain whether the “catalogue of special administrative measures” to be issued will differ from the Catalogue for the Guidance of Foreign Investment Industries (Revised in 2017), or the 2017 Catalogue, and re-impose foreign investment restrictions or prohibitions on online marketing industry or advertising industry. If the enacted version of the Foreign Investment Law and the final “catalogue of special administrative measures” mandate further actions, such as the MOC market entry clearance, to be completed by companies with an existing VIE structure like us, and if online marketing industry or advertising industry becomes once again subject to the foreign investment restrictions or prohibitions or if our operations are deemed as foreign-related survey, we will face uncertainties as to whether such clearance can be timely obtained, or at all. If we are not able to obtain such clearance when required, our VIE structure may be regarded as invalid and illegal. As a result, we would not be able to</w:t>
      </w:r>
    </w:p>
    <w:p>
      <w:pPr>
        <w:spacing w:after="0" w:line="1"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 our business in China through our contractual arrangements with OptAim Network and Zhiyunzhong, (ii) exert control over OptAim Network,</w:t>
      </w:r>
    </w:p>
    <w:p>
      <w:pPr>
        <w:spacing w:after="0" w:line="20" w:lineRule="exact"/>
        <w:rPr>
          <w:rFonts w:ascii="Arial" w:cs="Arial" w:eastAsia="Arial" w:hAnsi="Arial"/>
          <w:sz w:val="17"/>
          <w:szCs w:val="17"/>
          <w:color w:val="auto"/>
        </w:rPr>
      </w:pPr>
    </w:p>
    <w:p>
      <w:pPr>
        <w:ind w:right="60" w:firstLine="8"/>
        <w:spacing w:after="0" w:line="261" w:lineRule="auto"/>
        <w:tabs>
          <w:tab w:leader="none" w:pos="3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receive the economic benefits of OptAim Network under such contractual arrangements, or (iv) consolidate the financial results of OptAim Network and Zhiyunzhong. Were this to occur, our results of operations and financial condition would be materially and adversely affected.</w:t>
      </w:r>
    </w:p>
    <w:p>
      <w:pPr>
        <w:spacing w:after="0" w:line="184"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FIEs. Aside from an investment information report required at each investment, and investment amendment reports, which shall be submitted upon alteration of investment specifics,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62"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1"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62"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81"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78"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62"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 Furthermore, the government of the United Kingdom held an in-or-out referendum on its membership in the European Union on June 23, 2016. The referendum resulted in a vote in favor of the exit of the United Kingdom from the European Union (“Brexit”). The uncertainty caused by Brexit could negatively impact all of the economies and market conditions of the European Union and/or worldwide, and could continue to contribute to instability in the global financial markets. 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188"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14"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14"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2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delay or prevent us from using the proceeds of our initial public offering to make loans to or make additional capital contributions to our PRC subsidiaries, which could materially and adversely affect our liquidity and our ability to fund and expand our business.</w:t>
      </w:r>
    </w:p>
    <w:p>
      <w:pPr>
        <w:spacing w:after="0" w:line="39"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each of our PRC subsidiaries may not procure loans which exceed the difference between its registered capital and its total investment amount as recorded in FICMIS.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initial public offering and to capitalize our PRC operations may be negatively affected, which could adversely affect our liquidity and our ability to fund and expand our business.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w:t>
      </w:r>
    </w:p>
    <w:p>
      <w:pPr>
        <w:spacing w:after="0" w:line="2" w:lineRule="exact"/>
        <w:rPr>
          <w:sz w:val="20"/>
          <w:szCs w:val="20"/>
          <w:color w:val="auto"/>
        </w:rPr>
      </w:pPr>
    </w:p>
    <w:p>
      <w:pPr>
        <w:ind w:right="60" w:firstLine="8"/>
        <w:spacing w:after="0" w:line="267" w:lineRule="auto"/>
        <w:tabs>
          <w:tab w:leader="none" w:pos="27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In the fourth quarter of 2016, the Renminbi has depreciated significantly in the backdrop of a surging U.S. dollar and persistent capital outflows of China. Subsequently in 2017, Renminbi has again appreciated significantly against U.S. dollar.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0" w:firstLine="913"/>
        <w:spacing w:after="0" w:line="253"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our initial public offering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87" w:lineRule="exact"/>
        <w:rPr>
          <w:sz w:val="20"/>
          <w:szCs w:val="20"/>
          <w:color w:val="auto"/>
        </w:rPr>
      </w:pPr>
    </w:p>
    <w:p>
      <w:pPr>
        <w:ind w:right="120" w:firstLine="913"/>
        <w:spacing w:after="0" w:line="278"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115" w:lineRule="exact"/>
        <w:rPr>
          <w:sz w:val="20"/>
          <w:szCs w:val="20"/>
          <w:color w:val="auto"/>
        </w:rPr>
      </w:pPr>
    </w:p>
    <w:p>
      <w:pPr>
        <w:ind w:firstLine="913"/>
        <w:spacing w:after="0" w:line="267" w:lineRule="auto"/>
        <w:rPr>
          <w:sz w:val="20"/>
          <w:szCs w:val="20"/>
          <w:color w:val="auto"/>
        </w:rPr>
      </w:pPr>
      <w:r>
        <w:rPr>
          <w:rFonts w:ascii="Arial" w:cs="Arial" w:eastAsia="Arial" w:hAnsi="Arial"/>
          <w:sz w:val="16"/>
          <w:szCs w:val="16"/>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10,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79" w:lineRule="exact"/>
        <w:rPr>
          <w:sz w:val="20"/>
          <w:szCs w:val="20"/>
          <w:color w:val="auto"/>
        </w:rPr>
      </w:pPr>
    </w:p>
    <w:p>
      <w:pPr>
        <w:ind w:right="20" w:firstLine="913"/>
        <w:spacing w:after="0" w:line="274"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38" w:lineRule="exact"/>
        <w:rPr>
          <w:sz w:val="20"/>
          <w:szCs w:val="20"/>
          <w:color w:val="auto"/>
        </w:rPr>
      </w:pPr>
    </w:p>
    <w:p>
      <w:pPr>
        <w:jc w:val="both"/>
        <w:ind w:right="240"/>
        <w:spacing w:after="0" w:line="261" w:lineRule="auto"/>
        <w:rPr>
          <w:sz w:val="20"/>
          <w:szCs w:val="20"/>
          <w:color w:val="auto"/>
        </w:rPr>
      </w:pPr>
      <w:r>
        <w:rPr>
          <w:rFonts w:ascii="Arial" w:cs="Arial" w:eastAsia="Arial" w:hAnsi="Arial"/>
          <w:sz w:val="17"/>
          <w:szCs w:val="17"/>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78" w:lineRule="exact"/>
        <w:rPr>
          <w:sz w:val="20"/>
          <w:szCs w:val="20"/>
          <w:color w:val="auto"/>
        </w:rPr>
      </w:pPr>
    </w:p>
    <w:p>
      <w:pPr>
        <w:ind w:right="100" w:firstLine="913"/>
        <w:spacing w:after="0" w:line="267"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Certain beneficial owners of our shares who are PRC residents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27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6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September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29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upon completion of our initial public offering.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 — Regulation — Regulations on Foreign Exchange — Equity Incentive Plans.”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 —B. Business Overview — Regulation — Regulations on Foreign Exchange — Equity Incentive Plans.”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129"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28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“Item 10. Additional Information—E.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11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2"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right="560" w:firstLine="913"/>
        <w:spacing w:after="0" w:line="259" w:lineRule="auto"/>
        <w:rPr>
          <w:sz w:val="20"/>
          <w:szCs w:val="20"/>
          <w:color w:val="auto"/>
        </w:rPr>
      </w:pPr>
      <w:r>
        <w:rPr>
          <w:rFonts w:ascii="Arial" w:cs="Arial" w:eastAsia="Arial" w:hAnsi="Arial"/>
          <w:sz w:val="18"/>
          <w:szCs w:val="18"/>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tax, or VAT, is imposed to replace the business tax, which could result in unfavorable tax consequences to us.</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Ministry of Finance and the SAT promulgated the Circular on the Inclusion of the Railway Transportation Industry and Postal Service Industry in the Pilot Collection of Value-added Tax to Replace Business Tax, or Circular 106. Pursuant to Circular 106, starting from January 1, 2014, a VAT rate of 6% applies to revenue derived from the provision of express delivery services, and a VAT rate of 11% applies to revenue derived from provision of transportation services, which is higher than the previously applicable 5% and 3% business tax rate. In 2016, the Ministry of Finance and the SAT promulgated the Circular on Comprehensively Promoting the Pilot Program of the Collection of Value-added Tax to Replace Business Tax, or Circular 36. Circular 36 took effect as of May 1, 2016 and superseded Circular 106 on the same date. Circular 36 expanded the application of VAT in replacement business tax to enterprises engaging in the building industry, the real estate industry, the financial industry and the life service industry on a nationwide basis. According to Circular 36, the VAT rates applicable to revenue derived from the provision of express delivery services and revenue derived from provision of transportation services remain the same (6% and 11% respectively) as those under Circular 106. Although a taxpayer is allowed to offset the qualified input VAT paid on taxable purchases against the output VAT chargeable on the revenue from services provided, our effective tax rate could be higher. The replacement of the business tax with a VAT on our services could result in unfavorable tax consequences to us. See See “Item 4. Information On the Company —B. Business Overview — Regulation — Regulations on Tax — Value Added Tax.”</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62"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State Administration of Taxation,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“Item 10. Additional Information—E.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uncertainties with respect to indirect transfers of equity interests in PRC resident enterprises by their non-PRC holding companies.</w:t>
      </w:r>
    </w:p>
    <w:p>
      <w:pPr>
        <w:spacing w:after="0" w:line="129"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58"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2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annual report has been issued by auditors whose work, in part, is outside the scope of inspection by the PCAOB and, as such, you may be deprived of the benefits of such inspection with respect to such work.</w:t>
      </w:r>
    </w:p>
    <w:p>
      <w:pPr>
        <w:spacing w:after="0" w:line="62"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Our independent registered public accounting firm that issues the audit reports included in this annual report, as an auditor of companies that are traded publicly in the United States and a firm registered with the PCAOB, is required by the laws of the United States to undergo regular inspections by the PCAOB to assess its compliance with the laws of the United States and professional standards. The PCAOB is currently unable to inspect the audit work of our independent registered public accounting firm with respect to our operations in mainland China without the approval of certain Chinese authorities. In May 2013, PCAOB announced that it had entered into a Memorandum of Understanding on Enforcement Cooperation with the China Securities Regulatory Commission, or the CSRC, and the Ministry of Finance, which establishes a cooperative framework between the parties for the production and exchange of audit documents relevant to investigations undertaken by PCAOB, the CSRC, or the Ministry of Finance in the United States and the PRC, respectively. PCAOB continues to be in discussions with the CSRC and the Ministry of Finance to permit joint inspections in the PRC of audit firms that are registered with PCAOB and audit US listed Chinese companies.</w:t>
      </w:r>
    </w:p>
    <w:p>
      <w:pPr>
        <w:spacing w:after="0" w:line="182"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Inspections of audit firms that the PCAOB has conducted outside mainland China have identified deficiencies in those firms’ audit procedures and quality control procedures, which may be addressed as part of the inspection process to improve future audit quality. The PCAOB’s current inability to conduct inspections in mainland China prevents the PCAOB from regularly evaluating our auditor’s audit procedures and quality control procedures as they relate to our operations in mainland China, where our revenues are derived. As a result, investors may be deprived of the benefits of such regular PCAOB inspections and may lose confidence in our reported financial information and the quality of our financial statements.</w:t>
      </w:r>
    </w:p>
    <w:p>
      <w:pPr>
        <w:spacing w:after="0" w:line="28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6"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American Depositary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Since our ADSs became listed on Nasdaq Global Market on December 21, 2017, the trading price of our ADSs has ranged from US$8.00 to US$9.94 per ADS in 2017. The trading prices of our ADSs are likely to be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addition to the above factors, the price and trading volume of our ADSs may be highly volatile due to multiple other factors, including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116"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affecting us, our clients and end marketers, or our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announcements of studies and reports relating to the quality of our solutions and service offerings or those of our competitors;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online marketing solutions;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30" w:lineRule="exact"/>
        <w:rPr>
          <w:rFonts w:ascii="Arial" w:cs="Arial" w:eastAsia="Arial" w:hAnsi="Arial"/>
          <w:sz w:val="18"/>
          <w:szCs w:val="18"/>
          <w:color w:val="auto"/>
        </w:rPr>
      </w:pPr>
    </w:p>
    <w:p>
      <w:pPr>
        <w:ind w:left="1480" w:right="440" w:hanging="446"/>
        <w:spacing w:after="0" w:line="277"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litigation or regulatory investing actions.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6"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Our ADSs represent Class A ordinary shares.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65"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As of the date of this annual report, Mr. Sammy Hsieh and Mr. Jian Tang beneficially own an aggregate of 4,820,608 Class B ordinary shares. Due to the disparate voting powers associated with our dual-class share structure, Mr. Hsieh and Mr. Tang, beneficially own approximately 82.2% of the aggregate voting power of our company as of March 31, 2018. See “Item 6. Directors, Senior Management and Employees—E. Share Ownership.”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62" w:lineRule="exact"/>
        <w:rPr>
          <w:sz w:val="20"/>
          <w:szCs w:val="20"/>
          <w:color w:val="auto"/>
        </w:rPr>
      </w:pPr>
    </w:p>
    <w:p>
      <w:pPr>
        <w:ind w:right="240" w:firstLine="913"/>
        <w:spacing w:after="0" w:line="312" w:lineRule="auto"/>
        <w:rPr>
          <w:sz w:val="20"/>
          <w:szCs w:val="20"/>
          <w:color w:val="auto"/>
        </w:rPr>
      </w:pPr>
      <w:r>
        <w:rPr>
          <w:rFonts w:ascii="Arial" w:cs="Arial" w:eastAsia="Arial" w:hAnsi="Arial"/>
          <w:sz w:val="16"/>
          <w:szCs w:val="16"/>
          <w:color w:val="auto"/>
        </w:rPr>
        <w:t>Our directors and officers collectively own an aggregate of 83.1% of the total voting power of our outstanding ordinary shares as of March 31, 2018. See “Item 6. Directors, Senior Management and Employees—E. Share Ownership.” As a result, they have substantial influence over our business, including significant corporate actions such as change of directors, mergers, change of control transactions and other significant corporate actions.</w:t>
      </w:r>
    </w:p>
    <w:p>
      <w:pPr>
        <w:spacing w:after="0" w:line="147" w:lineRule="exact"/>
        <w:rPr>
          <w:sz w:val="20"/>
          <w:szCs w:val="20"/>
          <w:color w:val="auto"/>
        </w:rPr>
      </w:pPr>
    </w:p>
    <w:p>
      <w:pPr>
        <w:jc w:val="both"/>
        <w:ind w:right="120" w:firstLine="913"/>
        <w:spacing w:after="0" w:line="257" w:lineRule="auto"/>
        <w:rPr>
          <w:sz w:val="20"/>
          <w:szCs w:val="20"/>
          <w:color w:val="auto"/>
        </w:rPr>
      </w:pPr>
      <w:r>
        <w:rPr>
          <w:rFonts w:ascii="Arial" w:cs="Arial" w:eastAsia="Arial" w:hAnsi="Arial"/>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granted, and may continue to grant, share incentives, which may result in increased share based compensation expenses.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adopted a stock option plan in 2010, or the 2010 Plan. We adopted another share incentive plan in 2017, or the 2017 Plan.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 The performance conditions were not fulfilled in 2017 and 1,068,114 ordinary shares were not issued.</w:t>
      </w:r>
    </w:p>
    <w:p>
      <w:pPr>
        <w:spacing w:after="0" w:line="193"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We account for compensation costs for all share incentives using a fair-value based method and recognize expenses in our consolidated statements of comprehensive loss in accordance with U.S. GAAP. Under our 2010 Plan, the maximum aggregate number of ordinary shares which may be issued pursuant to all awards under the plan is 2,398,137. As of March 31, 2018, options to purchase 1,503,169 ordinary shares are outstanding under our 2010 Plan, including unvested options to purchase 346,624 ordinary shares, and vested and unexercised options to purchase 1,156,545 ordinary shares. Under the 2017 Plan, the maximum number of ordinary shares which may be issued pursuant to all awards under the plan shall initially be 1,000,000 Class A ordinary shares,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these shares are Class A ordinary shares. Following the annual increase on January 1, 2018 of 106,194 Class A ordinary shares, the award pool under the 2017 Plan is 1,106,194 Class A ordinary shares as of the date of this annual report. As of March 31, 2018, we have not granted any awards under the 2017 Plan. We account for shared-based compensation for these share incentive awards using a fair value based method and recognize expenses in our consolidated statements of comprehensive loss in accordance with U.S. GAAP. We will incur additional share based compensation expenses in the future as we continue to grant share incentives using the ordinary shares reserved for this platform. See “Item 6. Directors, Senior Management and Employees — B. Compensation of Directors and Executive Officers — Share Incentive Plans”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28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62"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price appreciation of our ADSs for return on your investment.</w:t>
      </w:r>
    </w:p>
    <w:p>
      <w:pPr>
        <w:spacing w:after="0" w:line="140"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2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that contain anti-takeover provisions that could discourage a third party from acquiring us and adversely affect the rights of holders of our Class A ordinary shares and ADSs.</w:t>
      </w:r>
    </w:p>
    <w:p>
      <w:pPr>
        <w:spacing w:after="0" w:line="62" w:lineRule="exact"/>
        <w:rPr>
          <w:sz w:val="20"/>
          <w:szCs w:val="20"/>
          <w:color w:val="auto"/>
        </w:rPr>
      </w:pPr>
    </w:p>
    <w:p>
      <w:pPr>
        <w:ind w:right="380" w:firstLine="913"/>
        <w:spacing w:after="0" w:line="291" w:lineRule="auto"/>
        <w:rPr>
          <w:sz w:val="20"/>
          <w:szCs w:val="20"/>
          <w:color w:val="auto"/>
        </w:rPr>
      </w:pPr>
      <w:r>
        <w:rPr>
          <w:rFonts w:ascii="Arial" w:cs="Arial" w:eastAsia="Arial" w:hAnsi="Arial"/>
          <w:sz w:val="16"/>
          <w:szCs w:val="16"/>
          <w:color w:val="auto"/>
        </w:rPr>
        <w:t>Our amended and restated memorandum and articles of association contain certain provisions that could limit the ability of others to acquire control of our company, including a dual-class share structure that gives greater voting power to the Class B ordinary shares beneficially owned by</w:t>
      </w:r>
    </w:p>
    <w:p>
      <w:pPr>
        <w:ind w:right="40"/>
        <w:spacing w:after="0" w:line="295" w:lineRule="auto"/>
        <w:rPr>
          <w:sz w:val="20"/>
          <w:szCs w:val="20"/>
          <w:color w:val="auto"/>
        </w:rPr>
      </w:pPr>
      <w:r>
        <w:rPr>
          <w:rFonts w:ascii="Arial" w:cs="Arial" w:eastAsia="Arial" w:hAnsi="Arial"/>
          <w:sz w:val="16"/>
          <w:szCs w:val="16"/>
          <w:color w:val="auto"/>
        </w:rPr>
        <w:t>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2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73"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94"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only independent directors being involved in the selection of director nominees and determination of executive officer compensation;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27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(2018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or to obtain copies of lists of shareholders of these companies. Our directors will have discretion under our post-offering amended and restated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73"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our directors or officers by our shareholders may not be enforceable.</w:t>
      </w:r>
    </w:p>
    <w:p>
      <w:pPr>
        <w:spacing w:after="0" w:line="117"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spacing w:after="0" w:line="2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62"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 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(a) the granting of such discretionary proxy does not subject the depositary to any reporting obligations in the Cayman Islands, (b) the granting of such proxy will not result in a violation of any applicable law, public rule or regulation in force in the Cayman Islands and (c) the courts of the Cayman Islands will give effect to the voting arrangement and deemed instruction as contemplated in the proxy under Cayman Islands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62"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17"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62"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480" w:hanging="446"/>
        <w:spacing w:after="0"/>
        <w:tabs>
          <w:tab w:leader="none" w:pos="1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142" w:lineRule="exact"/>
        <w:rPr>
          <w:rFonts w:ascii="Arial" w:cs="Arial" w:eastAsia="Arial" w:hAnsi="Arial"/>
          <w:sz w:val="17"/>
          <w:szCs w:val="17"/>
          <w:color w:val="auto"/>
        </w:rPr>
      </w:pPr>
    </w:p>
    <w:p>
      <w:pPr>
        <w:ind w:left="1480" w:hanging="446"/>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480" w:right="220" w:hanging="446"/>
        <w:spacing w:after="0" w:line="277" w:lineRule="auto"/>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103"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being a public company, and our compliance costs may continue to increase in the future, particularly after we cease to qualify as an emerging growth company.</w:t>
      </w:r>
    </w:p>
    <w:p>
      <w:pPr>
        <w:spacing w:after="0" w:line="62"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We have incurred additional legal, accounting and other expenses as a public reporting company. In addition, we will incur additional costs when we cease to qualify as an emerging growth company, which occurs on the earliest of (a) the last day of the fiscal year during which we have total annual gross revenues of at least US$1.07 billion; (b) the last day of our fiscal year following the fifth anniversary of the completion of our initial public offering; (c) the date on which we have, during the preceding three-year period, issued more than US$1.0 billion in non-convertible debt; or (d) the date on which we are deemed to be a “large accelerated filer” under the Exchange Act, which would occur if the market value of our ADSs that are held by non-affiliates exceeds US$700 million as of the last business day of our most recently completed second fiscal quarter. For example, we will be required to comply with additional requirements of the rules and regulations of the SEC and requirements of the NASDAQ Global Market, including applicable corporate governance practices. In addition, after we cease to qualify as an emerging growth company, we will be required to comply with the auditor attestation requirements of Section 404 of the Sarbanes-Oxley Act of 2002. We expect that compliance with these requirements will increase our legal and financial compliance costs and will make some activities more time-consuming and costly. We also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69"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290"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There can be no assurance that we will not be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our gross income for such year consists of certain types of “passive” income or (b) 50% or more of the average quarterly value of our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and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7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and the cash raised in our initial public offering. If we do not deploy significant amounts of cash for active purposes, our risk of being a PFIC may substantially increase.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72" w:lineRule="auto"/>
        <w:rPr>
          <w:sz w:val="20"/>
          <w:szCs w:val="20"/>
          <w:color w:val="auto"/>
        </w:rPr>
      </w:pPr>
      <w:r>
        <w:rPr>
          <w:rFonts w:ascii="Arial" w:cs="Arial" w:eastAsia="Arial" w:hAnsi="Arial"/>
          <w:sz w:val="17"/>
          <w:szCs w:val="17"/>
          <w:color w:val="auto"/>
        </w:rPr>
        <w:t>If we are a PFIC in any taxable year, a U.S. Holder (as defined in “Item 10. Additional Information—E. Taxation — 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we generally will continue to be treated as a PFIC for all succeeding years during which such U.S. Holder holds our ADSs or ordinary shares. For more information see “Item 10. Additional Information—E. Taxation — United States Federal Income Tax Considerations — Passive Foreign Investment Company Rules.”</w:t>
      </w:r>
    </w:p>
    <w:p>
      <w:pPr>
        <w:spacing w:after="0" w:line="32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History and Development of the Company</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7" w:lineRule="exact"/>
        <w:rPr>
          <w:sz w:val="20"/>
          <w:szCs w:val="20"/>
          <w:color w:val="auto"/>
        </w:rPr>
      </w:pPr>
    </w:p>
    <w:p>
      <w:pPr>
        <w:ind w:right="480" w:firstLine="913"/>
        <w:spacing w:after="0" w:line="308" w:lineRule="auto"/>
        <w:rPr>
          <w:sz w:val="20"/>
          <w:szCs w:val="20"/>
          <w:color w:val="auto"/>
        </w:rPr>
      </w:pPr>
      <w:r>
        <w:rPr>
          <w:rFonts w:ascii="Arial" w:cs="Arial" w:eastAsia="Arial" w:hAnsi="Arial"/>
          <w:sz w:val="17"/>
          <w:szCs w:val="17"/>
          <w:color w:val="auto"/>
        </w:rPr>
        <w:t>In September 2010, we set up Diablo Holdings Corporation, a company incorporated in the British Virgin Islands, which focuses on search engine marketing and operates in China through Search Asia Technology (Shenzhen) Co., Ltd., its wholly owned subsidiary.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clients in Southeast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Asia.</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January 2013, we incorporated Performance Media Group Limited in Hong Kong to further expand our online marketing business.</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Also in January 2013, we set up Tetris Media (Shanghai) Co., Ltd., as our wholly owned PRC subsidiary.</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operated in China from November 2014 to March 2018 through Buzzinate (Shanghai) Information Technology Co., Ltd., its wholly owned subsidiary. In March 2018, Buzzinate (Shanghai) Information Technology Co., Ltd. ceased its operations.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July 2015, we acquired all shares in OptAim Ltd., or OptAim, and substantially expanded our online marketing business into mobile channels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identify, engage and convert mobile audience. Under the terms of the share purchase agreement, we acquired all equity interests in OptAim Ltd.,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those of OptAim Ltd.’s VIE entity, OptAim Network, from its existing shareholders Igomax Inc. (an entity controlled by Jian Tang), Zaffre Investments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Sohu. com Limited, and BAI GmbH, for a total consideration of RMB10 million and US$14,365,345 in cash and 2,535,091 of our ordinary shares. As part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agreement, Jian Tang and Jie Jiao became the nominee shareholders of OptAim Network. Jian Tang is our co-founder, director, chief operating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chief technology officer. Jie Jiao is our chief financial officer. In addition, Optimix Media Asia Limited made two loans in the aggregate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US$5.0 million to OptAim, Ltd. to pay a special dividend to Igomax Inc. Igomax Inc., Sohu.com Limited and Jian Tang each agreed to a non-compete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non-solicitation undertaking with respect to OptAim Ltd. and its consolidated subsidiaries for a period of three years. OptAim operates in China through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OptAim Beijing, its wholly owned subsidiary. OptAim Beijing has entered into a set of contractual arrangements with OptAim Network, a 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incorporated in China, OptAim Network’s nominee shareholders, and Zhiyunzhong, the wholly owned Chinese subsidiary of OptAim Network.</w:t>
      </w:r>
    </w:p>
    <w:p>
      <w:pPr>
        <w:spacing w:after="0" w:line="21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On December 21, 2017, our ADSs commenced trading on Nasdaq Global Market under the symbol “ICLK.” We raised from our initial public offering approximately $23,325,000 in net proceeds after deducting underwriting commissions and the offering expenses payable by us.</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principal executive offices are located at 15/F, Prosperity Millennia Plaza, 663 King’s Road, Quarry Bay, Hong Kong S.A.R. Our telephone number at this address is (852) 3700 9000. Our registered office in the Cayman Islands is located at Maples Corporate Services Limited at PO Box 309, Ugland House, Grand Cayman, KY1-1104, Cayman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Business Overview</w:t>
      </w:r>
    </w:p>
    <w:p>
      <w:pPr>
        <w:spacing w:after="0" w:line="11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are a leading independent online marketing technology platform in China</w:t>
      </w:r>
      <w:r>
        <w:rPr>
          <w:rFonts w:ascii="Arial" w:cs="Arial" w:eastAsia="Arial" w:hAnsi="Arial"/>
          <w:sz w:val="16"/>
          <w:szCs w:val="16"/>
          <w:i w:val="1"/>
          <w:iCs w:val="1"/>
          <w:color w:val="auto"/>
        </w:rPr>
        <w:t>.</w:t>
      </w:r>
      <w:r>
        <w:rPr>
          <w:rFonts w:ascii="Arial" w:cs="Arial" w:eastAsia="Arial" w:hAnsi="Arial"/>
          <w:sz w:val="16"/>
          <w:szCs w:val="16"/>
          <w:color w:val="auto"/>
        </w:rPr>
        <w:t xml:space="preserve"> 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 We offer both mobile audience solutions and other solutions based on channels desired by our clients.</w:t>
      </w:r>
    </w:p>
    <w:p>
      <w:pPr>
        <w:spacing w:after="0" w:line="15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expertise of our clients. Our clients may choose to access our solutions through (i) self-service, when which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87" w:lineRule="exact"/>
        <w:rPr>
          <w:sz w:val="20"/>
          <w:szCs w:val="20"/>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All our solutions, including the solutions from OptAim are integrated in a single user-friendly platform, accessible through both PC and mobile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devices.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diagram illustrates the architecture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169545</wp:posOffset>
            </wp:positionV>
            <wp:extent cx="5102860" cy="22898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0286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Suite of Solutions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Identification Solution: iAudience</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16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60"/>
          </w:cols>
          <w:pgMar w:left="24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83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1410" cy="383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Audience Engagement and Activation Solutions: iAccess and iActivation</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169545</wp:posOffset>
            </wp:positionV>
            <wp:extent cx="4931410" cy="33959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3141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Audience Engagement Solution Designed for Small and Medium-Sized Enterprises – iExpress</w:t>
      </w:r>
    </w:p>
    <w:p>
      <w:pPr>
        <w:spacing w:after="0" w:line="117" w:lineRule="exact"/>
        <w:rPr>
          <w:sz w:val="20"/>
          <w:szCs w:val="20"/>
          <w:color w:val="auto"/>
        </w:rPr>
      </w:pPr>
    </w:p>
    <w:p>
      <w:pPr>
        <w:jc w:val="both"/>
        <w:ind w:right="400" w:firstLine="913"/>
        <w:spacing w:after="0" w:line="264" w:lineRule="auto"/>
        <w:rPr>
          <w:sz w:val="20"/>
          <w:szCs w:val="20"/>
          <w:color w:val="auto"/>
        </w:rPr>
      </w:pPr>
      <w:r>
        <w:rPr>
          <w:rFonts w:ascii="Arial" w:cs="Arial" w:eastAsia="Arial" w:hAnsi="Arial"/>
          <w:sz w:val="18"/>
          <w:szCs w:val="18"/>
          <w:color w:val="auto"/>
        </w:rPr>
        <w:t>iExpress is the “lite” version of our iAccess solution. While iAccess is designed for and primarily used by multinational clients, iExpress is designed for small and medium-sized enterprises in China, who value simplicity and flexibility in their marketing activities. iExpress contains the basic functions of iAccess with a more simplified and intuitive user interface.</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Campaign Results Monitoring and Measurement Solution: iNsights</w:t>
      </w:r>
    </w:p>
    <w:p>
      <w:pPr>
        <w:spacing w:after="0" w:line="11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94" w:lineRule="exact"/>
        <w:rPr>
          <w:sz w:val="20"/>
          <w:szCs w:val="20"/>
          <w:color w:val="auto"/>
        </w:rPr>
      </w:pPr>
    </w:p>
    <w:p>
      <w:pPr>
        <w:ind w:left="1480" w:right="60" w:hanging="446"/>
        <w:spacing w:after="0" w:line="264"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Conversion path analyses </w:t>
      </w:r>
      <w:r>
        <w:rPr>
          <w:rFonts w:ascii="Arial" w:cs="Arial" w:eastAsia="Arial" w:hAnsi="Arial"/>
          <w:sz w:val="18"/>
          <w:szCs w:val="18"/>
          <w:color w:val="auto"/>
        </w:rPr>
        <w:t>– Holistic analyses of when, where and how a user interacts with various devices by the multiple touch points</w:t>
      </w:r>
      <w:r>
        <w:rPr>
          <w:rFonts w:ascii="Arial" w:cs="Arial" w:eastAsia="Arial" w:hAnsi="Arial"/>
          <w:sz w:val="18"/>
          <w:szCs w:val="18"/>
          <w:i w:val="1"/>
          <w:iCs w:val="1"/>
          <w:color w:val="auto"/>
        </w:rPr>
        <w:t xml:space="preserve"> </w:t>
      </w:r>
      <w:r>
        <w:rPr>
          <w:rFonts w:ascii="Arial" w:cs="Arial" w:eastAsia="Arial" w:hAnsi="Arial"/>
          <w:sz w:val="18"/>
          <w:szCs w:val="18"/>
          <w:color w:val="auto"/>
        </w:rPr>
        <w:t>he or she has come in contact with, including the “last mile” through which the user is converted, i.e., making a purchase or otherwise taking an action that the marketer desires; and</w:t>
      </w:r>
    </w:p>
    <w:p>
      <w:pPr>
        <w:spacing w:after="0" w:line="86" w:lineRule="exact"/>
        <w:rPr>
          <w:rFonts w:ascii="Arial" w:cs="Arial" w:eastAsia="Arial" w:hAnsi="Arial"/>
          <w:sz w:val="18"/>
          <w:szCs w:val="18"/>
          <w:color w:val="auto"/>
        </w:rPr>
      </w:pPr>
    </w:p>
    <w:p>
      <w:pPr>
        <w:ind w:left="1480" w:hanging="446"/>
        <w:spacing w:after="0" w:line="286" w:lineRule="auto"/>
        <w:tabs>
          <w:tab w:leader="none" w:pos="148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Cross-channel effectiveness analyses </w:t>
      </w:r>
      <w:r>
        <w:rPr>
          <w:rFonts w:ascii="Arial" w:cs="Arial" w:eastAsia="Arial" w:hAnsi="Arial"/>
          <w:sz w:val="17"/>
          <w:szCs w:val="17"/>
          <w:color w:val="auto"/>
        </w:rPr>
        <w:t>– Analyses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iExperience</w:t>
      </w:r>
    </w:p>
    <w:p>
      <w:pPr>
        <w:spacing w:after="0" w:line="11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have launched, on trial basis, iExperience, our content creation solution that helps marketers syndicate and manage all their marketing content and assets.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We expect to officially launch iExperience in the second quarter of 2018. 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6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We also leverage on our solutions such as iAudience, iAccess, and iActivation to design tailored solutions catering to clients’ specific marketing needs. For example, we have launched a number of mobile audience solutions, such as MoTV, our native in-app mobile video ad solution, MoSocial, our premium mobile social ad solution and MoFeeds, our native mobile in-feed ad solution.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Delivery Model</w:t>
      </w:r>
    </w:p>
    <w:p>
      <w:pPr>
        <w:spacing w:after="0" w:line="117"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We offer both mobile audience solutions and other solutions based on channels desired by our clients. Our mobile audience solutions are non-search engine marketing solutions designed to identify, engage and activate audience exclusively on mobile apps, and monitor and measure the results of online marketing activities on such channels. Our other solutions are primarily focused on identifying, engaging and activating audience on non-mobile app content distribution channels, such as PC banner display, PC video advertisements and search engine marketing.</w:t>
      </w:r>
    </w:p>
    <w:p>
      <w:pPr>
        <w:spacing w:after="0" w:line="17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We take a flexible approach to delivering our solutions. Depending on the preferences and levels of internal resources and sophistication of clients, our solutions are delivered through:</w:t>
      </w:r>
    </w:p>
    <w:p>
      <w:pPr>
        <w:spacing w:after="0" w:line="76" w:lineRule="exact"/>
        <w:rPr>
          <w:sz w:val="20"/>
          <w:szCs w:val="20"/>
          <w:color w:val="auto"/>
        </w:rPr>
      </w:pPr>
    </w:p>
    <w:p>
      <w:pPr>
        <w:ind w:left="1480" w:hanging="446"/>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self-service, when clients have the flexibility to run their marketing campaigns on an “a la carte”, cost-effective basis; and</w:t>
      </w:r>
    </w:p>
    <w:p>
      <w:pPr>
        <w:spacing w:after="0" w:line="130" w:lineRule="exact"/>
        <w:rPr>
          <w:rFonts w:ascii="Arial" w:cs="Arial" w:eastAsia="Arial" w:hAnsi="Arial"/>
          <w:sz w:val="18"/>
          <w:szCs w:val="18"/>
          <w:color w:val="auto"/>
        </w:rPr>
      </w:pPr>
    </w:p>
    <w:p>
      <w:pPr>
        <w:ind w:left="1480" w:right="380" w:hanging="446"/>
        <w:spacing w:after="0" w:line="264"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managed service, when our account management team manages marketing campaigns for our clients, including deciding on cross-channel marketing budget allocation and the timing, frequency, number and format of audience engagement based on their specified marketing objectives and budgets.</w:t>
      </w:r>
    </w:p>
    <w:p>
      <w:pPr>
        <w:spacing w:after="0" w:line="18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generate revenues primarily from clients’ marketing spend through our platform as they utilize our solutions in cost-plus and specified action marketing campaigns, and depending on our revenue recognition model, either including or excluding media cost. To a lesser extent, we generate revenues from incentives granted by the publisher under our sales agency arrangement.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Our data assets are the backbone of our solutions and data analytics capabilities. From approximately 109,000 mobile apps and 2.0 million websites that we covered, we analyzed approximately 639.5 million active profiled users in China in the 30 days leading up to March 31, 2018. According to the China Internet Network Information Center, or CNNIC, there were 772 million internet users and 753 million mobile internet users in China as of December 31, 2017. The average daily volume of the data we collected reached 0.8 terabytes in the 30 days leading up to March 31, 2018.</w:t>
      </w:r>
    </w:p>
    <w:p>
      <w:pPr>
        <w:spacing w:after="0" w:line="154"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5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w:t>
      </w:r>
      <w:r>
        <w:rPr>
          <w:rFonts w:ascii="Arial" w:cs="Arial" w:eastAsia="Arial" w:hAnsi="Arial"/>
          <w:sz w:val="18"/>
          <w:szCs w:val="18"/>
          <w:i w:val="1"/>
          <w:iCs w:val="1"/>
          <w:color w:val="auto"/>
        </w:rPr>
        <w:t xml:space="preserve"> </w:t>
      </w:r>
      <w:r>
        <w:rPr>
          <w:rFonts w:ascii="Arial" w:cs="Arial" w:eastAsia="Arial" w:hAnsi="Arial"/>
          <w:sz w:val="18"/>
          <w:szCs w:val="18"/>
          <w:color w:val="auto"/>
        </w:rPr>
        <w:t>needs of 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93" w:lineRule="exact"/>
        <w:rPr>
          <w:rFonts w:ascii="Arial" w:cs="Arial" w:eastAsia="Arial" w:hAnsi="Arial"/>
          <w:sz w:val="18"/>
          <w:szCs w:val="18"/>
          <w:color w:val="auto"/>
        </w:rPr>
      </w:pPr>
    </w:p>
    <w:p>
      <w:pPr>
        <w:ind w:left="1480" w:right="80" w:hanging="446"/>
        <w:spacing w:after="0" w:line="255"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Interest data – </w:t>
      </w:r>
      <w:r>
        <w:rPr>
          <w:rFonts w:ascii="Arial" w:cs="Arial" w:eastAsia="Arial" w:hAnsi="Arial"/>
          <w:sz w:val="18"/>
          <w:szCs w:val="18"/>
          <w:color w:val="auto"/>
        </w:rPr>
        <w:t>Interest data refers to the category and semantic meaning of the content of websites and apps that a user visits,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visit 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98" w:lineRule="exact"/>
        <w:rPr>
          <w:rFonts w:ascii="Arial" w:cs="Arial" w:eastAsia="Arial" w:hAnsi="Arial"/>
          <w:sz w:val="18"/>
          <w:szCs w:val="18"/>
          <w:color w:val="auto"/>
        </w:rPr>
      </w:pPr>
    </w:p>
    <w:p>
      <w:pPr>
        <w:ind w:left="1480" w:right="40" w:hanging="446"/>
        <w:spacing w:after="0" w:line="297"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Online transactional data – </w:t>
      </w:r>
      <w:r>
        <w:rPr>
          <w:rFonts w:ascii="Arial" w:cs="Arial" w:eastAsia="Arial" w:hAnsi="Arial"/>
          <w:sz w:val="16"/>
          <w:szCs w:val="16"/>
          <w:color w:val="auto"/>
        </w:rPr>
        <w:t>Online transactional data refers to a user’s behavior on online commerce platforms, including the items he or</w:t>
      </w:r>
      <w:r>
        <w:rPr>
          <w:rFonts w:ascii="Arial" w:cs="Arial" w:eastAsia="Arial" w:hAnsi="Arial"/>
          <w:sz w:val="16"/>
          <w:szCs w:val="16"/>
          <w:i w:val="1"/>
          <w:iCs w:val="1"/>
          <w:color w:val="auto"/>
        </w:rPr>
        <w:t xml:space="preserve"> </w:t>
      </w:r>
      <w:r>
        <w:rPr>
          <w:rFonts w:ascii="Arial" w:cs="Arial" w:eastAsia="Arial" w:hAnsi="Arial"/>
          <w:sz w:val="16"/>
          <w:szCs w:val="16"/>
          <w:color w:val="auto"/>
        </w:rPr>
        <w:t>she is 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63" w:lineRule="exact"/>
        <w:rPr>
          <w:rFonts w:ascii="Arial" w:cs="Arial" w:eastAsia="Arial" w:hAnsi="Arial"/>
          <w:sz w:val="16"/>
          <w:szCs w:val="16"/>
          <w:color w:val="auto"/>
        </w:rPr>
      </w:pPr>
    </w:p>
    <w:p>
      <w:pPr>
        <w:ind w:left="1480" w:right="20" w:hanging="446"/>
        <w:spacing w:after="0" w:line="293"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Offline purchase behavioral data – </w:t>
      </w:r>
      <w:r>
        <w:rPr>
          <w:rFonts w:ascii="Arial" w:cs="Arial" w:eastAsia="Arial" w:hAnsi="Arial"/>
          <w:sz w:val="16"/>
          <w:szCs w:val="16"/>
          <w:color w:val="auto"/>
        </w:rPr>
        <w:t>Offline purchase behavioral data refers to a user’s behavior in non-digitally connected environments,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70" w:lineRule="exact"/>
        <w:rPr>
          <w:rFonts w:ascii="Arial" w:cs="Arial" w:eastAsia="Arial" w:hAnsi="Arial"/>
          <w:sz w:val="16"/>
          <w:szCs w:val="16"/>
          <w:color w:val="auto"/>
        </w:rPr>
      </w:pPr>
    </w:p>
    <w:p>
      <w:pPr>
        <w:ind w:left="1480" w:hanging="446"/>
        <w:spacing w:after="0" w:line="255"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Social data – </w:t>
      </w:r>
      <w:r>
        <w:rPr>
          <w:rFonts w:ascii="Arial" w:cs="Arial" w:eastAsia="Arial" w:hAnsi="Arial"/>
          <w:sz w:val="18"/>
          <w:szCs w:val="18"/>
          <w:color w:val="auto"/>
        </w:rPr>
        <w:t>Social data refers a user’s behavior on social networks, such as Sina Weibo and Tencent QZone, including the content the</w:t>
      </w:r>
      <w:r>
        <w:rPr>
          <w:rFonts w:ascii="Arial" w:cs="Arial" w:eastAsia="Arial" w:hAnsi="Arial"/>
          <w:sz w:val="18"/>
          <w:szCs w:val="18"/>
          <w:i w:val="1"/>
          <w:iCs w:val="1"/>
          <w:color w:val="auto"/>
        </w:rPr>
        <w:t xml:space="preserve"> </w:t>
      </w:r>
      <w:r>
        <w:rPr>
          <w:rFonts w:ascii="Arial" w:cs="Arial" w:eastAsia="Arial" w:hAnsi="Arial"/>
          <w:sz w:val="18"/>
          <w:szCs w:val="18"/>
          <w:color w:val="auto"/>
        </w:rPr>
        <w:t>user shares from websites or apps via social sharing toolbars, and the content the user posts, shares on the social networks, his or her “social graph”, such as his or her “friends” and “followers” and other behavior data the user publicly shares on social networks. Social 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94" w:lineRule="exact"/>
        <w:rPr>
          <w:rFonts w:ascii="Arial" w:cs="Arial" w:eastAsia="Arial" w:hAnsi="Arial"/>
          <w:sz w:val="18"/>
          <w:szCs w:val="18"/>
          <w:color w:val="auto"/>
        </w:rPr>
      </w:pPr>
    </w:p>
    <w:p>
      <w:pPr>
        <w:ind w:left="1480" w:right="240" w:hanging="446"/>
        <w:spacing w:after="0" w:line="259"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Demographic data – </w:t>
      </w:r>
      <w:r>
        <w:rPr>
          <w:rFonts w:ascii="Arial" w:cs="Arial" w:eastAsia="Arial" w:hAnsi="Arial"/>
          <w:sz w:val="18"/>
          <w:szCs w:val="18"/>
          <w:color w:val="auto"/>
        </w:rPr>
        <w:t>Demographic data refers to a user’s age, gender, income level and geographic location. In addition to inferred</w:t>
      </w:r>
      <w:r>
        <w:rPr>
          <w:rFonts w:ascii="Arial" w:cs="Arial" w:eastAsia="Arial" w:hAnsi="Arial"/>
          <w:sz w:val="18"/>
          <w:szCs w:val="18"/>
          <w:i w:val="1"/>
          <w:iCs w:val="1"/>
          <w:color w:val="auto"/>
        </w:rPr>
        <w:t xml:space="preserve"> </w:t>
      </w:r>
      <w:r>
        <w:rPr>
          <w:rFonts w:ascii="Arial" w:cs="Arial" w:eastAsia="Arial" w:hAnsi="Arial"/>
          <w:sz w:val="18"/>
          <w:szCs w:val="18"/>
          <w:color w:val="auto"/>
        </w:rPr>
        <w:t>demographic 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92" w:lineRule="exact"/>
        <w:rPr>
          <w:rFonts w:ascii="Arial" w:cs="Arial" w:eastAsia="Arial" w:hAnsi="Arial"/>
          <w:sz w:val="18"/>
          <w:szCs w:val="18"/>
          <w:color w:val="auto"/>
        </w:rPr>
      </w:pPr>
    </w:p>
    <w:p>
      <w:pPr>
        <w:ind w:left="1480" w:right="40" w:hanging="446"/>
        <w:spacing w:after="0" w:line="255"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message, 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March 31, 2018, we analyzed approximately 639.5 million active profiled users, whose profiles include on average 18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117"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We apply data science technologies extensively throughout the online marketing cycle to support audience tracking, profiling and segmentation and to execute cost-efficient decisions on real-time audience engagement. Our proprietary data analytics capabilities and technologies include: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131" w:lineRule="exact"/>
        <w:rPr>
          <w:sz w:val="20"/>
          <w:szCs w:val="20"/>
          <w:color w:val="auto"/>
        </w:rPr>
      </w:pPr>
    </w:p>
    <w:p>
      <w:pPr>
        <w:ind w:left="1480" w:right="120" w:hanging="446"/>
        <w:spacing w:after="0" w:line="25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w:t>
      </w:r>
      <w:r>
        <w:rPr>
          <w:rFonts w:ascii="Arial" w:cs="Arial" w:eastAsia="Arial" w:hAnsi="Arial"/>
          <w:sz w:val="18"/>
          <w:szCs w:val="18"/>
          <w:color w:val="auto"/>
        </w:rPr>
        <w:t>- Our audience tracking engine monitors our audience across various devices and channels to identify which</w:t>
      </w:r>
      <w:r>
        <w:rPr>
          <w:rFonts w:ascii="Arial" w:cs="Arial" w:eastAsia="Arial" w:hAnsi="Arial"/>
          <w:sz w:val="18"/>
          <w:szCs w:val="18"/>
          <w:i w:val="1"/>
          <w:iCs w:val="1"/>
          <w:color w:val="auto"/>
        </w:rPr>
        <w:t xml:space="preserve"> </w:t>
      </w:r>
      <w:r>
        <w:rPr>
          <w:rFonts w:ascii="Arial" w:cs="Arial" w:eastAsia="Arial" w:hAnsi="Arial"/>
          <w:sz w:val="18"/>
          <w:szCs w:val="18"/>
          <w:color w:val="auto"/>
        </w:rPr>
        <w:t>user has 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p>
      <w:pPr>
        <w:spacing w:after="0" w:line="93" w:lineRule="exact"/>
        <w:rPr>
          <w:rFonts w:ascii="Arial" w:cs="Arial" w:eastAsia="Arial" w:hAnsi="Arial"/>
          <w:sz w:val="18"/>
          <w:szCs w:val="18"/>
          <w:color w:val="auto"/>
        </w:rPr>
      </w:pPr>
    </w:p>
    <w:p>
      <w:pPr>
        <w:ind w:left="1480" w:right="220" w:hanging="446"/>
        <w:spacing w:after="0" w:line="312" w:lineRule="auto"/>
        <w:tabs>
          <w:tab w:leader="none" w:pos="148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Contextual analysis engine - </w:t>
      </w:r>
      <w:r>
        <w:rPr>
          <w:rFonts w:ascii="Arial" w:cs="Arial" w:eastAsia="Arial" w:hAnsi="Arial"/>
          <w:sz w:val="16"/>
          <w:szCs w:val="16"/>
          <w:color w:val="auto"/>
        </w:rPr>
        <w:t>Our contextual analysis engine parses all data properties to understand the context and content which</w:t>
      </w:r>
      <w:r>
        <w:rPr>
          <w:rFonts w:ascii="Arial" w:cs="Arial" w:eastAsia="Arial" w:hAnsi="Arial"/>
          <w:sz w:val="16"/>
          <w:szCs w:val="16"/>
          <w:i w:val="1"/>
          <w:iCs w:val="1"/>
          <w:color w:val="auto"/>
        </w:rPr>
        <w:t xml:space="preserve"> </w:t>
      </w:r>
      <w:r>
        <w:rPr>
          <w:rFonts w:ascii="Arial" w:cs="Arial" w:eastAsia="Arial" w:hAnsi="Arial"/>
          <w:sz w:val="16"/>
          <w:szCs w:val="16"/>
          <w:color w:val="auto"/>
        </w:rPr>
        <w:t>audiences are 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52" w:lineRule="exact"/>
        <w:rPr>
          <w:rFonts w:ascii="Arial" w:cs="Arial" w:eastAsia="Arial" w:hAnsi="Arial"/>
          <w:sz w:val="16"/>
          <w:szCs w:val="16"/>
          <w:color w:val="auto"/>
        </w:rPr>
      </w:pPr>
    </w:p>
    <w:p>
      <w:pPr>
        <w:ind w:left="1480" w:right="40" w:hanging="446"/>
        <w:spacing w:after="0" w:line="273" w:lineRule="auto"/>
        <w:tabs>
          <w:tab w:leader="none" w:pos="148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 xml:space="preserve">Natural language processing algorithms - </w:t>
      </w:r>
      <w:r>
        <w:rPr>
          <w:rFonts w:ascii="Arial" w:cs="Arial" w:eastAsia="Arial" w:hAnsi="Arial"/>
          <w:sz w:val="17"/>
          <w:szCs w:val="17"/>
          <w:color w:val="auto"/>
        </w:rPr>
        <w:t>Our natural language processing algorithms, or NLP, are important elements of our contextual</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engine. We use these algorithms to extract structure from unstructured data, so that it can be processed and analyzed effectively. Our NLP algorithms are 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131" w:lineRule="exact"/>
        <w:rPr>
          <w:sz w:val="20"/>
          <w:szCs w:val="20"/>
          <w:color w:val="auto"/>
        </w:rPr>
      </w:pPr>
    </w:p>
    <w:p>
      <w:pPr>
        <w:ind w:left="1480" w:right="280" w:hanging="446"/>
        <w:spacing w:after="0" w:line="25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User profiling engine - </w:t>
      </w:r>
      <w:r>
        <w:rPr>
          <w:rFonts w:ascii="Arial" w:cs="Arial" w:eastAsia="Arial" w:hAnsi="Arial"/>
          <w:sz w:val="18"/>
          <w:szCs w:val="18"/>
          <w:color w:val="auto"/>
        </w:rPr>
        <w:t>Combining the data collected through, and processed by, our contextual analysis engine and audience tracking</w:t>
      </w:r>
      <w:r>
        <w:rPr>
          <w:rFonts w:ascii="Arial" w:cs="Arial" w:eastAsia="Arial" w:hAnsi="Arial"/>
          <w:sz w:val="18"/>
          <w:szCs w:val="18"/>
          <w:i w:val="1"/>
          <w:iCs w:val="1"/>
          <w:color w:val="auto"/>
        </w:rPr>
        <w:t xml:space="preserve"> </w:t>
      </w:r>
      <w:r>
        <w:rPr>
          <w:rFonts w:ascii="Arial" w:cs="Arial" w:eastAsia="Arial" w:hAnsi="Arial"/>
          <w:sz w:val="18"/>
          <w:szCs w:val="18"/>
          <w:color w:val="auto"/>
        </w:rPr>
        <w:t>engine, our 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March 31, 2018, we had designed an aggregate of 186 data labels for our user profiles.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60" w:hanging="446"/>
        <w:spacing w:after="0" w:line="264"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w:t>
      </w:r>
      <w:r>
        <w:rPr>
          <w:rFonts w:ascii="Arial" w:cs="Arial" w:eastAsia="Arial" w:hAnsi="Arial"/>
          <w:sz w:val="18"/>
          <w:szCs w:val="18"/>
          <w:color w:val="auto"/>
        </w:rPr>
        <w:t>- We use various algorithms to organize user profiles, which are generated and updated dynamically in</w:t>
      </w:r>
      <w:r>
        <w:rPr>
          <w:rFonts w:ascii="Arial" w:cs="Arial" w:eastAsia="Arial" w:hAnsi="Arial"/>
          <w:sz w:val="18"/>
          <w:szCs w:val="18"/>
          <w:i w:val="1"/>
          <w:iCs w:val="1"/>
          <w:color w:val="auto"/>
        </w:rPr>
        <w:t xml:space="preserve"> </w:t>
      </w:r>
      <w:r>
        <w:rPr>
          <w:rFonts w:ascii="Arial" w:cs="Arial" w:eastAsia="Arial" w:hAnsi="Arial"/>
          <w:sz w:val="18"/>
          <w:szCs w:val="18"/>
          <w:color w:val="auto"/>
        </w:rPr>
        <w:t>real time, responding to real time changes in user interests and needs. This allows for accurate and detailed segmentation of user interests through multiple dimensions, e.g. by user interest keywords and user interest categories.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131" w:lineRule="exact"/>
        <w:rPr>
          <w:sz w:val="20"/>
          <w:szCs w:val="20"/>
          <w:color w:val="auto"/>
        </w:rPr>
      </w:pPr>
    </w:p>
    <w:p>
      <w:pPr>
        <w:ind w:left="1480" w:hanging="446"/>
        <w:spacing w:after="0" w:line="279" w:lineRule="auto"/>
        <w:tabs>
          <w:tab w:leader="none" w:pos="148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Real-time user engagement algorithms </w:t>
      </w:r>
      <w:r>
        <w:rPr>
          <w:rFonts w:ascii="Arial" w:cs="Arial" w:eastAsia="Arial" w:hAnsi="Arial"/>
          <w:sz w:val="17"/>
          <w:szCs w:val="17"/>
          <w:color w:val="auto"/>
        </w:rPr>
        <w:t>– Our real time user engagement algorithms execute marketing decisions based on a wide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76" w:lineRule="exact"/>
        <w:rPr>
          <w:rFonts w:ascii="Arial" w:cs="Arial" w:eastAsia="Arial" w:hAnsi="Arial"/>
          <w:sz w:val="17"/>
          <w:szCs w:val="17"/>
          <w:color w:val="auto"/>
        </w:rPr>
      </w:pPr>
    </w:p>
    <w:p>
      <w:pPr>
        <w:ind w:left="1480" w:right="40" w:hanging="446"/>
        <w:spacing w:after="0" w:line="25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w:t>
      </w:r>
      <w:r>
        <w:rPr>
          <w:rFonts w:ascii="Arial" w:cs="Arial" w:eastAsia="Arial" w:hAnsi="Arial"/>
          <w:sz w:val="18"/>
          <w:szCs w:val="18"/>
          <w:color w:val="auto"/>
        </w:rPr>
        <w:t>– Our online continuous real-time bid optimization algorithms consider a wide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collect data solely to analyze audience and campaign performance. In order to identify each user profile, we assign a random profile number with each new profile. We then use that number as the anonymous identification for the profile and associate it with all related data. In general we do not collect personally identifiable information unless a user consents to it or a marketer gives consent on behalf of the user. If such information is inadvertently obtained by us, our policy is to immediately delete such information.</w:t>
      </w:r>
    </w:p>
    <w:p>
      <w:pPr>
        <w:spacing w:after="0" w:line="18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We treat all information we collect as confidential. We do not disclose any information we gather from a marketer or any third party data partner unless such disclosure is approved by it, which in turn has obtained end user consent.</w:t>
      </w:r>
    </w:p>
    <w:p>
      <w:pPr>
        <w:spacing w:after="0" w:line="170"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We have put in place appropriate physical, electronic and managerial procedures to safeguard and secure our data assets, including to prevent unauthorized access, to preserve their integrity and to ensure their appropriate use. On the software level, we maintain the same database login information across all our computer systems to control access, and individuals with different levels or job duties are assigned different levels of access permissions. For example, only high-level technology personnel, including head of system operations, head of data science and certain other technical developments leaders have root access to our operation system; and only database managers have access to the relevant database. We have central controls to govern user roles and permissions. On the hardware levels, our servers are located at IDCs, and only system operation personnel have access to our servers. In addition, we have established hardware firewall where all traffic is inspected and filtered according to a comprehensive set of rules. We conduct comprehensive security reviews of our data assets on an annual basis and ad hoc security reviews from time to time as special needs arise.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12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29" w:lineRule="exact"/>
        <w:rPr>
          <w:sz w:val="20"/>
          <w:szCs w:val="20"/>
          <w:color w:val="auto"/>
        </w:rPr>
      </w:pPr>
    </w:p>
    <w:p>
      <w:pPr>
        <w:ind w:left="1480" w:right="40" w:hanging="446"/>
        <w:spacing w:after="0" w:line="257" w:lineRule="auto"/>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Real-time analytics - </w:t>
      </w:r>
      <w:r>
        <w:rPr>
          <w:rFonts w:ascii="Arial" w:cs="Arial" w:eastAsia="Arial" w:hAnsi="Arial"/>
          <w:sz w:val="18"/>
          <w:szCs w:val="18"/>
          <w:color w:val="auto"/>
        </w:rPr>
        <w:t>Our cloud-based technology architecture is built to be fully distributed while having a single unified access layer.</w:t>
      </w:r>
      <w:r>
        <w:rPr>
          <w:rFonts w:ascii="Arial" w:cs="Arial" w:eastAsia="Arial" w:hAnsi="Arial"/>
          <w:sz w:val="18"/>
          <w:szCs w:val="18"/>
          <w:i w:val="1"/>
          <w:iCs w:val="1"/>
          <w:color w:val="auto"/>
        </w:rPr>
        <w:t xml:space="preserve"> </w:t>
      </w:r>
      <w:r>
        <w:rPr>
          <w:rFonts w:ascii="Arial" w:cs="Arial" w:eastAsia="Arial" w:hAnsi="Arial"/>
          <w:sz w:val="18"/>
          <w:szCs w:val="18"/>
          <w:color w:val="auto"/>
        </w:rPr>
        <w:t>Large 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60" w:hanging="446"/>
        <w:spacing w:after="0" w:line="297" w:lineRule="auto"/>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Scalability - </w:t>
      </w:r>
      <w:r>
        <w:rPr>
          <w:rFonts w:ascii="Arial" w:cs="Arial" w:eastAsia="Arial" w:hAnsi="Arial"/>
          <w:sz w:val="16"/>
          <w:szCs w:val="16"/>
          <w:color w:val="auto"/>
        </w:rPr>
        <w:t>With modular architecture that is built to be horizontally scalable, our platform can be easily expanded as data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and client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63" w:lineRule="exact"/>
        <w:rPr>
          <w:rFonts w:ascii="Arial" w:cs="Arial" w:eastAsia="Arial" w:hAnsi="Arial"/>
          <w:sz w:val="16"/>
          <w:szCs w:val="16"/>
          <w:color w:val="auto"/>
        </w:rPr>
      </w:pPr>
    </w:p>
    <w:p>
      <w:pPr>
        <w:ind w:left="1480" w:right="60" w:hanging="446"/>
        <w:spacing w:after="0" w:line="297" w:lineRule="auto"/>
        <w:tabs>
          <w:tab w:leader="none" w:pos="148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in software and hardware redundancy and will automatically switch if errors are detected.</w:t>
      </w:r>
      <w:r>
        <w:rPr>
          <w:rFonts w:ascii="Arial" w:cs="Arial" w:eastAsia="Arial" w:hAnsi="Arial"/>
          <w:sz w:val="16"/>
          <w:szCs w:val="16"/>
          <w:i w:val="1"/>
          <w:iCs w:val="1"/>
          <w:color w:val="auto"/>
        </w:rPr>
        <w:t xml:space="preserve"> </w:t>
      </w:r>
      <w:r>
        <w:rPr>
          <w:rFonts w:ascii="Arial" w:cs="Arial" w:eastAsia="Arial" w:hAnsi="Arial"/>
          <w:sz w:val="16"/>
          <w:szCs w:val="16"/>
          <w:color w:val="auto"/>
        </w:rPr>
        <w:t>We built our platform on a distributed computing architecture with no single point of failure. In addition, our architecture supports multiple live copies of each data set along with snapshot capabilities for faster, point-in-time data recovery instead of traditional backup and restore methodologies. 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w:t>
      </w:r>
    </w:p>
    <w:p>
      <w:pPr>
        <w:spacing w:after="0" w:line="121" w:lineRule="exact"/>
        <w:rPr>
          <w:sz w:val="20"/>
          <w:szCs w:val="20"/>
          <w:color w:val="auto"/>
        </w:rPr>
      </w:pPr>
    </w:p>
    <w:p>
      <w:pPr>
        <w:ind w:right="220" w:firstLine="913"/>
        <w:spacing w:after="0" w:line="291" w:lineRule="auto"/>
        <w:rPr>
          <w:sz w:val="20"/>
          <w:szCs w:val="20"/>
          <w:color w:val="auto"/>
        </w:rPr>
      </w:pPr>
      <w:r>
        <w:rPr>
          <w:rFonts w:ascii="Arial" w:cs="Arial" w:eastAsia="Arial" w:hAnsi="Arial"/>
          <w:sz w:val="16"/>
          <w:szCs w:val="16"/>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Media cost for content distribution opportunities on Tencent, Baidu, Google and Alibaba channels in aggregate accounted for 84.0%, 81.6% and 89.1% of our media costs in 2015, 2016 and 2017, respectively. Media cost for content distribution opportunities on our largest channel partner in each of 2015, 2016 and 2017 accounted for 55.0%, 42.2% and 66.7% of our media costs during the relevant periods, respectively, and media costs for content distribution opportunities on our second largest channel partner in each of 2015, 2016 and 2017 accounted for 22.6%, 36.1% and 21.2% of our media cost during the relevant periods, respectively.</w:t>
      </w:r>
    </w:p>
    <w:p>
      <w:pPr>
        <w:spacing w:after="0" w:line="16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content distribution opportunities span the mobile and PC channels, and include various formats such as video and traditional banner ad. Our content distribution channel partners primarily include mobile and online publishers, major search engines and ad exchanges. In the 30 days leading up to March 31, 2018, we covered approximately 109,000 mobile apps and 2.0 million websites. In 2017, our gross billing from mobile audience solutions and other solutions amounted to US$172.2 million and US$76.1 million, accounting for 69.4% and 30.6% of our gross billing, respectively. In 2017, our net revenues from mobile audience solutions and other solutions amounted to US$101.4 million and US$23.8 million, accounting for 81.0% and 19.0% of our net revenues, respectively.</w:t>
      </w:r>
    </w:p>
    <w:p>
      <w:pPr>
        <w:spacing w:after="0" w:line="19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in 2015, we launched MoTV mobile SDK through cooperation with certain leading apps in China, which is an in-app video app that provides blue-ray quality ad viewing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We sell our solutions by entering into marketing campaign contracts with marketers or marketing agencies. We treat entities which enter into marketing campaign contracts with us and incur marketing spend during the relevant period as our clients. Therefore, we count specific sub-brands or divisions within the same brand or holding company as distinct clients so long as we have signed campaign contracts with different entities. On the other hand, even though multiple campaign contracts may be involved, we only record one single client if those contracts with us are signed by the same entity. Our clients include both marketers who have direct contractual relationships with us, or direct marketer clients, and marketing agency clients. Our “marketers” include both direct marketer clients, and marketers that are represented by our marketing agency clients and have no direct contractual relationship with us, or end marketers. In 2017, we had over 1,600 clients including over 1,100 direct marketer clients and over 450 marketing agency clients, which represented 1,500 end marketers.</w:t>
      </w:r>
    </w:p>
    <w:p>
      <w:pPr>
        <w:spacing w:after="0" w:line="192"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Our marketers span a diverse array of industry segments, with entertainment and media, banking and finance, E-commerce, travel and hospitality, and automobile and petroleum being among the top five in terms of gross billing contribution in 2017. They also feature companies of different sizes, including more than 160 multinational companies in 2017, respectively, as well as small and medium-sized enterprises. Our marketers come from a variety of regions, with headquarters in Europe, North America, or Asia. In determining the geographic classification of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w:t>
      </w:r>
    </w:p>
    <w:p>
      <w:pPr>
        <w:spacing w:after="0" w:line="167" w:lineRule="exact"/>
        <w:rPr>
          <w:sz w:val="20"/>
          <w:szCs w:val="20"/>
          <w:color w:val="auto"/>
        </w:rPr>
      </w:pPr>
    </w:p>
    <w:p>
      <w:pPr>
        <w:ind w:right="140" w:firstLine="913"/>
        <w:spacing w:after="0" w:line="276" w:lineRule="auto"/>
        <w:rPr>
          <w:sz w:val="20"/>
          <w:szCs w:val="20"/>
          <w:color w:val="auto"/>
        </w:rPr>
      </w:pPr>
      <w:r>
        <w:rPr>
          <w:rFonts w:ascii="Arial" w:cs="Arial" w:eastAsia="Arial" w:hAnsi="Arial"/>
          <w:sz w:val="17"/>
          <w:szCs w:val="17"/>
          <w:color w:val="auto"/>
        </w:rPr>
        <w:t>We have been strategically optimizing the client base for other solutions to focus on profitability and liquidity. As a result of these efforts, our gross billing per client increased by US$32,020, or 47.5%, from US$67,413 in 2015 to US$99,433 in 2016, and by US$52,885, or 53.2%, from US$$99,433 in 2016 to US$152,318 in 2017. The total number of our clients decreased by 10.1% from 2,644 in 2015 to 2,376 in 2016 notwithstanding our full year consolidation of OptAim’s results of operations in 2016 compared to our consolidation of OptAim’s results of operations only for the period from July 24 to December 31 in 2015. The total number of our clients decreased by 31.4% from 2,376 in 2016 to 1,630 in 2017.</w:t>
      </w:r>
    </w:p>
    <w:p>
      <w:pPr>
        <w:spacing w:after="0" w:line="173"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In 2016, we derived 18% of our net revenues from a marketer in the entertainment industry and 11% of our net revenues from a marketer in the e-commerce industry. In 2017, we have not derived over 10% of our net revenues from a marketer. These marketers utilized our mobile audience solutions under specified-action arrangement and therefore, revenue from these marketers was recognized on a gross basis. Their marketing campaign contracts were for a term of one year and contained terms similar to that under the marketing campaign contracts we generally enter into with other marketers utilizing similar solutions.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121"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Our sales and business development workforce is focused on attracting more clients for our mobile audience solutions, optimizing the client base for our other solutions to focus on profitability and liquidity, and attracting more clients to use our solutions through our self-service model. Leveraging our existing positions and reputations in industry sectors where we already have a strong presence, we are able to attract more direct marketer clients in those sectors. In addition, we are focused on diversifying our client base. We have partnered with local marketing agencies at selected first and second-tier cities in China to expand our marketer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Our sales and business development team is organized by geographic region, and is further divided into groups that focus on sales to marketers or to marketing agencies in each geographic region. As of December 31, 2017, we had 92 employees for sales and business development.</w:t>
      </w:r>
    </w:p>
    <w:p>
      <w:pPr>
        <w:spacing w:after="0" w:line="14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w:t>
      </w:r>
    </w:p>
    <w:p>
      <w:pPr>
        <w:spacing w:after="0" w:line="193"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140" w:firstLine="913"/>
        <w:spacing w:after="0" w:line="312" w:lineRule="auto"/>
        <w:rPr>
          <w:sz w:val="20"/>
          <w:szCs w:val="20"/>
          <w:color w:val="auto"/>
        </w:rPr>
      </w:pPr>
      <w:r>
        <w:rPr>
          <w:rFonts w:ascii="Arial" w:cs="Arial" w:eastAsia="Arial" w:hAnsi="Arial"/>
          <w:sz w:val="16"/>
          <w:szCs w:val="16"/>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47"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As of December 31, 2017, we had two patents in application in China, and 13 registered trademarks and trademark application in China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We mainly compete with independent online marketing technology companies in China that offer online marketing solutions through demand side platform and use advanced technologies to optimize marketing campaigns for marketers.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97"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This section sets forth a summary of the most significant regulations or requirements that affect our business activities in the PRC or our shareholders’ right to receive dividends and other distributions from us.</w:t>
      </w:r>
    </w:p>
    <w:p>
      <w:pPr>
        <w:spacing w:after="0" w:line="170" w:lineRule="exact"/>
        <w:rPr>
          <w:sz w:val="20"/>
          <w:szCs w:val="20"/>
          <w:color w:val="auto"/>
        </w:rPr>
      </w:pPr>
    </w:p>
    <w:p>
      <w:pPr>
        <w:ind w:right="560" w:firstLine="913"/>
        <w:spacing w:after="0" w:line="264"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Advertising Business</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70" w:lineRule="auto"/>
        <w:rPr>
          <w:sz w:val="20"/>
          <w:szCs w:val="20"/>
          <w:color w:val="auto"/>
        </w:rPr>
      </w:pPr>
      <w:r>
        <w:rPr>
          <w:rFonts w:ascii="Arial" w:cs="Arial" w:eastAsia="Arial" w:hAnsi="Arial"/>
          <w:sz w:val="17"/>
          <w:szCs w:val="17"/>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78"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have developed certain advertising business management rules containing these mandatory content review and conduct requirements, and are establishing internal mechanisms to implement these rules.</w:t>
      </w:r>
    </w:p>
    <w:p>
      <w:pPr>
        <w:spacing w:after="0" w:line="173"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Internet Information Service</w:t>
      </w:r>
    </w:p>
    <w:p>
      <w:pPr>
        <w:spacing w:after="0" w:line="117"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 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Privacy Protection</w:t>
      </w:r>
    </w:p>
    <w:p>
      <w:pPr>
        <w:spacing w:after="0" w:line="117"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87" w:lineRule="exact"/>
        <w:rPr>
          <w:sz w:val="20"/>
          <w:szCs w:val="20"/>
          <w:color w:val="auto"/>
        </w:rPr>
      </w:pPr>
    </w:p>
    <w:p>
      <w:pPr>
        <w:ind w:right="20" w:firstLine="913"/>
        <w:spacing w:after="0" w:line="284" w:lineRule="auto"/>
        <w:rPr>
          <w:sz w:val="20"/>
          <w:szCs w:val="20"/>
          <w:color w:val="auto"/>
        </w:rPr>
      </w:pPr>
      <w:r>
        <w:rPr>
          <w:rFonts w:ascii="Arial" w:cs="Arial" w:eastAsia="Arial" w:hAnsi="Arial"/>
          <w:sz w:val="16"/>
          <w:szCs w:val="16"/>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w:t>
      </w:r>
    </w:p>
    <w:p>
      <w:pPr>
        <w:spacing w:after="0" w:line="5" w:lineRule="exact"/>
        <w:rPr>
          <w:sz w:val="20"/>
          <w:szCs w:val="20"/>
          <w:color w:val="auto"/>
        </w:rPr>
      </w:pPr>
    </w:p>
    <w:p>
      <w:pPr>
        <w:ind w:right="120" w:firstLine="8"/>
        <w:spacing w:after="0" w:line="255"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Foreign-related Surveys Measures</w:t>
      </w:r>
    </w:p>
    <w:p>
      <w:pPr>
        <w:spacing w:after="0" w:line="117"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(2017 version), only a domestic enterprise or a sino-foreign enterprise which meet the several requirements stipulated in the Foreign-related Surveys Measures can apply for license for the foreign-related survey.</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collect data of multiple kinds and from multiple sources through our consolidated subsidiaries in the PRC and Hong Kong. These data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include users’ search, browse, E-commerce and offline behavioral data, social data, demographic data, campaign performance data, and certain technical data,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our proprietary tracking tools, our marketers, publishers and ad exchanges in connection with marketing campaigns, and from collaboration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selected third-party data partners. Except for the general definitions of market surveys and social surveys defined in the Foreign-related Surveys Measures,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there is no further clarification or specific guidance on the characteristics and scope of “foreign-related surveys”. In the opinion of our PRC counsel,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Jingtian &amp; Gongcheng, the collection and use of data of our business do not fall within the scope of “foreign-related survey” and therefore we are not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obtain a foreign-related survey license under the Foreign-related Survey Measures as currently interpreted and enforced by the relevant PRC regulatory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authorities. However, in light of these uncertainties and out of prudence, we through OptAim Network, our VIE entity, applied for and were granted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foreign-related survey license on June 6, 2017 by the Chinese National Bureau of Statistics.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Intellectual Property Rights</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Computer Software Copyright</w:t>
      </w:r>
    </w:p>
    <w:p>
      <w:pPr>
        <w:spacing w:after="0" w:line="117"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w:t>
      </w:r>
    </w:p>
    <w:p>
      <w:pPr>
        <w:spacing w:after="0" w:line="117"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w:t>
      </w:r>
    </w:p>
    <w:p>
      <w:pPr>
        <w:spacing w:after="0" w:line="117"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Domain Name</w:t>
      </w:r>
    </w:p>
    <w:p>
      <w:pPr>
        <w:spacing w:after="0" w:line="117" w:lineRule="exact"/>
        <w:rPr>
          <w:sz w:val="20"/>
          <w:szCs w:val="20"/>
          <w:color w:val="auto"/>
        </w:rPr>
      </w:pPr>
    </w:p>
    <w:p>
      <w:pPr>
        <w:ind w:right="180" w:firstLine="913"/>
        <w:spacing w:after="0" w:line="254" w:lineRule="auto"/>
        <w:rPr>
          <w:sz w:val="20"/>
          <w:szCs w:val="20"/>
          <w:color w:val="auto"/>
        </w:rPr>
      </w:pPr>
      <w:r>
        <w:rPr>
          <w:rFonts w:ascii="Arial" w:cs="Arial" w:eastAsia="Arial" w:hAnsi="Arial"/>
          <w:sz w:val="18"/>
          <w:szCs w:val="18"/>
          <w:color w:val="auto"/>
        </w:rPr>
        <w:t>The Ministry of Industry and Information Technology promulgated the Measures on Administration of Internet Domain Names, or the Domain Name Measures, on August 24, 2017, which took effect on November 1, 2017 and replaced the Administrative Measures on China Internet Domain Name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 of such domain names upon the completion of the registration procedure.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Employment</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PRC Enterprise Income Tax</w:t>
      </w:r>
    </w:p>
    <w:p>
      <w:pPr>
        <w:spacing w:after="0" w:line="117" w:lineRule="exact"/>
        <w:rPr>
          <w:sz w:val="20"/>
          <w:szCs w:val="20"/>
          <w:color w:val="auto"/>
        </w:rPr>
      </w:pPr>
    </w:p>
    <w:p>
      <w:pPr>
        <w:ind w:right="180" w:firstLine="913"/>
        <w:spacing w:after="0" w:line="273" w:lineRule="auto"/>
        <w:rPr>
          <w:sz w:val="20"/>
          <w:szCs w:val="20"/>
          <w:color w:val="auto"/>
        </w:rPr>
      </w:pPr>
      <w:r>
        <w:rPr>
          <w:rFonts w:ascii="Arial" w:cs="Arial" w:eastAsia="Arial" w:hAnsi="Arial"/>
          <w:sz w:val="17"/>
          <w:szCs w:val="17"/>
          <w:color w:val="auto"/>
        </w:rPr>
        <w:t>PRC enterprise income tax is calculated based on taxable income, which is determined under (i) the PRC Enterprise Income Tax Law, promulgated by the National People’s Congress of China and implemented on 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78" w:lineRule="exact"/>
        <w:rPr>
          <w:sz w:val="20"/>
          <w:szCs w:val="20"/>
          <w:color w:val="auto"/>
        </w:rPr>
      </w:pPr>
    </w:p>
    <w:p>
      <w:pPr>
        <w:ind w:right="100" w:firstLine="913"/>
        <w:spacing w:after="0" w:line="289"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6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8"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for Share Transfers</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According to the Notice on Strengthening Administration of Enterprise Income Tax for Share Transfers by Non-Resident Enterprises, or Circular 698, promulgated by the SAT on December 10, 2009, which is replaced by the Circular on Issues of Tax Withholding regarding Non-PRC Resident Enterprise Income Tax, or Circular 37, promulgated by the SAT on October 17, 2017,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72"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There is uncertainty as to the application of Circular 37 and Circular 7. Circular 37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37 and Circular 7, and we may be required to expend valuable resources to comply with Circular 37 and Circular 7 or to establish that we should not be taxed under the general anti-avoidance rule of the EIT Law, which may have a material adverse effect on our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Added Tax</w:t>
      </w:r>
    </w:p>
    <w:p>
      <w:pPr>
        <w:spacing w:after="0" w:line="117"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Withholding Tax</w:t>
      </w:r>
    </w:p>
    <w:p>
      <w:pPr>
        <w:spacing w:after="0" w:line="117"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w:t>
      </w:r>
    </w:p>
    <w:p>
      <w:pPr>
        <w:spacing w:after="0" w:line="5" w:lineRule="exact"/>
        <w:rPr>
          <w:sz w:val="20"/>
          <w:szCs w:val="20"/>
          <w:color w:val="auto"/>
        </w:rPr>
      </w:pPr>
    </w:p>
    <w:p>
      <w:pPr>
        <w:ind w:right="60" w:firstLine="8"/>
        <w:spacing w:after="0" w:line="270" w:lineRule="auto"/>
        <w:tabs>
          <w:tab w:leader="none" w:pos="265" w:val="left"/>
        </w:tabs>
        <w:numPr>
          <w:ilvl w:val="0"/>
          <w:numId w:val="32"/>
        </w:numPr>
        <w:rPr>
          <w:rFonts w:ascii="Arial" w:cs="Arial" w:eastAsia="Arial" w:hAnsi="Arial"/>
          <w:sz w:val="17"/>
          <w:szCs w:val="17"/>
          <w:color w:val="auto"/>
        </w:rPr>
      </w:pPr>
      <w:r>
        <w:rPr>
          <w:rFonts w:ascii="Arial" w:cs="Arial" w:eastAsia="Arial" w:hAnsi="Arial"/>
          <w:sz w:val="17"/>
          <w:szCs w:val="17"/>
          <w:color w:val="auto"/>
        </w:rPr>
        <w:t>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79"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117"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Settlement and Overseas Remittance of Foreign-Invested Enterprises</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9"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913"/>
        <w:spacing w:after="0" w:line="257" w:lineRule="auto"/>
        <w:rPr>
          <w:sz w:val="20"/>
          <w:szCs w:val="20"/>
          <w:color w:val="auto"/>
        </w:rPr>
      </w:pPr>
      <w:r>
        <w:rPr>
          <w:rFonts w:ascii="Arial" w:cs="Arial" w:eastAsia="Arial" w:hAnsi="Arial"/>
          <w:sz w:val="18"/>
          <w:szCs w:val="18"/>
          <w:color w:val="auto"/>
        </w:rPr>
        <w:t>On January 12, 2017, the People’s Bank of China promulgated the Circular on Management of Cross-border Financing. According to this circular, an enterprise shall file the cross-border financing contracts for the record 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Outbound Investment and Financing and Roundtrip Investment</w:t>
      </w:r>
    </w:p>
    <w:p>
      <w:pPr>
        <w:spacing w:after="0" w:line="117"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Plans</w:t>
      </w:r>
    </w:p>
    <w:p>
      <w:pPr>
        <w:spacing w:after="0" w:line="117"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Dividend Distribution</w:t>
      </w:r>
    </w:p>
    <w:p>
      <w:pPr>
        <w:spacing w:after="0" w:line="117"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Investment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According to the Catalogue for the Guidance of Foreign Investment Industries (Revised in 2017), or the 2017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According to the 2017 Catalogue, market survey falls into the catalogue of restrictions, which means foreign investors can engage in businesses in this industry only through a sino-foreign enterprise, while social survey falls into the catalogue of prohibitions.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In January 2015, the MOFCOM published a consultation draft of PRC Foreign Investment Law for public review and comments. Among other things, the draft Foreign Investment Law expands the definition of foreign investment and introduces the principle of “actual control” in determining whether a company is considered an FIE. And “actual control” broadly defined in the Draft of PRC Foreign Investment Law including the following summarized categories: (i) holding, directly or indirectly, not less than 50% of shares, equities, share of voting rights or other similar rights of the subject entity;</w:t>
      </w:r>
    </w:p>
    <w:p>
      <w:pPr>
        <w:spacing w:after="0" w:line="2" w:lineRule="exact"/>
        <w:rPr>
          <w:sz w:val="20"/>
          <w:szCs w:val="20"/>
          <w:color w:val="auto"/>
        </w:rPr>
      </w:pPr>
    </w:p>
    <w:p>
      <w:pPr>
        <w:ind w:right="80" w:firstLine="8"/>
        <w:spacing w:after="0" w:line="254" w:lineRule="auto"/>
        <w:tabs>
          <w:tab w:leader="none" w:pos="2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holding, directly or indirectly, less than 50% of the voting rights of the subject entity but having the power to secure at least 50% of the seats on the board or other equivalent decision making bodies, or having the voting power to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w:t>
      </w:r>
    </w:p>
    <w:p>
      <w:pPr>
        <w:spacing w:after="0" w:line="19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Therefore, under the Draft Foreign Investment Law, variable interest entities would also be deemed as FIEs, if they are ultimately “controlled” by foreign investors and be subject to restrictions on foreign investments. As a result, their operation in the industry listed on the “catalogue of restrictions” without market entry clearance or on the “catalogue of prohibitions” may be considered as illegal. If this is the case, the variable interest entities would be ordered to terminate the related business and might subject to penalties, including confiscations, fines, and even criminal charges.</w:t>
      </w:r>
    </w:p>
    <w:p>
      <w:pPr>
        <w:spacing w:after="0" w:line="17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In addition, the Draft Foreign Investment Law imposes stringent ad hoc and periodic information reporting requirements on foreign investors and the applicable FIEs. Aside from an investment information report required at each investment or each investment alteration, it is mandatory for entities established by foreign investors to submit an annual report, and large foreign investors meeting certain criteria are required to report on a quarterly basis. Any company found to be non-compliant with these reporting obligations may potentially be subject to fines and/or administrative or criminal liabilities, and the persons directly responsible may be subject to criminal liabilities.</w:t>
      </w:r>
    </w:p>
    <w:p>
      <w:pPr>
        <w:spacing w:after="0" w:line="188"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Draft Foreign Investment Law has not taken a position on what actions will be taken with respect to the existing companies with a “variable interest entity” structure, whether or not these companies are controlled by Chinese parties. And it is also uncertain when the draft would be passed into law and whether the final version would have any substantial changes from this draft.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Organizational Structure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chart illustrates our company’s organizational structure, including our principal subsidiaries and consolidated affiliated entities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142875</wp:posOffset>
            </wp:positionV>
            <wp:extent cx="5196840" cy="52654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96840" cy="5265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60" w:right="160" w:hanging="452"/>
        <w:spacing w:after="0" w:line="308" w:lineRule="auto"/>
        <w:tabs>
          <w:tab w:leader="none" w:pos="460" w:val="left"/>
        </w:tabs>
        <w:numPr>
          <w:ilvl w:val="0"/>
          <w:numId w:val="34"/>
        </w:numPr>
        <w:rPr>
          <w:rFonts w:ascii="Arial" w:cs="Arial" w:eastAsia="Arial" w:hAnsi="Arial"/>
          <w:sz w:val="14"/>
          <w:szCs w:val="14"/>
          <w:color w:val="auto"/>
        </w:rPr>
      </w:pPr>
      <w:r>
        <w:rPr>
          <w:rFonts w:ascii="Arial" w:cs="Arial" w:eastAsia="Arial" w:hAnsi="Arial"/>
          <w:sz w:val="17"/>
          <w:szCs w:val="17"/>
          <w:color w:val="auto"/>
        </w:rPr>
        <w:t>The nominee shareholders of OptAim Network are Jie Jiao and Jian Tang, who hold 51% and 49% equity interests in OptAim Network, respectively. Jie Jiao is our chief financial officer, and Jian Tang is our co-founder, director, chief operating officer and chief technology officer.</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conduct substantially all our operations through the following consolidated subsidiaries:</w:t>
      </w:r>
    </w:p>
    <w:p>
      <w:pPr>
        <w:spacing w:after="0" w:line="90" w:lineRule="exact"/>
        <w:rPr>
          <w:sz w:val="20"/>
          <w:szCs w:val="20"/>
          <w:color w:val="auto"/>
        </w:rPr>
      </w:pPr>
    </w:p>
    <w:p>
      <w:pPr>
        <w:ind w:left="1480" w:right="160" w:hanging="446"/>
        <w:spacing w:after="0" w:line="27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iClick Interactive Asia Limited: primarily focusing on providing both mobile audience solutions and other solutions to Hong Kong and overseas clients</w:t>
      </w:r>
    </w:p>
    <w:p>
      <w:pPr>
        <w:spacing w:after="0" w:line="35" w:lineRule="exact"/>
        <w:rPr>
          <w:rFonts w:ascii="Arial" w:cs="Arial" w:eastAsia="Arial" w:hAnsi="Arial"/>
          <w:sz w:val="18"/>
          <w:szCs w:val="18"/>
          <w:color w:val="auto"/>
        </w:rPr>
      </w:pPr>
    </w:p>
    <w:p>
      <w:pPr>
        <w:ind w:left="1480" w:right="580" w:hanging="446"/>
        <w:spacing w:after="0" w:line="27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Tetris Media Limited and its subsidiary: primarily focusing on providing our other solutions to Hong Kong agency clients and its business are gradually being transferred to iClick Interactive Asia Limited</w:t>
      </w:r>
    </w:p>
    <w:p>
      <w:pPr>
        <w:spacing w:after="0" w:line="35" w:lineRule="exact"/>
        <w:rPr>
          <w:rFonts w:ascii="Arial" w:cs="Arial" w:eastAsia="Arial" w:hAnsi="Arial"/>
          <w:sz w:val="18"/>
          <w:szCs w:val="18"/>
          <w:color w:val="auto"/>
        </w:rPr>
      </w:pPr>
    </w:p>
    <w:p>
      <w:pPr>
        <w:ind w:left="1480" w:hanging="446"/>
        <w:spacing w:after="0"/>
        <w:tabs>
          <w:tab w:leader="none" w:pos="1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Performance Media Group Limited: primarily focusing on providing mobile audience solutions and other solutions to Hong Kong clients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459" w:right="2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4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China Search (Asia) Limited and its subsidiaries: promoting content distribution opportunities for the publisher under our sales agency arrangement</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iClick Interactive (Singapore) Pte. Ltd: primarily focusing on providing both mobile audience solutions and other solutions to Singapore and other overseas clients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iClick Interactive (Beijing) Advertisement Co., Ltd.: primarily focusing on providing our other solutions to PRC clients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Anhui Zhiyunzhong Information Technology Co., Ltd.: primarily focusing on providing mobile audience solutions to PRC clients</w:t>
      </w:r>
    </w:p>
    <w:p>
      <w:pPr>
        <w:spacing w:after="0" w:line="142" w:lineRule="exact"/>
        <w:rPr>
          <w:rFonts w:ascii="Arial" w:cs="Arial" w:eastAsia="Arial" w:hAnsi="Arial"/>
          <w:sz w:val="17"/>
          <w:szCs w:val="17"/>
          <w:color w:val="auto"/>
        </w:rPr>
      </w:pPr>
    </w:p>
    <w:p>
      <w:pPr>
        <w:ind w:left="1480" w:right="20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OptAim (Beijing) Information Technology Co. Ltd.: primarily focusing on providing mobile audience solutions to PRC clients through our VIE and the VIE’s subsidiary</w:t>
      </w:r>
    </w:p>
    <w:p>
      <w:pPr>
        <w:spacing w:after="0" w:line="75"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Beijing OptAim Network Technology Co., Ltd. which is our VIE, and its subsidiary: primarily focusing on providing mobile audience solutions to PRC clients</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We are in the process of transferring the business operated by our VIE, OptAim Network, to our wholly owned subsidiaries. We expect that by the end of 2018, OptAim (Beijing) Information Technology Co., Ltd. and its subsidiary will replace Beijing OptAim Network Technology Co., Ltd. as contracting party for all our mobile audience solution business that are operated by OptAim.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12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 We are in the process of transferring the business operated by our VIE, OptAim Network, to our wholly owned subsidiaries. We expect that by the end of 2018, OptAim Beijing and its subsidiary will replace OptAim Network as contracting party for all our mobile audience solution business that are operated by OptAim.</w:t>
      </w:r>
    </w:p>
    <w:p>
      <w:pPr>
        <w:spacing w:after="0" w:line="167"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 See “Item 3. Key Information—D. Risk Factors— Risk Related to Our Corporate Structure — We will need to continue to rely on the contractual arrangements that establish the structure for certain of our operations in China when and to the extent our operations are deemed as foreign-related survey.”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131" w:lineRule="exact"/>
        <w:rPr>
          <w:sz w:val="20"/>
          <w:szCs w:val="20"/>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 owned subsidiary, OptAim Network, our consolidated VIE, the shareholders of OptAim Network and Zhiyunzhong.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Equity Pledge Agreement</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Through powers of attorney dated May 26, 2017, each shareholder of OptAim Network irrevocably authorizes OptAim Beijing or any person(s) designated by OptAim Beijing to act as his or her attorney-in-fact to exercise all of such shareholder’s voting and other rights associated with the shareholder’s equity interest in OptAim Network, such as the right to appoint directors, supervisors and officers, as well as the right to sell, transfer, pledge and dispose of all or a portion of the shares held by such shareholder. The powers of attorney will remain in force unless OptAim Beijing gives out any instruction in writing otherwise. Once the powers of attorney are terminated in whole or in part, each shareholder shall revoke his/her power of attorney to OptAim Beijing and immediately sign another power of attorney with the person(s) designated by OptAim Beijing.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following second amended and restated exclusive call option agreement, the abovementioned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273" w:lineRule="exact"/>
        <w:rPr>
          <w:sz w:val="20"/>
          <w:szCs w:val="20"/>
          <w:color w:val="auto"/>
        </w:rPr>
      </w:pPr>
    </w:p>
    <w:p>
      <w:pPr>
        <w:ind w:right="4140"/>
        <w:spacing w:after="0" w:line="375" w:lineRule="auto"/>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 and Zhiyunzhong Exclusive Business Cooperation Agreement</w:t>
      </w:r>
    </w:p>
    <w:p>
      <w:pPr>
        <w:spacing w:after="0" w:line="1"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287" w:lineRule="exact"/>
        <w:rPr>
          <w:sz w:val="20"/>
          <w:szCs w:val="20"/>
          <w:color w:val="auto"/>
        </w:rPr>
      </w:pPr>
    </w:p>
    <w:p>
      <w:pPr>
        <w:ind w:right="4280"/>
        <w:spacing w:after="0" w:line="375" w:lineRule="auto"/>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 Second Amended and Restated Exclusive Call Option Agreement</w:t>
      </w:r>
    </w:p>
    <w:p>
      <w:pPr>
        <w:spacing w:after="0" w:line="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131" w:lineRule="exact"/>
        <w:rPr>
          <w:sz w:val="20"/>
          <w:szCs w:val="20"/>
          <w:color w:val="auto"/>
        </w:rPr>
      </w:pPr>
    </w:p>
    <w:p>
      <w:pPr>
        <w:ind w:left="1480" w:right="140" w:hanging="446"/>
        <w:spacing w:after="0" w:line="277"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will not result in any violation of applicable PRC laws or regulations currently in effect;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20" w:hanging="446"/>
        <w:spacing w:after="0" w:line="264" w:lineRule="auto"/>
        <w:tabs>
          <w:tab w:leader="none" w:pos="1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contractual arrangements among OptAim Beijing, OptAim Network, the shareholders of OptAim Network and Zhiyunzhong governed by PRC law are valid, binding and enforceable, and will not result in any violation of PRC laws or regulations currently in effect.</w:t>
      </w:r>
    </w:p>
    <w:p>
      <w:pPr>
        <w:spacing w:after="0" w:line="18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“Item 3. Key Information — D. Risk Factors — Risks Related to Our Corporate Structure — We will need to continue to rely on the contractual arrangements that establish the structure for certain of our operations in China when and to the extent our operations are deemed as foreign-related survey,” and “— Substantial uncertainties exist with respect to the enactment timetable, interpretation and implementation of draft PRC Foreign Investment Law and how it may impact the viability of our current corporate structure, corporate government and business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Property, Plant and Equipment</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Our headquarters and principal executive office are located in Hong Kong, in an approximately 1,500 square-meter facility, under certain lease agreements expiring on December 31, 2018. As of December 31, 2017, we leased approximately 2,900 square-meter office space in China located in Beijing, Shanghai, Shenzhen and Guangzhou, which primarily carry out the functions of technology and data engineering, sales and business development and operation support. Outside of China and Hong Kong, we also have subsidiaries or sales offices in Singapore, Taiwan and London.</w:t>
      </w:r>
    </w:p>
    <w:p>
      <w:pPr>
        <w:spacing w:after="0" w:line="154"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We lease all of our facilities and do not own any real property. Our leases will expire from 2017 to 2019. We believe that our current facilities are suitable and adequate to meet our current needs. If we require additional space, we expect to be able to obtain additional facilities on commercially reasonable terms.</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Operating Results</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131" w:lineRule="exact"/>
        <w:rPr>
          <w:sz w:val="20"/>
          <w:szCs w:val="20"/>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optimize client base and increase client spending;</w:t>
      </w:r>
    </w:p>
    <w:p>
      <w:pPr>
        <w:spacing w:after="0" w:line="130" w:lineRule="exact"/>
        <w:rPr>
          <w:rFonts w:ascii="Arial" w:cs="Arial" w:eastAsia="Arial" w:hAnsi="Arial"/>
          <w:sz w:val="18"/>
          <w:szCs w:val="18"/>
          <w:color w:val="auto"/>
        </w:rPr>
      </w:pPr>
    </w:p>
    <w:p>
      <w:pPr>
        <w:ind w:left="5620" w:right="2120" w:hanging="4586"/>
        <w:spacing w:after="0" w:line="449" w:lineRule="auto"/>
        <w:tabs>
          <w:tab w:leader="none" w:pos="14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 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117"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06"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audience solutions, which have resulted in a downward pricing pressure on our mobile audience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audience solutions. Furthermore, consistent with the general industry trends for online marketing on mobile channels and on non-mobile channels, an increasing percentage of marketing campaigns involving our mobile audience solutions were conducted on a specified action (i.e., gross) basis while an increasing percentage of marketing campaigns involving our other solutions were conducted on a cost-plus (i.e., net) basis in 2017 compared to 2016. See “— Key Operating and Financial Metrics — Net Revenues” and “— Key Factors Affecting Our Results — Our revenue models”. Therefore, gross profit margins for our mobile audience solutions were significantly lower than those for our other solutions for the same periods historically, and we expect the trend to continue. As a result, an increase in the percentage of revenue from our mobile audience solutions may have a positive impact on our gross billing and net revenues but a negative impact on our gross profit margin.</w:t>
      </w:r>
    </w:p>
    <w:p>
      <w:pPr>
        <w:spacing w:after="0" w:line="142" w:lineRule="exact"/>
        <w:rPr>
          <w:sz w:val="20"/>
          <w:szCs w:val="20"/>
          <w:color w:val="auto"/>
        </w:rPr>
      </w:pPr>
    </w:p>
    <w:p>
      <w:pPr>
        <w:ind w:right="320" w:firstLine="913"/>
        <w:spacing w:after="0" w:line="279" w:lineRule="auto"/>
        <w:rPr>
          <w:sz w:val="20"/>
          <w:szCs w:val="20"/>
          <w:color w:val="auto"/>
        </w:rPr>
      </w:pPr>
      <w:r>
        <w:rPr>
          <w:rFonts w:ascii="Arial" w:cs="Arial" w:eastAsia="Arial" w:hAnsi="Arial"/>
          <w:sz w:val="17"/>
          <w:szCs w:val="17"/>
          <w:color w:val="auto"/>
        </w:rPr>
        <w:t>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21.3%, 21.8% and 27.7% of our clients in 2015, 2016 and 2017, respectively.</w:t>
      </w:r>
    </w:p>
    <w:p>
      <w:pPr>
        <w:spacing w:after="0" w:line="131" w:lineRule="exact"/>
        <w:rPr>
          <w:sz w:val="20"/>
          <w:szCs w:val="20"/>
          <w:color w:val="auto"/>
        </w:rPr>
      </w:pPr>
    </w:p>
    <w:p>
      <w:pPr>
        <w:ind w:right="180" w:firstLine="913"/>
        <w:spacing w:after="0" w:line="279" w:lineRule="auto"/>
        <w:rPr>
          <w:sz w:val="20"/>
          <w:szCs w:val="20"/>
          <w:color w:val="auto"/>
        </w:rPr>
      </w:pPr>
      <w:r>
        <w:rPr>
          <w:rFonts w:ascii="Arial" w:cs="Arial" w:eastAsia="Arial" w:hAnsi="Arial"/>
          <w:sz w:val="17"/>
          <w:szCs w:val="17"/>
          <w:color w:val="auto"/>
        </w:rPr>
        <w:t>We do not currently own or control any of our content distribution channels. To further expand our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117" w:lineRule="exact"/>
        <w:rPr>
          <w:sz w:val="20"/>
          <w:szCs w:val="20"/>
          <w:color w:val="auto"/>
        </w:rPr>
      </w:pPr>
    </w:p>
    <w:p>
      <w:pPr>
        <w:ind w:right="260" w:firstLine="913"/>
        <w:spacing w:after="0" w:line="302" w:lineRule="auto"/>
        <w:rPr>
          <w:sz w:val="20"/>
          <w:szCs w:val="20"/>
          <w:color w:val="auto"/>
        </w:rPr>
      </w:pPr>
      <w:r>
        <w:rPr>
          <w:rFonts w:ascii="Arial" w:cs="Arial" w:eastAsia="Arial" w:hAnsi="Arial"/>
          <w:sz w:val="16"/>
          <w:szCs w:val="16"/>
          <w:color w:val="auto"/>
        </w:rPr>
        <w:t>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 Key Operating and Financial Metrics — Net Revenues” above for more details.</w:t>
      </w:r>
    </w:p>
    <w:p>
      <w:pPr>
        <w:spacing w:after="0" w:line="114"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Our mobile audience solutions, on one hand and other solutions, on the other hand,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Client Base and Increase Client Spending</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growth and profitability are dependent upon our ability to optimize client base and increase client’s marketing spend on our platform. We started a comprehensive review of our client base for other solutions in 2016 to focus on profitability and liquidity. For example, we terminated relationship with certain clients for our other solutions, which had relatively long account receivable cycles and yielded relatively low operating profit margins in 2016 and the first half of 2017. We have also been focused, and expect to continue our focus, on sales to direct marketer clients, which tend to command higher gross profit margin compared to agency clients, although as we continue to focus on the growth of our mobile audience solutions, we may, from time to time, prioritize on engaging with marketing agency clients, which may generate larger marketing spend per client compared to direct marketer clients. Furthermore, our growth and profitability also depend on our ability to attract more clients to our self-service model, and to further diversify our client base to capture the growth in additional industry verticals and geographic markets.</w:t>
      </w:r>
    </w:p>
    <w:p>
      <w:pPr>
        <w:spacing w:after="0" w:line="179"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Our ability to increase clients’ marketing spend on our platform depends on whether our solutions can effectively address clients’ evolving and diverse needs in a cost-efficient manner. To that end, we plan to develop and offer more tailored, innovative and user-friendly solutions and services and enhance our sales, marketing and account servicing efforts.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117"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6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87" w:lineRule="exact"/>
        <w:rPr>
          <w:sz w:val="20"/>
          <w:szCs w:val="20"/>
          <w:color w:val="auto"/>
        </w:rPr>
      </w:pPr>
    </w:p>
    <w:p>
      <w:pPr>
        <w:ind w:left="1480" w:hanging="446"/>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Zhiyunzhong;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Zhiyunzhong; and</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subsidiary for which we are the primary beneficiary. All transactions and balances among we, our subsidiaries, our VIE and the VIE’s subsidiary have been eliminated upon consolidation.</w:t>
      </w:r>
    </w:p>
    <w:p>
      <w:pPr>
        <w:spacing w:after="0" w:line="181" w:lineRule="exact"/>
        <w:rPr>
          <w:sz w:val="20"/>
          <w:szCs w:val="20"/>
          <w:color w:val="auto"/>
        </w:rPr>
      </w:pPr>
    </w:p>
    <w:p>
      <w:pPr>
        <w:ind w:right="440" w:firstLine="913"/>
        <w:spacing w:after="0" w:line="286" w:lineRule="auto"/>
        <w:rPr>
          <w:sz w:val="20"/>
          <w:szCs w:val="20"/>
          <w:color w:val="auto"/>
        </w:rPr>
      </w:pPr>
      <w:r>
        <w:rPr>
          <w:rFonts w:ascii="Arial" w:cs="Arial" w:eastAsia="Arial" w:hAnsi="Arial"/>
          <w:sz w:val="17"/>
          <w:szCs w:val="17"/>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66"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subsidiary, and has been determined to be the primary beneficiary of the VIE.</w:t>
      </w:r>
    </w:p>
    <w:p>
      <w:pPr>
        <w:spacing w:after="0" w:line="173"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subsidiary amounting to</w:t>
      </w:r>
    </w:p>
    <w:p>
      <w:pPr>
        <w:ind w:right="40"/>
        <w:spacing w:after="0" w:line="255" w:lineRule="auto"/>
        <w:rPr>
          <w:sz w:val="20"/>
          <w:szCs w:val="20"/>
          <w:color w:val="auto"/>
        </w:rPr>
      </w:pPr>
      <w:r>
        <w:rPr>
          <w:rFonts w:ascii="Arial" w:cs="Arial" w:eastAsia="Arial" w:hAnsi="Arial"/>
          <w:sz w:val="18"/>
          <w:szCs w:val="18"/>
          <w:color w:val="auto"/>
        </w:rPr>
        <w:t>US$2.1 million and US$2.1 million, respectively, as of December 31, 2015 and 2016. As the VIE was incorporated as limited liability company under the PRC Company Law, the creditors do not have recourse to the general credit of the Company for all the liabilities of the VIE. Currently there is no contractual arrangement that could require us to provide additional financial support to the VIE.</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87" w:lineRule="exact"/>
        <w:rPr>
          <w:sz w:val="20"/>
          <w:szCs w:val="20"/>
          <w:color w:val="auto"/>
        </w:rPr>
      </w:pPr>
    </w:p>
    <w:p>
      <w:pPr>
        <w:ind w:right="620" w:firstLine="913"/>
        <w:spacing w:after="0" w:line="342" w:lineRule="auto"/>
        <w:rPr>
          <w:sz w:val="20"/>
          <w:szCs w:val="20"/>
          <w:color w:val="auto"/>
        </w:rPr>
      </w:pPr>
      <w:r>
        <w:rPr>
          <w:rFonts w:ascii="Arial" w:cs="Arial" w:eastAsia="Arial" w:hAnsi="Arial"/>
          <w:sz w:val="16"/>
          <w:szCs w:val="16"/>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117"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We completed business combinations during 2015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2016 and 2017.</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Our services are the provisions of online marketing services. We derive revenue from these services based on the specific terms of the contracts which are (i) agreed incentive to be earned for being a sales agent of a publisher, (ii) cost-plus, or (iii) specified actions (i.e. CPM, CPC, CPA, CPS, CPL or ROI). Our revenue is presented either on a gross or net basis which is further discussed below.</w:t>
      </w:r>
    </w:p>
    <w:p>
      <w:pPr>
        <w:spacing w:after="0" w:line="181" w:lineRule="exact"/>
        <w:rPr>
          <w:sz w:val="20"/>
          <w:szCs w:val="20"/>
          <w:color w:val="auto"/>
        </w:rPr>
      </w:pPr>
    </w:p>
    <w:p>
      <w:pPr>
        <w:jc w:val="both"/>
        <w:ind w:right="180" w:firstLine="913"/>
        <w:spacing w:after="0" w:line="291" w:lineRule="auto"/>
        <w:rPr>
          <w:sz w:val="20"/>
          <w:szCs w:val="20"/>
          <w:color w:val="auto"/>
        </w:rPr>
      </w:pPr>
      <w:r>
        <w:rPr>
          <w:rFonts w:ascii="Arial" w:cs="Arial" w:eastAsia="Arial" w:hAnsi="Arial"/>
          <w:sz w:val="16"/>
          <w:szCs w:val="16"/>
          <w:color w:val="auto"/>
        </w:rPr>
        <w:t>We recognize revenue when four basic criteria are met: (1) persuasive evidence of an arrangement with the customer exists reflecting the terms and conditions under which the services will be provided; (2) services have been provided or delivery has occurred; (3) the fee is fixed or determinable; and</w:t>
      </w:r>
    </w:p>
    <w:p>
      <w:pPr>
        <w:jc w:val="both"/>
        <w:ind w:right="80" w:firstLine="8"/>
        <w:spacing w:after="0" w:line="255" w:lineRule="auto"/>
        <w:tabs>
          <w:tab w:leader="none" w:pos="2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 Revenues are recorded net of value-added taxes and surcharges.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agent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the arrangement with a particular publisher, we act as a sales agent for this publisher by having marketing clients market with this publisher. In return, we earn incentives from this publisher based on contractually stipulated amounts once certain spending thresholds are achieved. We consider this particular publisher as our customer and record such incentives as net revenues. Incentives from this publisher are calculated on both a quarterly and an annual basis in accordance with the terms as listed in the arrangement.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For cost-plus advertisement campaigns, sales are valued at the fair value of the amount received. Discounts granted to clients under cost-plus marketing campaigns, along with free or extended marketing campaigns, are recorded as a deduction from revenue. In the normal course of business, we act as an intermediary in executing transactions with third parties, specifically, we are not the principal in executing these transactions as we are acting on behalf of the website publishers.</w:t>
      </w:r>
    </w:p>
    <w:p>
      <w:pPr>
        <w:spacing w:after="0" w:line="18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determination of whether revenue should be reported on a gross or net basis is based on an assessment of whether we are acting as the principal or an agent in our transactions. In determining whether we act as the principal or an agent, we follow the accounting guidance for principal-agent considerations. The determination of whether we are acting as a principal or an agent in a transaction involves judgment and is based on an evaluation of the terms of each arrangement. While none of the factors individually are considered presumptive or determinative, because we are facilitating the customers and the publishers to purchase and to sell advertising inventory and the pricing is generally restricted by the costs incurred through purchasing the advertising inventory, we conclude that we are not the principal in these arrangements and therefore report revenue earned and costs incurred related to these transaction on a net basis.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117"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we are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 (4) performing all billing and collection activities, including retaining credit risk; and (5) bearing sole responsibility for fulfillment of the advertising, the Group acts as the principal of these arrangements and therefore reports revenue earned and costs incurred related to these transactions on a gross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Throughout the various services delivered to our clients under the cost-plus and specified action arrangements, we earn rebates from our publishers and grant rebates to clients. The rebates we grant to clients under cost-plus/specified actions arrangement are recorded as deduction from revenue and are recorded based on the amount our customers would ultimately need to spend to earn the corresponding level of rebates. We are also able to reasonably estimate the spending our customers can ultimately achieve based on the historical spending patterns of our customers with similar arrangements. The rebates we receive from our publishers under the cost-plus and specified action arrangements are recorded as reduction of cost of revenue under the specified actions arrangement while under the cost-plus arrangement, they are recorded as revenue. These rebates are recognized when a particular milestone is achieved (i.e. applying the relevant rebates based on the level of spending threshold actually achieved) and spending has actually occurred. Furthermore, no rebates has been received from the publisher under the sales agent arrangement.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Under the sales agent arrangement, we grant rebates to our clients under this arrangement. The majority of the clients under our sales agent arrangement are not our customers under either the cost-plus arrangement or specified action arrangement. We record rebates granted to clients under the sales agent arrangement as cost of revenues as (i) we consider these rebates are for an identifiable benefit that is separable from the clients’ purchase of our services and (ii) we are able to reasonably estimate the fair value of the benefit received from granting these rebates.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Ordinary Shares, Preferred Shares and Share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Preferred Shares</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Prior to our initial public offering in December 2017, we were a private company with no quoted market prices for our ordinary shares. We therefore needed to make estimates of the fair value at various dates. In determining fair value of our preferred shares, we, with the assistance of independent appraisers, adopted a two-step method as follows: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Step 1: to derive the fair value of total equity by adopting the discounted cash flow (“DCF”) Method;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Step 2: based on the total equity value derived in step 1, to derive the fair value of each class of shares by adopting equity allocation method.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Total Equity</w:t>
      </w:r>
    </w:p>
    <w:p>
      <w:pPr>
        <w:spacing w:after="0" w:line="11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7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profit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table below sets forth the fair value of total equity as of January 1, 2015, August 1, 2015, December 31, 2015, December 28, 2016,</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2017, June 30, 2017 and September 30, 2017 respectively:</w:t>
      </w:r>
    </w:p>
    <w:p>
      <w:pPr>
        <w:spacing w:after="0" w:line="22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620" w:type="dxa"/>
            <w:vAlign w:val="bottom"/>
          </w:tcPr>
          <w:p>
            <w:pPr>
              <w:spacing w:after="0"/>
              <w:rPr>
                <w:sz w:val="14"/>
                <w:szCs w:val="14"/>
                <w:color w:val="auto"/>
              </w:rPr>
            </w:pPr>
          </w:p>
        </w:tc>
        <w:tc>
          <w:tcPr>
            <w:tcW w:w="5140" w:type="dxa"/>
            <w:vAlign w:val="bottom"/>
            <w:gridSpan w:val="3"/>
          </w:tcPr>
          <w:p>
            <w:pPr>
              <w:jc w:val="right"/>
              <w:ind w:right="6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in millions</w:t>
            </w: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4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August 1, 2015</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6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6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December 28, 2016</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60" w:type="dxa"/>
            <w:vAlign w:val="bottom"/>
            <w:shd w:val="clear" w:color="auto" w:fill="CCEEFF"/>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June 30, 2017</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566</w:t>
            </w:r>
          </w:p>
        </w:tc>
        <w:tc>
          <w:tcPr>
            <w:tcW w:w="6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60" w:type="dxa"/>
            <w:vAlign w:val="bottom"/>
            <w:shd w:val="clear" w:color="auto" w:fill="CCEEFF"/>
          </w:tcPr>
          <w:p>
            <w:pPr>
              <w:spacing w:after="0"/>
              <w:rPr>
                <w:sz w:val="18"/>
                <w:szCs w:val="18"/>
                <w:color w:val="auto"/>
              </w:rPr>
            </w:pPr>
          </w:p>
        </w:tc>
      </w:tr>
      <w:tr>
        <w:trPr>
          <w:trHeight w:val="365"/>
        </w:trPr>
        <w:tc>
          <w:tcPr>
            <w:tcW w:w="2620" w:type="dxa"/>
            <w:vAlign w:val="bottom"/>
          </w:tcPr>
          <w:p>
            <w:pPr>
              <w:spacing w:after="0"/>
              <w:rPr>
                <w:sz w:val="24"/>
                <w:szCs w:val="24"/>
                <w:color w:val="auto"/>
              </w:rPr>
            </w:pPr>
          </w:p>
        </w:tc>
        <w:tc>
          <w:tcPr>
            <w:tcW w:w="4140" w:type="dxa"/>
            <w:vAlign w:val="bottom"/>
          </w:tcPr>
          <w:p>
            <w:pPr>
              <w:jc w:val="right"/>
              <w:ind w:right="2712"/>
              <w:spacing w:after="0"/>
              <w:rPr>
                <w:sz w:val="20"/>
                <w:szCs w:val="20"/>
                <w:color w:val="auto"/>
              </w:rPr>
            </w:pPr>
            <w:r>
              <w:rPr>
                <w:rFonts w:ascii="Arial" w:cs="Arial" w:eastAsia="Arial" w:hAnsi="Arial"/>
                <w:sz w:val="18"/>
                <w:szCs w:val="18"/>
                <w:color w:val="auto"/>
              </w:rPr>
              <w:t>76</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other major assumptions used in calculating the fair value of total equity include:</w:t>
      </w:r>
    </w:p>
    <w:p>
      <w:pPr>
        <w:spacing w:after="0" w:line="225" w:lineRule="exact"/>
        <w:rPr>
          <w:sz w:val="20"/>
          <w:szCs w:val="20"/>
          <w:color w:val="auto"/>
        </w:rPr>
      </w:pPr>
    </w:p>
    <w:p>
      <w:pPr>
        <w:ind w:right="180" w:firstLine="913"/>
        <w:spacing w:after="0" w:line="286" w:lineRule="auto"/>
        <w:rPr>
          <w:sz w:val="20"/>
          <w:szCs w:val="20"/>
          <w:color w:val="auto"/>
        </w:rPr>
      </w:pPr>
      <w:r>
        <w:rPr>
          <w:rFonts w:ascii="Arial" w:cs="Arial" w:eastAsia="Arial" w:hAnsi="Arial"/>
          <w:sz w:val="16"/>
          <w:szCs w:val="16"/>
          <w:i w:val="1"/>
          <w:iCs w:val="1"/>
          <w:color w:val="auto"/>
        </w:rPr>
        <w:t xml:space="preserve">Weighted average cost of capital, or WACC. </w:t>
      </w:r>
      <w:r>
        <w:rPr>
          <w:rFonts w:ascii="Arial" w:cs="Arial" w:eastAsia="Arial" w:hAnsi="Arial"/>
          <w:sz w:val="16"/>
          <w:szCs w:val="16"/>
          <w:color w:val="auto"/>
        </w:rPr>
        <w:t>Our cash flows were discounted to present value using discount rates that reflect the risks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16.1%, 16.2%, 18.3%, 18.0%, 17.8% and 18.2% for January 1, 2015, August 1, 2015, December 31, 2015, December 28, 2016, March 31, 2017,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2017 and September 30, 2017, respectively.</w:t>
      </w:r>
    </w:p>
    <w:p>
      <w:pPr>
        <w:spacing w:after="0" w:line="211" w:lineRule="exact"/>
        <w:rPr>
          <w:sz w:val="20"/>
          <w:szCs w:val="20"/>
          <w:color w:val="auto"/>
        </w:rPr>
      </w:pPr>
    </w:p>
    <w:p>
      <w:pPr>
        <w:ind w:right="820" w:firstLine="913"/>
        <w:spacing w:after="0" w:line="277" w:lineRule="auto"/>
        <w:rPr>
          <w:sz w:val="20"/>
          <w:szCs w:val="20"/>
          <w:color w:val="auto"/>
        </w:rPr>
      </w:pPr>
      <w:r>
        <w:rPr>
          <w:rFonts w:ascii="Arial" w:cs="Arial" w:eastAsia="Arial" w:hAnsi="Arial"/>
          <w:sz w:val="18"/>
          <w:szCs w:val="18"/>
          <w:i w:val="1"/>
          <w:iCs w:val="1"/>
          <w:color w:val="auto"/>
        </w:rPr>
        <w:t xml:space="preserve">Comparable companies. </w:t>
      </w:r>
      <w:r>
        <w:rPr>
          <w:rFonts w:ascii="Arial" w:cs="Arial" w:eastAsia="Arial" w:hAnsi="Arial"/>
          <w:sz w:val="18"/>
          <w:szCs w:val="18"/>
          <w:color w:val="auto"/>
        </w:rPr>
        <w:t>In deriving the WACCs, which are used as the discount rates under the income approach, four publicly traded</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 the U.S. were selected for reference as our guideline companies.</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At the time of each issuance, we were a closely-held company and there was no public market for</w:t>
      </w:r>
      <w:r>
        <w:rPr>
          <w:rFonts w:ascii="Arial" w:cs="Arial" w:eastAsia="Arial" w:hAnsi="Arial"/>
          <w:sz w:val="17"/>
          <w:szCs w:val="17"/>
          <w:i w:val="1"/>
          <w:iCs w:val="1"/>
          <w:color w:val="auto"/>
        </w:rPr>
        <w:t xml:space="preserve"> </w:t>
      </w:r>
      <w:r>
        <w:rPr>
          <w:rFonts w:ascii="Arial" w:cs="Arial" w:eastAsia="Arial" w:hAnsi="Arial"/>
          <w:sz w:val="17"/>
          <w:szCs w:val="17"/>
          <w:color w:val="auto"/>
        </w:rPr>
        <w:t>our 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19.2%, 9.6%, 5.7% and 3.9% for January 1, 2015, August 1, 2015, December 31, 2015, December 28, 2016, March 31, 2017, June 30, 2017 and September 30, 2017,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Factors Contributing to the Difference in Fair Value Determined of Total Equity</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determined fair value of total equity increased from US$324.6 million as of January 1, 2015 to US$485.4 million as of August 1, 2015, decrease to US$478.0 million as of December 31, 2015 and further to US$440.8 million as of December 31, 2016, and increase to US$513.5 million as of March 31, 2017 and further to US$566.2 million as of June 30, 2017, and decrease to US$520.8 million as of September 30, 2017. We believe the change in the fair value of our total equity was primarily attributable to the following factors:</w:t>
      </w:r>
    </w:p>
    <w:p>
      <w:pPr>
        <w:spacing w:after="0" w:line="187" w:lineRule="exact"/>
        <w:rPr>
          <w:sz w:val="20"/>
          <w:szCs w:val="20"/>
          <w:color w:val="auto"/>
        </w:rPr>
      </w:pPr>
    </w:p>
    <w:p>
      <w:pPr>
        <w:ind w:right="220" w:firstLine="913"/>
        <w:spacing w:after="0" w:line="293" w:lineRule="auto"/>
        <w:rPr>
          <w:sz w:val="20"/>
          <w:szCs w:val="20"/>
          <w:color w:val="auto"/>
        </w:rPr>
      </w:pPr>
      <w:r>
        <w:rPr>
          <w:rFonts w:ascii="Arial" w:cs="Arial" w:eastAsia="Arial" w:hAnsi="Arial"/>
          <w:sz w:val="16"/>
          <w:szCs w:val="16"/>
          <w:color w:val="auto"/>
        </w:rPr>
        <w:t>The increase of equity value from January 2015 to August 2015 was mainly attributable to the acquisition of OptAim. Our equity values have remained fairly stable from August 2015 to December 2016 and certain fluctuation is attributable to the changes in discount rate as a result of the change in market data adopted in the CAPM model for derivation of WACC (i.e. increase in risk-free rates and unlevered beta of comparable companies has been observed by end of 2015 and 2016). The increase of equity value from December 2016 to June 2017 was attributed to the decrease in lack of marketability discount as a result of the closer timing of the expected initial public offering. The decrease from June 2017 was as a result of the increase in WACC and update on financial projections as of September 30, 2017 to align with our actual performance up to the Valuation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Preferred Shares</w:t>
      </w:r>
    </w:p>
    <w:p>
      <w:pPr>
        <w:spacing w:after="0" w:line="11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Based on the total equity value as determined by step 1, we, with the assistance of independent appraisers, adopted the Equity Allocation Model, which was referenced to the “Practice Aid Valuation of Privately Held Company Equity Securities Issued as Compensation” issued by the AICPA in 2013, to allocate the equity value of the Company to different class of shares.</w:t>
      </w:r>
    </w:p>
    <w:p>
      <w:pPr>
        <w:spacing w:after="0" w:line="18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We have six classes of shares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87"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key assumptions used in the equity allocation model with contingent claim to allocate the total equity value under the liquidation scenario and redemption scenario include:</w:t>
      </w:r>
    </w:p>
    <w:p>
      <w:pPr>
        <w:spacing w:after="0" w:line="76" w:lineRule="exact"/>
        <w:rPr>
          <w:sz w:val="20"/>
          <w:szCs w:val="20"/>
          <w:color w:val="auto"/>
        </w:rPr>
      </w:pPr>
    </w:p>
    <w:p>
      <w:pPr>
        <w:ind w:left="1480" w:hanging="446"/>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Current equity value. </w:t>
      </w:r>
      <w:r>
        <w:rPr>
          <w:rFonts w:ascii="Arial" w:cs="Arial" w:eastAsia="Arial" w:hAnsi="Arial"/>
          <w:sz w:val="18"/>
          <w:szCs w:val="18"/>
          <w:color w:val="auto"/>
        </w:rPr>
        <w:t>Current equity value is determined as the total equity value derived by step 1;</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Life to expiration. </w:t>
      </w:r>
      <w:r>
        <w:rPr>
          <w:rFonts w:ascii="Arial" w:cs="Arial" w:eastAsia="Arial" w:hAnsi="Arial"/>
          <w:sz w:val="18"/>
          <w:szCs w:val="18"/>
          <w:color w:val="auto"/>
        </w:rPr>
        <w:t>Life to expiration is determined based on the remaining contractual life of each class of preferred shares;</w:t>
      </w:r>
    </w:p>
    <w:p>
      <w:pPr>
        <w:spacing w:after="0" w:line="130" w:lineRule="exact"/>
        <w:rPr>
          <w:rFonts w:ascii="Arial" w:cs="Arial" w:eastAsia="Arial" w:hAnsi="Arial"/>
          <w:sz w:val="18"/>
          <w:szCs w:val="18"/>
          <w:color w:val="auto"/>
        </w:rPr>
      </w:pPr>
    </w:p>
    <w:p>
      <w:pPr>
        <w:ind w:left="1480" w:right="420" w:hanging="446"/>
        <w:spacing w:after="0" w:line="277" w:lineRule="auto"/>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Risk free interest rate is determined based on the yield of U.S. Treasury Strips with a maturity life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to expiration;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determined based on our comparable companies.</w:t>
      </w:r>
    </w:p>
    <w:p>
      <w:pPr>
        <w:spacing w:after="0" w:line="22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December 28, 2016, March 31, 2017, June 30, 2017 and September 30, 2017, respectively:</w:t>
      </w:r>
    </w:p>
    <w:p>
      <w:pPr>
        <w:spacing w:after="0" w:line="19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5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5"/>
              </w:rPr>
              <w:t>Liquidation</w:t>
            </w:r>
          </w:p>
        </w:tc>
        <w:tc>
          <w:tcPr>
            <w:tcW w:w="158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3"/>
              </w:rPr>
              <w:t>Redemption</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Conversion</w:t>
            </w:r>
          </w:p>
        </w:tc>
      </w:tr>
      <w:tr>
        <w:trPr>
          <w:trHeight w:val="171"/>
        </w:trPr>
        <w:tc>
          <w:tcPr>
            <w:tcW w:w="55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Scenario</w:t>
            </w:r>
          </w:p>
        </w:tc>
        <w:tc>
          <w:tcPr>
            <w:tcW w:w="8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8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200" w:type="dxa"/>
            <w:vAlign w:val="bottom"/>
            <w:tcBorders>
              <w:bottom w:val="single" w:sz="8" w:color="CCEEFF"/>
            </w:tcBorders>
          </w:tcPr>
          <w:p>
            <w:pPr>
              <w:spacing w:after="0"/>
              <w:rPr>
                <w:sz w:val="14"/>
                <w:szCs w:val="14"/>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August 1, 2015</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December 28, 2016</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5.0%</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June 30, 2017</w:t>
            </w: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5.0%</w:t>
            </w: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5.0%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The table below sets forth the fair value of ordinary shares and preferred shares as of January 1, 2015, August 1, 2015, December 31, 2015, December 28, 2016, March 31, 2017, June 30, 2017 and September 30, 2017,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Preferred Shares</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Ordinary</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6"/>
              </w:rPr>
              <w:t>Series - A</w:t>
            </w:r>
          </w:p>
        </w:tc>
        <w:tc>
          <w:tcPr>
            <w:tcW w:w="88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Series - B</w:t>
            </w:r>
          </w:p>
        </w:tc>
        <w:tc>
          <w:tcPr>
            <w:tcW w:w="12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Series - C</w:t>
            </w:r>
          </w:p>
        </w:tc>
        <w:tc>
          <w:tcPr>
            <w:tcW w:w="9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Series - D</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Series - E</w:t>
            </w:r>
          </w:p>
        </w:tc>
        <w:tc>
          <w:tcPr>
            <w:tcW w:w="42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20" w:type="dxa"/>
            <w:vAlign w:val="bottom"/>
            <w:gridSpan w:val="2"/>
          </w:tcPr>
          <w:p>
            <w:pPr>
              <w:jc w:val="right"/>
              <w:ind w:right="412"/>
              <w:spacing w:after="0" w:line="142" w:lineRule="exact"/>
              <w:rPr>
                <w:sz w:val="20"/>
                <w:szCs w:val="20"/>
                <w:color w:val="auto"/>
              </w:rPr>
            </w:pPr>
            <w:r>
              <w:rPr>
                <w:rFonts w:ascii="Arial" w:cs="Arial" w:eastAsia="Arial" w:hAnsi="Arial"/>
                <w:sz w:val="14"/>
                <w:szCs w:val="14"/>
                <w:b w:val="1"/>
                <w:bCs w:val="1"/>
                <w:color w:val="auto"/>
              </w:rPr>
              <w:t>(US$ in millions)</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12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23</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August 1, 2015</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48</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20" w:type="dxa"/>
            <w:vAlign w:val="bottom"/>
          </w:tcPr>
          <w:p>
            <w:pPr>
              <w:jc w:val="right"/>
              <w:ind w:right="235"/>
              <w:spacing w:after="0"/>
              <w:rPr>
                <w:sz w:val="20"/>
                <w:szCs w:val="20"/>
                <w:color w:val="auto"/>
              </w:rPr>
            </w:pPr>
            <w:r>
              <w:rPr>
                <w:rFonts w:ascii="Arial" w:cs="Arial" w:eastAsia="Arial" w:hAnsi="Arial"/>
                <w:sz w:val="18"/>
                <w:szCs w:val="18"/>
                <w:color w:val="auto"/>
              </w:rPr>
              <w:t>31</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32</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December 28, 2016</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20" w:type="dxa"/>
            <w:vAlign w:val="bottom"/>
          </w:tcPr>
          <w:p>
            <w:pPr>
              <w:jc w:val="right"/>
              <w:ind w:right="235"/>
              <w:spacing w:after="0"/>
              <w:rPr>
                <w:sz w:val="20"/>
                <w:szCs w:val="20"/>
                <w:color w:val="auto"/>
              </w:rPr>
            </w:pPr>
            <w:r>
              <w:rPr>
                <w:rFonts w:ascii="Arial" w:cs="Arial" w:eastAsia="Arial" w:hAnsi="Arial"/>
                <w:sz w:val="18"/>
                <w:szCs w:val="18"/>
                <w:color w:val="auto"/>
              </w:rPr>
              <w:t>29</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49</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32</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June 30, 2017</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54</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220" w:type="dxa"/>
            <w:vAlign w:val="bottom"/>
          </w:tcPr>
          <w:p>
            <w:pPr>
              <w:jc w:val="right"/>
              <w:ind w:right="235"/>
              <w:spacing w:after="0"/>
              <w:rPr>
                <w:sz w:val="20"/>
                <w:szCs w:val="20"/>
                <w:color w:val="auto"/>
              </w:rPr>
            </w:pPr>
            <w:r>
              <w:rPr>
                <w:rFonts w:ascii="Arial" w:cs="Arial" w:eastAsia="Arial" w:hAnsi="Arial"/>
                <w:sz w:val="18"/>
                <w:szCs w:val="18"/>
                <w:color w:val="auto"/>
              </w:rPr>
              <w:t>35</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58</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32</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We grant share options to eligible employees and account for these share-based awards in accordance with ASC 718 Compensation Stock Compensation.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79"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The binomial option pricing model is used to determine the fair value of the share options granted to employees and non-employees. The fair values of share options granted during the years ended December 31, 2015, 2016 and 2017 were estimated using the following assumptions: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Risk-free interest</w:t>
            </w:r>
          </w:p>
        </w:tc>
        <w:tc>
          <w:tcPr>
            <w:tcW w:w="106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Dividend yield(</w:t>
            </w:r>
            <w:r>
              <w:rPr>
                <w:rFonts w:ascii="Arial" w:cs="Arial" w:eastAsia="Arial" w:hAnsi="Arial"/>
                <w:sz w:val="12"/>
                <w:szCs w:val="12"/>
                <w:b w:val="1"/>
                <w:bCs w:val="1"/>
                <w:color w:val="auto"/>
                <w:w w:val="91"/>
              </w:rPr>
              <w:t>2</w:t>
            </w:r>
            <w:r>
              <w:rPr>
                <w:rFonts w:ascii="Arial" w:cs="Arial" w:eastAsia="Arial" w:hAnsi="Arial"/>
                <w:sz w:val="14"/>
                <w:szCs w:val="14"/>
                <w:b w:val="1"/>
                <w:bCs w:val="1"/>
                <w:color w:val="auto"/>
                <w:w w:val="91"/>
              </w:rPr>
              <w:t>)</w:t>
            </w:r>
          </w:p>
        </w:tc>
        <w:tc>
          <w:tcPr>
            <w:tcW w:w="280" w:type="dxa"/>
            <w:vAlign w:val="bottom"/>
            <w:vMerge w:val="restart"/>
          </w:tcPr>
          <w:p>
            <w:pPr>
              <w:spacing w:after="0"/>
              <w:rPr>
                <w:sz w:val="14"/>
                <w:szCs w:val="14"/>
                <w:color w:val="auto"/>
              </w:rPr>
            </w:pPr>
          </w:p>
        </w:tc>
        <w:tc>
          <w:tcPr>
            <w:tcW w:w="10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Volatility rate(</w:t>
            </w:r>
            <w:r>
              <w:rPr>
                <w:rFonts w:ascii="Arial" w:cs="Arial" w:eastAsia="Arial" w:hAnsi="Arial"/>
                <w:sz w:val="12"/>
                <w:szCs w:val="12"/>
                <w:b w:val="1"/>
                <w:bCs w:val="1"/>
                <w:color w:val="auto"/>
                <w:w w:val="94"/>
              </w:rPr>
              <w:t>3</w:t>
            </w:r>
            <w:r>
              <w:rPr>
                <w:rFonts w:ascii="Arial" w:cs="Arial" w:eastAsia="Arial" w:hAnsi="Arial"/>
                <w:sz w:val="14"/>
                <w:szCs w:val="14"/>
                <w:b w:val="1"/>
                <w:bCs w:val="1"/>
                <w:color w:val="auto"/>
                <w:w w:val="94"/>
              </w:rPr>
              <w:t>)</w:t>
            </w:r>
          </w:p>
        </w:tc>
        <w:tc>
          <w:tcPr>
            <w:tcW w:w="280" w:type="dxa"/>
            <w:vAlign w:val="bottom"/>
            <w:vMerge w:val="restart"/>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Expected term</w:t>
            </w:r>
          </w:p>
        </w:tc>
        <w:tc>
          <w:tcPr>
            <w:tcW w:w="0" w:type="dxa"/>
            <w:vAlign w:val="bottom"/>
          </w:tcPr>
          <w:p>
            <w:pPr>
              <w:spacing w:after="0"/>
              <w:rPr>
                <w:sz w:val="1"/>
                <w:szCs w:val="1"/>
                <w:color w:val="auto"/>
              </w:rPr>
            </w:pPr>
          </w:p>
        </w:tc>
      </w:tr>
      <w:tr>
        <w:trPr>
          <w:trHeight w:val="171"/>
        </w:trPr>
        <w:tc>
          <w:tcPr>
            <w:tcW w:w="5560" w:type="dxa"/>
            <w:vAlign w:val="bottom"/>
            <w:tcBorders>
              <w:bottom w:val="single" w:sz="8" w:color="CCEEFF"/>
            </w:tcBorders>
            <w:gridSpan w:val="2"/>
            <w:vMerge w:val="continue"/>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rate(</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years)(</w:t>
            </w:r>
            <w:r>
              <w:rPr>
                <w:rFonts w:ascii="Arial" w:cs="Arial" w:eastAsia="Arial" w:hAnsi="Arial"/>
                <w:sz w:val="12"/>
                <w:szCs w:val="12"/>
                <w:b w:val="1"/>
                <w:bCs w:val="1"/>
                <w:color w:val="auto"/>
              </w:rPr>
              <w:t>4</w:t>
            </w: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1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0.09%</w:t>
            </w:r>
          </w:p>
        </w:tc>
        <w:tc>
          <w:tcPr>
            <w:tcW w:w="1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47.34%</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January 1, 2015</w:t>
            </w:r>
          </w:p>
        </w:tc>
        <w:tc>
          <w:tcPr>
            <w:tcW w:w="1340" w:type="dxa"/>
            <w:vAlign w:val="bottom"/>
            <w:gridSpan w:val="2"/>
            <w:vMerge w:val="continue"/>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January 1, 2015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2.37%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53.47%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2015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52.87%</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6, 2015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July 6, 2015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2.58%</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52.64%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52.78%</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55.54%</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49.37%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50.52%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April 1, 2017</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50.79%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47.59%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5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460" w:right="42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expected term is developed by assuming the share options will be exercised towards the end of maturity dates.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Our Acquisition of OptAim</w:t>
      </w:r>
    </w:p>
    <w:p>
      <w:pPr>
        <w:spacing w:after="0" w:line="12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Since our acquisition of OptAim on July 24, 2015, OptAim has been our wholly owned subsidiary and has been consolidated into our results of operations. Please refer to note 4(b) of our consolidated financial statements as of and for the years ended December 31, 2015 and 2016 included elsewhere in this annual report. OptAim contributed US$41.1 million to our gross billing and US$11.7 million to our net revenues from July 24, 2015, when we acquired OptAim, to December 31, 2015, contributed US$105.7 million to our gross billing and US$51.1 million to our net revenues in 2016 and contributed US$169.1 million to our gross billing and US$98.7 million to our net revenues in 2017. Intangible assets identified in connection with our acquisition of OptAim are amortized. Amortization expenses of US$1.8 million, US$4.0 million and US$4.0 million were recognized under our cost of revenues in 2015, 2016 and 2017, respectively. In addition, as of December 31, 2017, we had US$48.5 million of goodwill, which represented approximately 25.7% of our total assets, primarily related to our acquisition of OptAim. Goodwill is recorded at fair value and is not amortized, but is reviewed for impairment at least annually or more frequently if impairment indicators arise. Impairment charges could substantially affect our results of operations in the periods of such charges. In addition, impairment charges would negatively impact our financial ratios and could limit our ability to obtain financing in the future.</w:t>
      </w:r>
    </w:p>
    <w:p>
      <w:pPr>
        <w:spacing w:after="0" w:line="169"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As we integrate OptAim’s operations, we have realized synergies and economies of scale. Our operating expenses as a percentage of net revenues decreased from 80.1% in 2015 to 66.7% in 2016 as we benefited from the complementary sales and marketing capabilities and research and development capabilities of OptAim and further to 35.7% in 2017 in part due to our streamlining of sales and marketing and general and administrative functions as we further integrated OptAim’s operations, which had been completed by the end of June 30, 2017.</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Billing</w:t>
      </w:r>
    </w:p>
    <w:p>
      <w:pPr>
        <w:spacing w:after="0" w:line="121"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8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99"/>
              <w:spacing w:after="0" w:line="142" w:lineRule="exact"/>
              <w:rPr>
                <w:sz w:val="20"/>
                <w:szCs w:val="20"/>
                <w:color w:val="auto"/>
              </w:rPr>
            </w:pPr>
            <w:r>
              <w:rPr>
                <w:rFonts w:ascii="Arial" w:cs="Arial" w:eastAsia="Arial" w:hAnsi="Arial"/>
                <w:sz w:val="14"/>
                <w:szCs w:val="14"/>
                <w:b w:val="1"/>
                <w:bCs w:val="1"/>
                <w:color w:val="auto"/>
                <w:w w:val="89"/>
              </w:rPr>
              <w:t>2015</w:t>
            </w:r>
          </w:p>
        </w:tc>
        <w:tc>
          <w:tcPr>
            <w:tcW w:w="2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99"/>
              <w:spacing w:after="0" w:line="142" w:lineRule="exact"/>
              <w:rPr>
                <w:sz w:val="20"/>
                <w:szCs w:val="20"/>
                <w:color w:val="auto"/>
              </w:rPr>
            </w:pPr>
            <w:r>
              <w:rPr>
                <w:rFonts w:ascii="Arial" w:cs="Arial" w:eastAsia="Arial" w:hAnsi="Arial"/>
                <w:sz w:val="14"/>
                <w:szCs w:val="14"/>
                <w:b w:val="1"/>
                <w:bCs w:val="1"/>
                <w:color w:val="auto"/>
                <w:w w:val="83"/>
              </w:rPr>
              <w:t>2016</w:t>
            </w:r>
          </w:p>
        </w:tc>
        <w:tc>
          <w:tcPr>
            <w:tcW w:w="2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99"/>
              <w:spacing w:after="0" w:line="142" w:lineRule="exact"/>
              <w:rPr>
                <w:sz w:val="20"/>
                <w:szCs w:val="20"/>
                <w:color w:val="auto"/>
              </w:rPr>
            </w:pPr>
            <w:r>
              <w:rPr>
                <w:rFonts w:ascii="Arial" w:cs="Arial" w:eastAsia="Arial" w:hAnsi="Arial"/>
                <w:sz w:val="14"/>
                <w:szCs w:val="14"/>
                <w:b w:val="1"/>
                <w:bCs w:val="1"/>
                <w:color w:val="auto"/>
                <w:w w:val="83"/>
              </w:rPr>
              <w:t>2017</w:t>
            </w:r>
          </w:p>
        </w:tc>
        <w:tc>
          <w:tcPr>
            <w:tcW w:w="60" w:type="dxa"/>
            <w:vAlign w:val="bottom"/>
          </w:tcPr>
          <w:p>
            <w:pPr>
              <w:spacing w:after="0"/>
              <w:rPr>
                <w:sz w:val="12"/>
                <w:szCs w:val="12"/>
                <w:color w:val="auto"/>
              </w:rPr>
            </w:pPr>
          </w:p>
        </w:tc>
      </w:tr>
      <w:tr>
        <w:trPr>
          <w:trHeight w:val="129"/>
        </w:trPr>
        <w:tc>
          <w:tcPr>
            <w:tcW w:w="5880" w:type="dxa"/>
            <w:vAlign w:val="bottom"/>
          </w:tcPr>
          <w:p>
            <w:pPr>
              <w:spacing w:after="0"/>
              <w:rPr>
                <w:sz w:val="11"/>
                <w:szCs w:val="11"/>
                <w:color w:val="auto"/>
              </w:rPr>
            </w:pPr>
          </w:p>
        </w:tc>
        <w:tc>
          <w:tcPr>
            <w:tcW w:w="68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rPr>
              <w:t>(US$ in</w:t>
            </w:r>
          </w:p>
        </w:tc>
        <w:tc>
          <w:tcPr>
            <w:tcW w:w="980" w:type="dxa"/>
            <w:vAlign w:val="bottom"/>
          </w:tcPr>
          <w:p>
            <w:pPr>
              <w:jc w:val="center"/>
              <w:ind w:left="159"/>
              <w:spacing w:after="0" w:line="129" w:lineRule="exact"/>
              <w:rPr>
                <w:sz w:val="20"/>
                <w:szCs w:val="20"/>
                <w:color w:val="auto"/>
              </w:rPr>
            </w:pPr>
            <w:r>
              <w:rPr>
                <w:rFonts w:ascii="Arial" w:cs="Arial" w:eastAsia="Arial" w:hAnsi="Arial"/>
                <w:sz w:val="14"/>
                <w:szCs w:val="14"/>
                <w:b w:val="1"/>
                <w:bCs w:val="1"/>
                <w:color w:val="auto"/>
                <w:w w:val="91"/>
              </w:rPr>
              <w:t>(% of gross</w:t>
            </w:r>
          </w:p>
        </w:tc>
        <w:tc>
          <w:tcPr>
            <w:tcW w:w="260" w:type="dxa"/>
            <w:vAlign w:val="bottom"/>
          </w:tcPr>
          <w:p>
            <w:pPr>
              <w:spacing w:after="0"/>
              <w:rPr>
                <w:sz w:val="11"/>
                <w:szCs w:val="11"/>
                <w:color w:val="auto"/>
              </w:rPr>
            </w:pPr>
          </w:p>
        </w:tc>
        <w:tc>
          <w:tcPr>
            <w:tcW w:w="68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rPr>
              <w:t>(US$ in</w:t>
            </w: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 gross</w:t>
            </w:r>
          </w:p>
        </w:tc>
        <w:tc>
          <w:tcPr>
            <w:tcW w:w="280" w:type="dxa"/>
            <w:vAlign w:val="bottom"/>
          </w:tcPr>
          <w:p>
            <w:pPr>
              <w:spacing w:after="0"/>
              <w:rPr>
                <w:sz w:val="11"/>
                <w:szCs w:val="11"/>
                <w:color w:val="auto"/>
              </w:rPr>
            </w:pPr>
          </w:p>
        </w:tc>
        <w:tc>
          <w:tcPr>
            <w:tcW w:w="68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rPr>
              <w:t>(US$ in</w:t>
            </w:r>
          </w:p>
        </w:tc>
        <w:tc>
          <w:tcPr>
            <w:tcW w:w="9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 gross</w:t>
            </w:r>
          </w:p>
        </w:tc>
        <w:tc>
          <w:tcPr>
            <w:tcW w:w="60" w:type="dxa"/>
            <w:vAlign w:val="bottom"/>
          </w:tcPr>
          <w:p>
            <w:pPr>
              <w:spacing w:after="0"/>
              <w:rPr>
                <w:sz w:val="11"/>
                <w:szCs w:val="11"/>
                <w:color w:val="auto"/>
              </w:rPr>
            </w:pPr>
          </w:p>
        </w:tc>
      </w:tr>
      <w:tr>
        <w:trPr>
          <w:trHeight w:val="176"/>
        </w:trPr>
        <w:tc>
          <w:tcPr>
            <w:tcW w:w="58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billing</w:t>
            </w:r>
            <w:r>
              <w:rPr>
                <w:rFonts w:ascii="Arial" w:cs="Arial" w:eastAsia="Arial" w:hAnsi="Arial"/>
                <w:sz w:val="12"/>
                <w:szCs w:val="12"/>
                <w:b w:val="1"/>
                <w:bCs w:val="1"/>
                <w:color w:val="auto"/>
                <w:w w:val="99"/>
              </w:rPr>
              <w:t>(1)</w:t>
            </w:r>
            <w:r>
              <w:rPr>
                <w:rFonts w:ascii="Arial" w:cs="Arial" w:eastAsia="Arial" w:hAnsi="Arial"/>
                <w:sz w:val="14"/>
                <w:szCs w:val="14"/>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billing</w:t>
            </w:r>
            <w:r>
              <w:rPr>
                <w:rFonts w:ascii="Arial" w:cs="Arial" w:eastAsia="Arial" w:hAnsi="Arial"/>
                <w:sz w:val="12"/>
                <w:szCs w:val="12"/>
                <w:b w:val="1"/>
                <w:bCs w:val="1"/>
                <w:color w:val="auto"/>
              </w:rPr>
              <w:t>(1)</w:t>
            </w:r>
            <w:r>
              <w:rPr>
                <w:rFonts w:ascii="Arial" w:cs="Arial" w:eastAsia="Arial" w:hAnsi="Arial"/>
                <w:sz w:val="14"/>
                <w:szCs w:val="14"/>
                <w:b w:val="1"/>
                <w:bCs w:val="1"/>
                <w:color w:val="auto"/>
              </w:rPr>
              <w:t>)</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Gross billing</w:t>
            </w:r>
          </w:p>
        </w:tc>
        <w:tc>
          <w:tcPr>
            <w:tcW w:w="680" w:type="dxa"/>
            <w:vAlign w:val="bottom"/>
          </w:tcPr>
          <w:p>
            <w:pPr>
              <w:jc w:val="right"/>
              <w:spacing w:after="0"/>
              <w:rPr>
                <w:sz w:val="20"/>
                <w:szCs w:val="20"/>
                <w:color w:val="auto"/>
              </w:rPr>
            </w:pPr>
            <w:r>
              <w:rPr>
                <w:rFonts w:ascii="Arial" w:cs="Arial" w:eastAsia="Arial" w:hAnsi="Arial"/>
                <w:sz w:val="18"/>
                <w:szCs w:val="18"/>
                <w:color w:val="auto"/>
              </w:rPr>
              <w:t>178,239</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680" w:type="dxa"/>
            <w:vAlign w:val="bottom"/>
          </w:tcPr>
          <w:p>
            <w:pPr>
              <w:jc w:val="right"/>
              <w:spacing w:after="0"/>
              <w:rPr>
                <w:sz w:val="20"/>
                <w:szCs w:val="20"/>
                <w:color w:val="auto"/>
              </w:rPr>
            </w:pPr>
            <w:r>
              <w:rPr>
                <w:rFonts w:ascii="Arial" w:cs="Arial" w:eastAsia="Arial" w:hAnsi="Arial"/>
                <w:sz w:val="18"/>
                <w:szCs w:val="18"/>
                <w:color w:val="auto"/>
              </w:rPr>
              <w:t>236,253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680" w:type="dxa"/>
            <w:vAlign w:val="bottom"/>
          </w:tcPr>
          <w:p>
            <w:pPr>
              <w:jc w:val="right"/>
              <w:spacing w:after="0"/>
              <w:rPr>
                <w:sz w:val="20"/>
                <w:szCs w:val="20"/>
                <w:color w:val="auto"/>
              </w:rPr>
            </w:pPr>
            <w:r>
              <w:rPr>
                <w:rFonts w:ascii="Arial" w:cs="Arial" w:eastAsia="Arial" w:hAnsi="Arial"/>
                <w:sz w:val="18"/>
                <w:szCs w:val="18"/>
                <w:color w:val="auto"/>
              </w:rPr>
              <w:t>248,279</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billing from mobile audience solutions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41,323</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112,403</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172,194</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Gross billing from other solutions</w:t>
            </w:r>
          </w:p>
        </w:tc>
        <w:tc>
          <w:tcPr>
            <w:tcW w:w="680" w:type="dxa"/>
            <w:vAlign w:val="bottom"/>
          </w:tcPr>
          <w:p>
            <w:pPr>
              <w:jc w:val="right"/>
              <w:spacing w:after="0"/>
              <w:rPr>
                <w:sz w:val="20"/>
                <w:szCs w:val="20"/>
                <w:color w:val="auto"/>
              </w:rPr>
            </w:pPr>
            <w:r>
              <w:rPr>
                <w:rFonts w:ascii="Arial" w:cs="Arial" w:eastAsia="Arial" w:hAnsi="Arial"/>
                <w:sz w:val="18"/>
                <w:szCs w:val="18"/>
                <w:color w:val="auto"/>
              </w:rPr>
              <w:t>136,916</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76.8</w:t>
            </w:r>
          </w:p>
        </w:tc>
        <w:tc>
          <w:tcPr>
            <w:tcW w:w="680" w:type="dxa"/>
            <w:vAlign w:val="bottom"/>
          </w:tcPr>
          <w:p>
            <w:pPr>
              <w:jc w:val="right"/>
              <w:spacing w:after="0"/>
              <w:rPr>
                <w:sz w:val="20"/>
                <w:szCs w:val="20"/>
                <w:color w:val="auto"/>
              </w:rPr>
            </w:pPr>
            <w:r>
              <w:rPr>
                <w:rFonts w:ascii="Arial" w:cs="Arial" w:eastAsia="Arial" w:hAnsi="Arial"/>
                <w:sz w:val="18"/>
                <w:szCs w:val="18"/>
                <w:color w:val="auto"/>
              </w:rPr>
              <w:t>123,850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52.4</w:t>
            </w:r>
          </w:p>
        </w:tc>
        <w:tc>
          <w:tcPr>
            <w:tcW w:w="680" w:type="dxa"/>
            <w:vAlign w:val="bottom"/>
          </w:tcPr>
          <w:p>
            <w:pPr>
              <w:jc w:val="right"/>
              <w:spacing w:after="0"/>
              <w:rPr>
                <w:sz w:val="20"/>
                <w:szCs w:val="20"/>
                <w:color w:val="auto"/>
              </w:rPr>
            </w:pPr>
            <w:r>
              <w:rPr>
                <w:rFonts w:ascii="Arial" w:cs="Arial" w:eastAsia="Arial" w:hAnsi="Arial"/>
                <w:sz w:val="18"/>
                <w:szCs w:val="18"/>
                <w:color w:val="auto"/>
              </w:rPr>
              <w:t>76,085</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240" w:hanging="452"/>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 respect to net revenues from mobile audience solutions and net revenues from other solutions, % of gross billing refers to the % of gross billing for mobile audience solutions or % of gross billing for other solutions, as the case may be.</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Gross billing derived from our sales agency arrangement was US$32.9 million, US$42.8 million and US$37.8 million in 2015, 2016 and 2017, respectively, none of which was recognized as net revenues for the respective periods.</w:t>
      </w:r>
    </w:p>
    <w:p>
      <w:pPr>
        <w:spacing w:after="0" w:line="170" w:lineRule="exact"/>
        <w:rPr>
          <w:sz w:val="20"/>
          <w:szCs w:val="20"/>
          <w:color w:val="auto"/>
        </w:rPr>
      </w:pPr>
    </w:p>
    <w:p>
      <w:pPr>
        <w:ind w:right="300" w:firstLine="913"/>
        <w:spacing w:after="0" w:line="342" w:lineRule="auto"/>
        <w:rPr>
          <w:sz w:val="20"/>
          <w:szCs w:val="20"/>
          <w:color w:val="auto"/>
        </w:rPr>
      </w:pPr>
      <w:r>
        <w:rPr>
          <w:rFonts w:ascii="Arial" w:cs="Arial" w:eastAsia="Arial" w:hAnsi="Arial"/>
          <w:sz w:val="16"/>
          <w:szCs w:val="16"/>
          <w:color w:val="auto"/>
        </w:rPr>
        <w:t>Gross billing derived from our cost-plus marketing campaigns was US$106.6 million, US$121.4 million and US$104.3 million in 2015, 2016 and 2017, respectively, out of which US$19.5 million, US$15.4 million and US$10.8 million was recognized as net revenues for the respective periods.</w:t>
      </w:r>
    </w:p>
    <w:p>
      <w:pPr>
        <w:spacing w:after="0" w:line="124"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Gross billing derived from our specified action marketing campaigns was US$38.7 million, US$72.1 million and US$106.2 million in 2015, 2016 and 2017, respectively, all of which was recognized as net revenues for the respective periods.</w:t>
      </w:r>
    </w:p>
    <w:p>
      <w:pPr>
        <w:spacing w:after="0" w:line="17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Gross billing from our mobile audience solutions increased, both in absolute amount and as a percentage of total gross billing, from 2015 to 2016 and further to 2017 as we prioritized the execution of our mobile strategy to capture a larger share of online marketing spend on mobile apps, and as our clients were generating larger mobile marketing spend. This is evidenced by our acquisition of OptAim, which is focused on providing performance-driven mobile audience solutions, in July 2015. OptAim contributed US$41.1 million to our gross billing and US$11.7 million to our net revenues from July 24, 2015, when we acquired OptAim, to December 31, 2015, and contributed US$105.7 million to our gross billing and US$51.1 million to our net revenues in 2016. All such gross billing and net revenues contribution from OptAim related to our mobile audience solutions. Gross billing from our other solutions decreased from 2015 to 2016 and further to 2017 as we optimized the client base for other solutions to focus on profitability and liquidity, and continued shift in our strategic focus to mobile audience solutions. For example, we terminated relationship with certain clients for our other solutions, as they had relatively long account receivable cycles and yielded relatively low operating profit margins. Some of these clients were large marketers and had individually accounted for more than 5% of our annual gross billing historically.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gross billing per client increased by US$32,020, or 47.5%, from US$67,413 in 2015 to US$99,433 in 2016, while the total number of our clients decreased by 10.1% from 2,644 in 2015 to 2,376 in 2016. Our gross billing per client increased by US$52,885, or 53.2%, from US$99,433 in 2016 to US$152,318 in 2017, while the total number of our clients decreased by 31.4% from 2,376 in 2016 to 1,630 in 2017. This was due to our efforts in optimizing the client base for other solutions.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and the period-to-period comparisons discussed below may not be meaningful and are not indicative of our future trends.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7"/>
              </w:rPr>
              <w:t>Year Ended December 31,</w:t>
            </w: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thousands)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thousands)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65,242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95,357</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125,258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Cost of revenues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(34,531)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(52.9)</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(61,048)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(95,733)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47.1</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34,309</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29,525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(8,584)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(31,385)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(48.1)</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(28,266)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(29.6)</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(25,935)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(12,745)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(26,767)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(28.1)</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(12,983)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(52,236)</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1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(63,617)</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(44,696)</w:t>
            </w:r>
          </w:p>
        </w:tc>
        <w:tc>
          <w:tcPr>
            <w:tcW w:w="3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(21,525)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(29,308)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(15,171)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(713)</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(551)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(1,082)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Fair value (loss)/gain on derivative liabilities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(19,390)</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(29.7)</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3,995</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(10,190)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(40,231)</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(27,108)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(24,071)</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555</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(222)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(548)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Share of loss from an equity investee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(39,714)</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(60.9)</w:t>
            </w:r>
          </w:p>
        </w:tc>
        <w:tc>
          <w:tcPr>
            <w:tcW w:w="1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(27,330)</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(28.5)</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(24,619)</w:t>
            </w:r>
          </w:p>
        </w:tc>
        <w:tc>
          <w:tcPr>
            <w:tcW w:w="320" w:type="dxa"/>
            <w:vAlign w:val="bottom"/>
            <w:vMerge w:val="continue"/>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117"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w:t>
      </w:r>
    </w:p>
    <w:p>
      <w:pPr>
        <w:spacing w:after="0" w:line="193"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record incentives from the publisher under the sales agency arrangement as net revenues. We consider the publisher to be our customer under the sales agency arrangement. The amount of such incentives is determined based on a variety of factors, including yearly market spending at the publisher’s platforms. Under our sales agency arrangement, we do not receive any rebate from the publisher. Net revenues from our sales agency arrangement, which equal the incentives received from the publisher under the sales agency arrangement were US$7.1 million, US$7.9 million and US$8.3 million in 2015, 2016 and 2017, respectively.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913"/>
        <w:spacing w:after="0" w:line="257" w:lineRule="auto"/>
        <w:rPr>
          <w:sz w:val="20"/>
          <w:szCs w:val="20"/>
          <w:color w:val="auto"/>
        </w:rPr>
      </w:pPr>
      <w:r>
        <w:rPr>
          <w:rFonts w:ascii="Arial" w:cs="Arial" w:eastAsia="Arial" w:hAnsi="Arial"/>
          <w:sz w:val="18"/>
          <w:szCs w:val="18"/>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US$19.5 million, US$15.4 million and US$10.8 million in 2015, 2016 and 2017, respectively.</w:t>
      </w:r>
    </w:p>
    <w:p>
      <w:pPr>
        <w:spacing w:after="0" w:line="188"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US$38.7 million, US$72.1 million and US$106.2 million in 2015, 2016 and 2017, respectively.</w:t>
      </w:r>
    </w:p>
    <w:p>
      <w:pPr>
        <w:spacing w:after="0" w:line="158"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Rebates we grant under our sales agency arrangement are recorded as cost of revenues as we consider these rebates are identifiable and separable from the incentive revenue generated from the publisher. In all other circumstances, rebates and discounts we grant are recorded as reduction of revenues.</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table below shows our net revenues breakdown for our mobile audience solutions and other solutions for the periods presented.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9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(US$ in</w:t>
            </w:r>
          </w:p>
        </w:tc>
        <w:tc>
          <w:tcPr>
            <w:tcW w:w="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4"/>
              </w:rPr>
              <w:t>(% of net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(US$ in</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 of net</w:t>
            </w:r>
          </w:p>
        </w:tc>
        <w:tc>
          <w:tcPr>
            <w:tcW w:w="260" w:type="dxa"/>
            <w:vAlign w:val="bottom"/>
          </w:tcPr>
          <w:p>
            <w:pPr>
              <w:spacing w:after="0"/>
              <w:rPr>
                <w:sz w:val="11"/>
                <w:szCs w:val="11"/>
                <w:color w:val="auto"/>
              </w:rPr>
            </w:pPr>
          </w:p>
        </w:tc>
        <w:tc>
          <w:tcPr>
            <w:tcW w:w="96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(US$ in</w:t>
            </w:r>
          </w:p>
        </w:tc>
        <w:tc>
          <w:tcPr>
            <w:tcW w:w="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4"/>
              </w:rPr>
              <w:t>(% of net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thousands)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revenues)</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revenues from mobile audience solutions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57,761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101,426</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revenues from other solutions</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53,334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81.7</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37,596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23,832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65,242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95,357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125,258</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table below shows our rebates received from publishers under cost-plus marketing campaigns,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20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6200" w:type="dxa"/>
            <w:vAlign w:val="bottom"/>
          </w:tcPr>
          <w:p>
            <w:pPr>
              <w:spacing w:after="0"/>
              <w:rPr>
                <w:sz w:val="10"/>
                <w:szCs w:val="10"/>
                <w:color w:val="auto"/>
              </w:rPr>
            </w:pPr>
          </w:p>
        </w:tc>
        <w:tc>
          <w:tcPr>
            <w:tcW w:w="940" w:type="dxa"/>
            <w:vAlign w:val="bottom"/>
            <w:tcBorders>
              <w:top w:val="single" w:sz="8" w:color="auto"/>
            </w:tcBorders>
          </w:tcPr>
          <w:p>
            <w:pPr>
              <w:jc w:val="right"/>
              <w:ind w:right="2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Borders>
              <w:top w:val="single" w:sz="8" w:color="auto"/>
            </w:tcBorders>
          </w:tcPr>
          <w:p>
            <w:pPr>
              <w:jc w:val="right"/>
              <w:ind w:right="291"/>
              <w:spacing w:after="0" w:line="119" w:lineRule="exact"/>
              <w:rPr>
                <w:sz w:val="20"/>
                <w:szCs w:val="20"/>
                <w:color w:val="auto"/>
              </w:rPr>
            </w:pPr>
            <w:r>
              <w:rPr>
                <w:rFonts w:ascii="Arial" w:cs="Arial" w:eastAsia="Arial" w:hAnsi="Arial"/>
                <w:sz w:val="13"/>
                <w:szCs w:val="13"/>
                <w:b w:val="1"/>
                <w:bCs w:val="1"/>
                <w:color w:val="auto"/>
              </w:rPr>
              <w:t>(US$ in</w:t>
            </w:r>
          </w:p>
        </w:tc>
        <w:tc>
          <w:tcPr>
            <w:tcW w:w="6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40" w:type="dxa"/>
            <w:vAlign w:val="bottom"/>
            <w:tcBorders>
              <w:top w:val="single" w:sz="8" w:color="auto"/>
            </w:tcBorders>
          </w:tcPr>
          <w:p>
            <w:pPr>
              <w:jc w:val="right"/>
              <w:ind w:right="2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6200" w:type="dxa"/>
            <w:vAlign w:val="bottom"/>
          </w:tcPr>
          <w:p>
            <w:pPr>
              <w:spacing w:after="0"/>
              <w:rPr>
                <w:sz w:val="14"/>
                <w:szCs w:val="14"/>
                <w:color w:val="auto"/>
              </w:rPr>
            </w:pP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w w:val="87"/>
              </w:rPr>
              <w:t>thousands)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Pr>
          <w:p>
            <w:pPr>
              <w:spacing w:after="0"/>
              <w:rPr>
                <w:sz w:val="14"/>
                <w:szCs w:val="14"/>
                <w:color w:val="auto"/>
              </w:rPr>
            </w:pPr>
          </w:p>
        </w:tc>
        <w:tc>
          <w:tcPr>
            <w:tcW w:w="920" w:type="dxa"/>
            <w:vAlign w:val="bottom"/>
          </w:tcPr>
          <w:p>
            <w:pPr>
              <w:jc w:val="right"/>
              <w:ind w:right="171"/>
              <w:spacing w:after="0"/>
              <w:rPr>
                <w:sz w:val="20"/>
                <w:szCs w:val="20"/>
                <w:color w:val="auto"/>
              </w:rPr>
            </w:pPr>
            <w:r>
              <w:rPr>
                <w:rFonts w:ascii="Arial" w:cs="Arial" w:eastAsia="Arial" w:hAnsi="Arial"/>
                <w:sz w:val="14"/>
                <w:szCs w:val="14"/>
                <w:b w:val="1"/>
                <w:bCs w:val="1"/>
                <w:color w:val="auto"/>
                <w:w w:val="87"/>
              </w:rPr>
              <w:t>thousands)</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revenues)</w:t>
            </w:r>
          </w:p>
        </w:tc>
        <w:tc>
          <w:tcPr>
            <w:tcW w:w="940" w:type="dxa"/>
            <w:vAlign w:val="bottom"/>
          </w:tcPr>
          <w:p>
            <w:pPr>
              <w:jc w:val="right"/>
              <w:ind w:right="180"/>
              <w:spacing w:after="0"/>
              <w:rPr>
                <w:sz w:val="20"/>
                <w:szCs w:val="20"/>
                <w:color w:val="auto"/>
              </w:rPr>
            </w:pPr>
            <w:r>
              <w:rPr>
                <w:rFonts w:ascii="Arial" w:cs="Arial" w:eastAsia="Arial" w:hAnsi="Arial"/>
                <w:sz w:val="14"/>
                <w:szCs w:val="14"/>
                <w:b w:val="1"/>
                <w:bCs w:val="1"/>
                <w:color w:val="auto"/>
                <w:w w:val="87"/>
              </w:rPr>
              <w:t>thousands)</w:t>
            </w: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revenues)</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 for mobile audience solutions</w:t>
            </w: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4,555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0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7,940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12,989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Rebates received from publishers for other solutions(</w:t>
            </w:r>
            <w:r>
              <w:rPr>
                <w:rFonts w:ascii="Arial" w:cs="Arial" w:eastAsia="Arial" w:hAnsi="Arial"/>
                <w:sz w:val="15"/>
                <w:szCs w:val="15"/>
                <w:color w:val="auto"/>
              </w:rPr>
              <w:t>1</w:t>
            </w:r>
            <w:r>
              <w:rPr>
                <w:rFonts w:ascii="Arial" w:cs="Arial" w:eastAsia="Arial" w:hAnsi="Arial"/>
                <w:sz w:val="18"/>
                <w:szCs w:val="18"/>
                <w:color w:val="auto"/>
              </w:rPr>
              <w:t>)</w:t>
            </w: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12,145</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18.6</w:t>
            </w:r>
          </w:p>
        </w:tc>
        <w:tc>
          <w:tcPr>
            <w:tcW w:w="1080" w:type="dxa"/>
            <w:vAlign w:val="bottom"/>
            <w:gridSpan w:val="2"/>
          </w:tcPr>
          <w:p>
            <w:pPr>
              <w:jc w:val="right"/>
              <w:ind w:right="171"/>
              <w:spacing w:after="0"/>
              <w:rPr>
                <w:sz w:val="20"/>
                <w:szCs w:val="20"/>
                <w:color w:val="auto"/>
              </w:rPr>
            </w:pPr>
            <w:r>
              <w:rPr>
                <w:rFonts w:ascii="Arial" w:cs="Arial" w:eastAsia="Arial" w:hAnsi="Arial"/>
                <w:sz w:val="18"/>
                <w:szCs w:val="18"/>
                <w:color w:val="auto"/>
              </w:rPr>
              <w:t>6,241</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6.5</w:t>
            </w: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2,141</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16,700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080" w:type="dxa"/>
            <w:vAlign w:val="bottom"/>
            <w:gridSpan w:val="2"/>
            <w:shd w:val="clear" w:color="auto" w:fill="CCEEFF"/>
          </w:tcPr>
          <w:p>
            <w:pPr>
              <w:jc w:val="right"/>
              <w:ind w:right="171"/>
              <w:spacing w:after="0"/>
              <w:rPr>
                <w:sz w:val="20"/>
                <w:szCs w:val="20"/>
                <w:color w:val="auto"/>
              </w:rPr>
            </w:pPr>
            <w:r>
              <w:rPr>
                <w:rFonts w:ascii="Arial" w:cs="Arial" w:eastAsia="Arial" w:hAnsi="Arial"/>
                <w:sz w:val="18"/>
                <w:szCs w:val="18"/>
                <w:color w:val="auto"/>
              </w:rPr>
              <w:t>14,181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w:t>
            </w:r>
          </w:p>
        </w:tc>
        <w:tc>
          <w:tcPr>
            <w:tcW w:w="94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15,130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80" w:hanging="452"/>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of which US$4,138 thousand, US$974 thousand, and US$553 thousand in 2015, 2016 and 2017 were received under cost-plus marketing campaigns from the publisher for which we acted as its sales agent under our sales agency arrangement.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table below shows our incentive revenues received from the publisher under our sales agency arrangement, which were recognized as net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5800" w:type="dxa"/>
            <w:vAlign w:val="bottom"/>
          </w:tcPr>
          <w:p>
            <w:pPr>
              <w:spacing w:after="0"/>
              <w:rPr>
                <w:sz w:val="10"/>
                <w:szCs w:val="10"/>
                <w:color w:val="auto"/>
              </w:rPr>
            </w:pPr>
          </w:p>
        </w:tc>
        <w:tc>
          <w:tcPr>
            <w:tcW w:w="1000" w:type="dxa"/>
            <w:vAlign w:val="bottom"/>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60" w:type="dxa"/>
            <w:vAlign w:val="bottom"/>
          </w:tcPr>
          <w:p>
            <w:pPr>
              <w:spacing w:after="0"/>
              <w:rPr>
                <w:sz w:val="10"/>
                <w:szCs w:val="10"/>
                <w:color w:val="auto"/>
              </w:rPr>
            </w:pPr>
          </w:p>
        </w:tc>
        <w:tc>
          <w:tcPr>
            <w:tcW w:w="980" w:type="dxa"/>
            <w:vAlign w:val="bottom"/>
          </w:tcPr>
          <w:p>
            <w:pPr>
              <w:jc w:val="right"/>
              <w:ind w:right="341"/>
              <w:spacing w:after="0" w:line="119" w:lineRule="exact"/>
              <w:rPr>
                <w:sz w:val="20"/>
                <w:szCs w:val="20"/>
                <w:color w:val="auto"/>
              </w:rPr>
            </w:pPr>
            <w:r>
              <w:rPr>
                <w:rFonts w:ascii="Arial" w:cs="Arial" w:eastAsia="Arial" w:hAnsi="Arial"/>
                <w:sz w:val="13"/>
                <w:szCs w:val="13"/>
                <w:b w:val="1"/>
                <w:bCs w:val="1"/>
                <w:color w:val="auto"/>
              </w:rPr>
              <w:t>(US$ in</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40" w:type="dxa"/>
            <w:vAlign w:val="bottom"/>
          </w:tcPr>
          <w:p>
            <w:pPr>
              <w:spacing w:after="0"/>
              <w:rPr>
                <w:sz w:val="10"/>
                <w:szCs w:val="10"/>
                <w:color w:val="auto"/>
              </w:rPr>
            </w:pPr>
          </w:p>
        </w:tc>
        <w:tc>
          <w:tcPr>
            <w:tcW w:w="1000" w:type="dxa"/>
            <w:vAlign w:val="bottom"/>
          </w:tcPr>
          <w:p>
            <w:pPr>
              <w:jc w:val="right"/>
              <w:ind w:right="340"/>
              <w:spacing w:after="0" w:line="119" w:lineRule="exact"/>
              <w:rPr>
                <w:sz w:val="20"/>
                <w:szCs w:val="20"/>
                <w:color w:val="auto"/>
              </w:rPr>
            </w:pPr>
            <w:r>
              <w:rPr>
                <w:rFonts w:ascii="Arial" w:cs="Arial" w:eastAsia="Arial" w:hAnsi="Arial"/>
                <w:sz w:val="13"/>
                <w:szCs w:val="13"/>
                <w:b w:val="1"/>
                <w:bCs w:val="1"/>
                <w:color w:val="auto"/>
              </w:rPr>
              <w:t>(US$ in</w:t>
            </w: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5800" w:type="dxa"/>
            <w:vAlign w:val="bottom"/>
          </w:tcPr>
          <w:p>
            <w:pPr>
              <w:spacing w:after="0"/>
              <w:rPr>
                <w:sz w:val="14"/>
                <w:szCs w:val="14"/>
                <w:color w:val="auto"/>
              </w:rPr>
            </w:pPr>
          </w:p>
        </w:tc>
        <w:tc>
          <w:tcPr>
            <w:tcW w:w="1000" w:type="dxa"/>
            <w:vAlign w:val="bottom"/>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revenues)</w:t>
            </w:r>
          </w:p>
        </w:tc>
        <w:tc>
          <w:tcPr>
            <w:tcW w:w="980" w:type="dxa"/>
            <w:vAlign w:val="bottom"/>
          </w:tcPr>
          <w:p>
            <w:pPr>
              <w:jc w:val="right"/>
              <w:ind w:right="241"/>
              <w:spacing w:after="0"/>
              <w:rPr>
                <w:sz w:val="20"/>
                <w:szCs w:val="20"/>
                <w:color w:val="auto"/>
              </w:rPr>
            </w:pPr>
            <w:r>
              <w:rPr>
                <w:rFonts w:ascii="Arial" w:cs="Arial" w:eastAsia="Arial" w:hAnsi="Arial"/>
                <w:sz w:val="14"/>
                <w:szCs w:val="14"/>
                <w:b w:val="1"/>
                <w:bCs w:val="1"/>
                <w:color w:val="auto"/>
                <w:w w:val="84"/>
              </w:rPr>
              <w:t>thousands)</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revenues)</w:t>
            </w:r>
          </w:p>
        </w:tc>
        <w:tc>
          <w:tcPr>
            <w:tcW w:w="1000" w:type="dxa"/>
            <w:vAlign w:val="bottom"/>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revenues)</w:t>
            </w:r>
          </w:p>
        </w:tc>
      </w:tr>
      <w:tr>
        <w:trPr>
          <w:trHeight w:val="202"/>
        </w:trPr>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Incentive revenues received from the publisher for our mobile audience</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1000" w:type="dxa"/>
            <w:vAlign w:val="bottom"/>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Incentive revenues received from the publisher for our other solutions(</w:t>
            </w:r>
            <w:r>
              <w:rPr>
                <w:rFonts w:ascii="Arial" w:cs="Arial" w:eastAsia="Arial" w:hAnsi="Arial"/>
                <w:sz w:val="15"/>
                <w:szCs w:val="15"/>
                <w:color w:val="auto"/>
              </w:rPr>
              <w:t>1</w:t>
            </w:r>
            <w:r>
              <w:rPr>
                <w:rFonts w:ascii="Arial" w:cs="Arial" w:eastAsia="Arial" w:hAnsi="Arial"/>
                <w:sz w:val="18"/>
                <w:szCs w:val="18"/>
                <w:color w:val="auto"/>
              </w:rPr>
              <w:t>)</w:t>
            </w:r>
          </w:p>
        </w:tc>
        <w:tc>
          <w:tcPr>
            <w:tcW w:w="1000" w:type="dxa"/>
            <w:vAlign w:val="bottom"/>
          </w:tcPr>
          <w:p>
            <w:pPr>
              <w:jc w:val="right"/>
              <w:ind w:right="240"/>
              <w:spacing w:after="0"/>
              <w:rPr>
                <w:sz w:val="20"/>
                <w:szCs w:val="20"/>
                <w:color w:val="auto"/>
              </w:rPr>
            </w:pPr>
            <w:r>
              <w:rPr>
                <w:rFonts w:ascii="Arial" w:cs="Arial" w:eastAsia="Arial" w:hAnsi="Arial"/>
                <w:sz w:val="18"/>
                <w:szCs w:val="18"/>
                <w:color w:val="auto"/>
              </w:rPr>
              <w:t>7,098</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980" w:type="dxa"/>
            <w:vAlign w:val="bottom"/>
          </w:tcPr>
          <w:p>
            <w:pPr>
              <w:jc w:val="right"/>
              <w:ind w:right="241"/>
              <w:spacing w:after="0"/>
              <w:rPr>
                <w:sz w:val="20"/>
                <w:szCs w:val="20"/>
                <w:color w:val="auto"/>
              </w:rPr>
            </w:pPr>
            <w:r>
              <w:rPr>
                <w:rFonts w:ascii="Arial" w:cs="Arial" w:eastAsia="Arial" w:hAnsi="Arial"/>
                <w:sz w:val="18"/>
                <w:szCs w:val="18"/>
                <w:color w:val="auto"/>
              </w:rPr>
              <w:t>7,924</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8.3</w:t>
            </w:r>
          </w:p>
        </w:tc>
        <w:tc>
          <w:tcPr>
            <w:tcW w:w="1000" w:type="dxa"/>
            <w:vAlign w:val="bottom"/>
          </w:tcPr>
          <w:p>
            <w:pPr>
              <w:jc w:val="right"/>
              <w:ind w:right="240"/>
              <w:spacing w:after="0"/>
              <w:rPr>
                <w:sz w:val="20"/>
                <w:szCs w:val="20"/>
                <w:color w:val="auto"/>
              </w:rPr>
            </w:pPr>
            <w:r>
              <w:rPr>
                <w:rFonts w:ascii="Arial" w:cs="Arial" w:eastAsia="Arial" w:hAnsi="Arial"/>
                <w:sz w:val="18"/>
                <w:szCs w:val="18"/>
                <w:color w:val="auto"/>
              </w:rPr>
              <w:t>8,311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Incentive revenues received from the publisher</w:t>
            </w: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7,098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7,924</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8,311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560" w:hanging="452"/>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Exclude rebates in the amount of US$4,138 thousand, US$974 thousand and US$553 thousand in 2015, 2016 and 2017 received under cost-plus marketing campaigns from the publisher for which we acted as its sales agent under our sales agency arrangement.</w:t>
      </w:r>
    </w:p>
    <w:p>
      <w:pPr>
        <w:spacing w:after="0" w:line="14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table below shows our rebates and discounts we granted to marketers and marketing agencies under our cost-plus and specified action marketing campaigns for our mobile audience solutions and other solutions for the periods presented. These rebates and discounts are recognized as reduction of net revenues.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7"/>
              </w:rPr>
              <w:t>Year Ended December 31,</w:t>
            </w: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5960" w:type="dxa"/>
            <w:vAlign w:val="bottom"/>
          </w:tcPr>
          <w:p>
            <w:pPr>
              <w:spacing w:after="0"/>
              <w:rPr>
                <w:sz w:val="10"/>
                <w:szCs w:val="10"/>
                <w:color w:val="auto"/>
              </w:rPr>
            </w:pPr>
          </w:p>
        </w:tc>
        <w:tc>
          <w:tcPr>
            <w:tcW w:w="960" w:type="dxa"/>
            <w:vAlign w:val="bottom"/>
            <w:tcBorders>
              <w:top w:val="single" w:sz="8" w:color="auto"/>
            </w:tcBorders>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2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Borders>
              <w:top w:val="single" w:sz="8" w:color="auto"/>
            </w:tcBorders>
          </w:tcPr>
          <w:p>
            <w:pPr>
              <w:jc w:val="right"/>
              <w:ind w:right="331"/>
              <w:spacing w:after="0" w:line="119" w:lineRule="exact"/>
              <w:rPr>
                <w:sz w:val="20"/>
                <w:szCs w:val="20"/>
                <w:color w:val="auto"/>
              </w:rPr>
            </w:pPr>
            <w:r>
              <w:rPr>
                <w:rFonts w:ascii="Arial" w:cs="Arial" w:eastAsia="Arial" w:hAnsi="Arial"/>
                <w:sz w:val="13"/>
                <w:szCs w:val="13"/>
                <w:b w:val="1"/>
                <w:bCs w:val="1"/>
                <w:color w:val="auto"/>
              </w:rPr>
              <w:t>(US$ in</w:t>
            </w:r>
          </w:p>
        </w:tc>
        <w:tc>
          <w:tcPr>
            <w:tcW w:w="62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960" w:type="dxa"/>
            <w:vAlign w:val="bottom"/>
            <w:tcBorders>
              <w:top w:val="single" w:sz="8" w:color="auto"/>
            </w:tcBorders>
          </w:tcPr>
          <w:p>
            <w:pPr>
              <w:jc w:val="right"/>
              <w:ind w:right="320"/>
              <w:spacing w:after="0" w:line="119" w:lineRule="exact"/>
              <w:rPr>
                <w:sz w:val="20"/>
                <w:szCs w:val="20"/>
                <w:color w:val="auto"/>
              </w:rPr>
            </w:pPr>
            <w:r>
              <w:rPr>
                <w:rFonts w:ascii="Arial" w:cs="Arial" w:eastAsia="Arial" w:hAnsi="Arial"/>
                <w:sz w:val="13"/>
                <w:szCs w:val="13"/>
                <w:b w:val="1"/>
                <w:bCs w:val="1"/>
                <w:color w:val="auto"/>
              </w:rPr>
              <w:t>(US$ in</w:t>
            </w:r>
          </w:p>
        </w:tc>
        <w:tc>
          <w:tcPr>
            <w:tcW w:w="62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r>
      <w:tr>
        <w:trPr>
          <w:trHeight w:val="171"/>
        </w:trPr>
        <w:tc>
          <w:tcPr>
            <w:tcW w:w="5960" w:type="dxa"/>
            <w:vAlign w:val="bottom"/>
          </w:tcPr>
          <w:p>
            <w:pPr>
              <w:spacing w:after="0"/>
              <w:rPr>
                <w:sz w:val="14"/>
                <w:szCs w:val="14"/>
                <w:color w:val="auto"/>
              </w:rPr>
            </w:pPr>
          </w:p>
        </w:tc>
        <w:tc>
          <w:tcPr>
            <w:tcW w:w="960" w:type="dxa"/>
            <w:vAlign w:val="bottom"/>
          </w:tcPr>
          <w:p>
            <w:pPr>
              <w:jc w:val="right"/>
              <w:ind w:right="220"/>
              <w:spacing w:after="0"/>
              <w:rPr>
                <w:sz w:val="20"/>
                <w:szCs w:val="20"/>
                <w:color w:val="auto"/>
              </w:rPr>
            </w:pPr>
            <w:r>
              <w:rPr>
                <w:rFonts w:ascii="Arial" w:cs="Arial" w:eastAsia="Arial" w:hAnsi="Arial"/>
                <w:sz w:val="14"/>
                <w:szCs w:val="14"/>
                <w:b w:val="1"/>
                <w:bCs w:val="1"/>
                <w:color w:val="auto"/>
                <w:w w:val="84"/>
              </w:rPr>
              <w:t>thousands)</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4"/>
                <w:szCs w:val="14"/>
                <w:color w:val="auto"/>
              </w:rPr>
            </w:pPr>
          </w:p>
        </w:tc>
        <w:tc>
          <w:tcPr>
            <w:tcW w:w="960" w:type="dxa"/>
            <w:vAlign w:val="bottom"/>
          </w:tcPr>
          <w:p>
            <w:pPr>
              <w:jc w:val="right"/>
              <w:ind w:right="211"/>
              <w:spacing w:after="0"/>
              <w:rPr>
                <w:sz w:val="20"/>
                <w:szCs w:val="20"/>
                <w:color w:val="auto"/>
              </w:rPr>
            </w:pPr>
            <w:r>
              <w:rPr>
                <w:rFonts w:ascii="Arial" w:cs="Arial" w:eastAsia="Arial" w:hAnsi="Arial"/>
                <w:sz w:val="14"/>
                <w:szCs w:val="14"/>
                <w:b w:val="1"/>
                <w:bCs w:val="1"/>
                <w:color w:val="auto"/>
                <w:w w:val="87"/>
              </w:rPr>
              <w:t>thousands)</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960" w:type="dxa"/>
            <w:vAlign w:val="bottom"/>
          </w:tcPr>
          <w:p>
            <w:pPr>
              <w:jc w:val="right"/>
              <w:ind w:right="220"/>
              <w:spacing w:after="0"/>
              <w:rPr>
                <w:sz w:val="20"/>
                <w:szCs w:val="20"/>
                <w:color w:val="auto"/>
              </w:rPr>
            </w:pPr>
            <w:r>
              <w:rPr>
                <w:rFonts w:ascii="Arial" w:cs="Arial" w:eastAsia="Arial" w:hAnsi="Arial"/>
                <w:sz w:val="14"/>
                <w:szCs w:val="14"/>
                <w:b w:val="1"/>
                <w:bCs w:val="1"/>
                <w:color w:val="auto"/>
                <w:w w:val="84"/>
              </w:rPr>
              <w:t>thousands)</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Rebates and discounts we granted</w:t>
            </w:r>
          </w:p>
        </w:tc>
        <w:tc>
          <w:tcPr>
            <w:tcW w:w="9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(14,982)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w:t>
            </w:r>
          </w:p>
        </w:tc>
        <w:tc>
          <w:tcPr>
            <w:tcW w:w="108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(17,021)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9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(24,321)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Rebates and discounts we granted for mobile audience solutions</w:t>
            </w:r>
            <w:r>
              <w:rPr>
                <w:rFonts w:ascii="Arial" w:cs="Arial" w:eastAsia="Arial" w:hAnsi="Arial"/>
                <w:sz w:val="15"/>
                <w:szCs w:val="15"/>
                <w:color w:val="auto"/>
              </w:rPr>
              <w:t>(1)</w:t>
            </w:r>
          </w:p>
        </w:tc>
        <w:tc>
          <w:tcPr>
            <w:tcW w:w="960" w:type="dxa"/>
            <w:vAlign w:val="bottom"/>
          </w:tcPr>
          <w:p>
            <w:pPr>
              <w:jc w:val="right"/>
              <w:ind w:right="160"/>
              <w:spacing w:after="0"/>
              <w:rPr>
                <w:sz w:val="20"/>
                <w:szCs w:val="20"/>
                <w:color w:val="auto"/>
              </w:rPr>
            </w:pPr>
            <w:r>
              <w:rPr>
                <w:rFonts w:ascii="Arial" w:cs="Arial" w:eastAsia="Arial" w:hAnsi="Arial"/>
                <w:sz w:val="18"/>
                <w:szCs w:val="18"/>
                <w:color w:val="auto"/>
              </w:rPr>
              <w:t>(6,820)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080" w:type="dxa"/>
            <w:vAlign w:val="bottom"/>
            <w:gridSpan w:val="2"/>
          </w:tcPr>
          <w:p>
            <w:pPr>
              <w:jc w:val="right"/>
              <w:ind w:right="151"/>
              <w:spacing w:after="0"/>
              <w:rPr>
                <w:sz w:val="20"/>
                <w:szCs w:val="20"/>
                <w:color w:val="auto"/>
              </w:rPr>
            </w:pPr>
            <w:r>
              <w:rPr>
                <w:rFonts w:ascii="Arial" w:cs="Arial" w:eastAsia="Arial" w:hAnsi="Arial"/>
                <w:sz w:val="18"/>
                <w:szCs w:val="18"/>
                <w:color w:val="auto"/>
              </w:rPr>
              <w:t>(10,675)</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960" w:type="dxa"/>
            <w:vAlign w:val="bottom"/>
          </w:tcPr>
          <w:p>
            <w:pPr>
              <w:jc w:val="right"/>
              <w:ind w:right="160"/>
              <w:spacing w:after="0"/>
              <w:rPr>
                <w:sz w:val="20"/>
                <w:szCs w:val="20"/>
                <w:color w:val="auto"/>
              </w:rPr>
            </w:pPr>
            <w:r>
              <w:rPr>
                <w:rFonts w:ascii="Arial" w:cs="Arial" w:eastAsia="Arial" w:hAnsi="Arial"/>
                <w:sz w:val="18"/>
                <w:szCs w:val="18"/>
                <w:color w:val="auto"/>
              </w:rPr>
              <w:t>(22,427)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Rebates and discounts we granted for other solutions</w:t>
            </w:r>
            <w:r>
              <w:rPr>
                <w:rFonts w:ascii="Arial" w:cs="Arial" w:eastAsia="Arial" w:hAnsi="Arial"/>
                <w:sz w:val="15"/>
                <w:szCs w:val="15"/>
                <w:color w:val="auto"/>
              </w:rPr>
              <w:t>(2)</w:t>
            </w:r>
          </w:p>
        </w:tc>
        <w:tc>
          <w:tcPr>
            <w:tcW w:w="9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(8,162)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080" w:type="dxa"/>
            <w:vAlign w:val="bottom"/>
            <w:gridSpan w:val="2"/>
            <w:shd w:val="clear" w:color="auto" w:fill="CCEEFF"/>
          </w:tcPr>
          <w:p>
            <w:pPr>
              <w:jc w:val="right"/>
              <w:ind w:right="151"/>
              <w:spacing w:after="0"/>
              <w:rPr>
                <w:sz w:val="20"/>
                <w:szCs w:val="20"/>
                <w:color w:val="auto"/>
              </w:rPr>
            </w:pPr>
            <w:r>
              <w:rPr>
                <w:rFonts w:ascii="Arial" w:cs="Arial" w:eastAsia="Arial" w:hAnsi="Arial"/>
                <w:sz w:val="18"/>
                <w:szCs w:val="18"/>
                <w:color w:val="auto"/>
              </w:rPr>
              <w:t>(6,346)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960" w:type="dxa"/>
            <w:vAlign w:val="bottom"/>
            <w:shd w:val="clear" w:color="auto" w:fill="CCEEFF"/>
          </w:tcPr>
          <w:p>
            <w:pPr>
              <w:jc w:val="right"/>
              <w:ind w:right="160"/>
              <w:spacing w:after="0"/>
              <w:rPr>
                <w:sz w:val="20"/>
                <w:szCs w:val="20"/>
                <w:color w:val="auto"/>
              </w:rPr>
            </w:pPr>
            <w:r>
              <w:rPr>
                <w:rFonts w:ascii="Arial" w:cs="Arial" w:eastAsia="Arial" w:hAnsi="Arial"/>
                <w:sz w:val="18"/>
                <w:szCs w:val="18"/>
                <w:color w:val="auto"/>
              </w:rPr>
              <w:t>(1,894)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360" w:hanging="452"/>
        <w:spacing w:after="0" w:line="25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which US$(412) thousand, US$(6,347) thousand and US$(12,981) thousand were in connection with our specified action (i.e., gross) marketing campaigns, and US$(6,408) thousand, US$(4,328) thousand, and US$(9,446) thousand were in connection with our cost-plus (i.e., net) marketing campaigns in 2015, 2016 and 2017, respectively.</w:t>
      </w:r>
    </w:p>
    <w:p>
      <w:pPr>
        <w:jc w:val="both"/>
        <w:ind w:left="460" w:right="440" w:hanging="452"/>
        <w:spacing w:after="0" w:line="25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Of which US$(3,620) thousand, US$(2,047) thousand and US$(783) thousand were in connection with our specified action (i.e., gross) marketing campaigns, and US$(4,542) thousand, US$(4,299) thousand, and US$(1,111) thousand were in connection with our cost-plus (i.e., net) marketing campaigns in 2015, 2016 and 2017, respectively.</w:t>
      </w:r>
    </w:p>
    <w:p>
      <w:pPr>
        <w:spacing w:after="0" w:line="190"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In 2015, 2016 and 2017, we derived 53.2%, 25.3% and 15.9% of our net revenues from outside China, respectively. Our net revenues from clients in China increased significantly from 2015 to 2016 and further to 2017 as a result of our acquisition of OptAim, which used its consolidated subsidiaries in China to execute marketing campaign contracts, and as we continued to prioritize the execution of our mobile strategy. Clients for our mobile audience solutions are primarily based in China. Our net revenues from clients outside China decreased from 2015 to 2016 and further to 2017 as we continued to optimize the client base for other solutions to focus on profitability and liquidity, and our strategic shift away from other solutions. Clients outside of China primarily use our other solutions. The table below shows our net revenues breakdown by geographic region for the periods presented.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3"/>
              </w:rPr>
              <w:t>Year Ended December 31,</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(US$ in</w:t>
            </w: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4"/>
              </w:rPr>
              <w:t>revenues)</w:t>
            </w: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thousands)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revenues)</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thousands)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4"/>
              </w:rPr>
              <w:t>revenues)</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3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30,505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46.8</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71,214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105,380</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Hong Kong</w:t>
            </w:r>
          </w:p>
        </w:tc>
        <w:tc>
          <w:tcPr>
            <w:tcW w:w="3680" w:type="dxa"/>
            <w:vAlign w:val="bottom"/>
            <w:gridSpan w:val="3"/>
          </w:tcPr>
          <w:p>
            <w:pPr>
              <w:jc w:val="right"/>
              <w:ind w:right="280"/>
              <w:spacing w:after="0"/>
              <w:rPr>
                <w:sz w:val="20"/>
                <w:szCs w:val="20"/>
                <w:color w:val="auto"/>
              </w:rPr>
            </w:pPr>
            <w:r>
              <w:rPr>
                <w:rFonts w:ascii="Arial" w:cs="Arial" w:eastAsia="Arial" w:hAnsi="Arial"/>
                <w:sz w:val="18"/>
                <w:szCs w:val="18"/>
                <w:color w:val="auto"/>
              </w:rPr>
              <w:t>34,442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22,766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18,287</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1,377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3480" w:type="dxa"/>
            <w:vAlign w:val="bottom"/>
          </w:tcPr>
          <w:p>
            <w:pPr>
              <w:spacing w:after="0"/>
              <w:rPr>
                <w:sz w:val="20"/>
                <w:szCs w:val="20"/>
                <w:color w:val="auto"/>
              </w:rPr>
            </w:pPr>
            <w:r>
              <w:rPr>
                <w:rFonts w:ascii="Arial" w:cs="Arial" w:eastAsia="Arial" w:hAnsi="Arial"/>
                <w:sz w:val="18"/>
                <w:szCs w:val="18"/>
                <w:color w:val="auto"/>
              </w:rPr>
              <w:t>Total net revenues</w:t>
            </w:r>
          </w:p>
        </w:tc>
        <w:tc>
          <w:tcPr>
            <w:tcW w:w="27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65,242</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125,258</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720" w:type="dxa"/>
            <w:vAlign w:val="bottom"/>
            <w:vMerge w:val="restart"/>
          </w:tcPr>
          <w:p>
            <w:pPr>
              <w:jc w:val="right"/>
              <w:ind w:right="310"/>
              <w:spacing w:after="0"/>
              <w:rPr>
                <w:sz w:val="20"/>
                <w:szCs w:val="20"/>
                <w:color w:val="auto"/>
              </w:rPr>
            </w:pPr>
            <w:r>
              <w:rPr>
                <w:rFonts w:ascii="Arial" w:cs="Arial" w:eastAsia="Arial" w:hAnsi="Arial"/>
                <w:sz w:val="18"/>
                <w:szCs w:val="18"/>
                <w:color w:val="auto"/>
              </w:rPr>
              <w:t>83</w:t>
            </w: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Margin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Cost of revenues primarily consists of:</w:t>
      </w:r>
    </w:p>
    <w:p>
      <w:pPr>
        <w:spacing w:after="0" w:line="131" w:lineRule="exact"/>
        <w:rPr>
          <w:sz w:val="20"/>
          <w:szCs w:val="20"/>
          <w:color w:val="auto"/>
        </w:rPr>
      </w:pPr>
    </w:p>
    <w:p>
      <w:pPr>
        <w:ind w:left="1480" w:right="300" w:hanging="446"/>
        <w:spacing w:after="0" w:line="312" w:lineRule="auto"/>
        <w:tabs>
          <w:tab w:leader="none" w:pos="14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Media cost in connection with specified-action marketing campaigns</w:t>
      </w:r>
      <w:r>
        <w:rPr>
          <w:rFonts w:ascii="Arial" w:cs="Arial" w:eastAsia="Arial" w:hAnsi="Arial"/>
          <w:sz w:val="16"/>
          <w:szCs w:val="16"/>
          <w:color w:val="auto"/>
        </w:rPr>
        <w:t>. Media cost refers to cost we pay to publishers for acquisition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content distribution opportunities, which is partially offset by rebates we receive from publishers in specified-action marketing campaigns. Media cost represented 81.8%, 88.2%, and 93.0% of our cost of revenues in 2015, 2016 and 2017, respectively.</w:t>
      </w:r>
    </w:p>
    <w:p>
      <w:pPr>
        <w:spacing w:after="0" w:line="52" w:lineRule="exact"/>
        <w:rPr>
          <w:rFonts w:ascii="Arial" w:cs="Arial" w:eastAsia="Arial" w:hAnsi="Arial"/>
          <w:sz w:val="16"/>
          <w:szCs w:val="16"/>
          <w:color w:val="auto"/>
        </w:rPr>
      </w:pPr>
    </w:p>
    <w:p>
      <w:pPr>
        <w:ind w:left="1480" w:right="60" w:hanging="446"/>
        <w:spacing w:after="0" w:line="289" w:lineRule="auto"/>
        <w:tabs>
          <w:tab w:leader="none" w:pos="14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Rebates we grant under our sales agency arrangement</w:t>
      </w:r>
      <w:r>
        <w:rPr>
          <w:rFonts w:ascii="Arial" w:cs="Arial" w:eastAsia="Arial" w:hAnsi="Arial"/>
          <w:sz w:val="16"/>
          <w:szCs w:val="16"/>
          <w:color w:val="auto"/>
        </w:rPr>
        <w:t>. Rebates we grant under our sales agency arrangement are recognized as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and represented 9.5%, 4.2%, and 2.3% of our cost of revenues in 2015, 2016 and 2017, respectively. The decrease from 2015 to 2016 was mainly due to the decrease in rebate rates for rebates we granted under our sales agency arrangement as a result of our increased bargaining power as we solidified our market position as the largest independent online marketing technology platform in China in terms of gross billing, partially offset by the increase in gross billing under our sales agency arrangement from US$46.4 million in 2015 to US$56.8 million in 2016. The decrease in 2016 to 2017 was mainly due to a decrease in gross billing under our sales agency arrangement from US$56.8 million in 2016 to US$52.1 million in 2017, and the decrease in rebate rates for rebates to we granted under our sales agency arrangement as a result of our increased bargaining power as we solidified our market position as the largest independent online marketing technology platform in China in terms of gross billing.</w:t>
      </w:r>
    </w:p>
    <w:p>
      <w:pPr>
        <w:spacing w:after="0" w:line="16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table below shows the rebates we granted to marketers and marketing agencies under our sales agency arrangement for our mobile audience solutions and other solutions for the periods presented. These rebates are recognized as cost of revenues.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Year Ended December 31,</w:t>
            </w:r>
          </w:p>
        </w:tc>
        <w:tc>
          <w:tcPr>
            <w:tcW w:w="7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0"/>
              <w:spacing w:after="0" w:line="142" w:lineRule="exact"/>
              <w:rPr>
                <w:sz w:val="20"/>
                <w:szCs w:val="20"/>
                <w:color w:val="auto"/>
              </w:rPr>
            </w:pPr>
            <w:r>
              <w:rPr>
                <w:rFonts w:ascii="Arial" w:cs="Arial" w:eastAsia="Arial" w:hAnsi="Arial"/>
                <w:sz w:val="14"/>
                <w:szCs w:val="14"/>
                <w:b w:val="1"/>
                <w:bCs w:val="1"/>
                <w:color w:val="auto"/>
                <w:w w:val="96"/>
              </w:rPr>
              <w:t>2015</w:t>
            </w:r>
          </w:p>
        </w:tc>
        <w:tc>
          <w:tcPr>
            <w:tcW w:w="4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20"/>
              <w:spacing w:after="0" w:line="142" w:lineRule="exact"/>
              <w:rPr>
                <w:sz w:val="20"/>
                <w:szCs w:val="20"/>
                <w:color w:val="auto"/>
              </w:rPr>
            </w:pPr>
            <w:r>
              <w:rPr>
                <w:rFonts w:ascii="Arial" w:cs="Arial" w:eastAsia="Arial" w:hAnsi="Arial"/>
                <w:sz w:val="14"/>
                <w:szCs w:val="14"/>
                <w:b w:val="1"/>
                <w:bCs w:val="1"/>
                <w:color w:val="auto"/>
                <w:w w:val="89"/>
              </w:rPr>
              <w:t>2016</w:t>
            </w:r>
          </w:p>
        </w:tc>
        <w:tc>
          <w:tcPr>
            <w:tcW w:w="3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700"/>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r>
      <w:tr>
        <w:trPr>
          <w:trHeight w:val="119"/>
        </w:trPr>
        <w:tc>
          <w:tcPr>
            <w:tcW w:w="5000" w:type="dxa"/>
            <w:vAlign w:val="bottom"/>
          </w:tcPr>
          <w:p>
            <w:pPr>
              <w:spacing w:after="0"/>
              <w:rPr>
                <w:sz w:val="10"/>
                <w:szCs w:val="10"/>
                <w:color w:val="auto"/>
              </w:rPr>
            </w:pPr>
          </w:p>
        </w:tc>
        <w:tc>
          <w:tcPr>
            <w:tcW w:w="74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(US$ in</w:t>
            </w:r>
          </w:p>
        </w:tc>
        <w:tc>
          <w:tcPr>
            <w:tcW w:w="1080" w:type="dxa"/>
            <w:vAlign w:val="bottom"/>
          </w:tcPr>
          <w:p>
            <w:pPr>
              <w:jc w:val="center"/>
              <w:ind w:left="220"/>
              <w:spacing w:after="0" w:line="119" w:lineRule="exact"/>
              <w:rPr>
                <w:sz w:val="20"/>
                <w:szCs w:val="20"/>
                <w:color w:val="auto"/>
              </w:rPr>
            </w:pPr>
            <w:r>
              <w:rPr>
                <w:rFonts w:ascii="Arial" w:cs="Arial" w:eastAsia="Arial" w:hAnsi="Arial"/>
                <w:sz w:val="13"/>
                <w:szCs w:val="13"/>
                <w:b w:val="1"/>
                <w:bCs w:val="1"/>
                <w:color w:val="auto"/>
                <w:w w:val="99"/>
              </w:rPr>
              <w:t>(% of cost of</w:t>
            </w:r>
          </w:p>
        </w:tc>
        <w:tc>
          <w:tcPr>
            <w:tcW w:w="400" w:type="dxa"/>
            <w:vAlign w:val="bottom"/>
          </w:tcPr>
          <w:p>
            <w:pPr>
              <w:spacing w:after="0"/>
              <w:rPr>
                <w:sz w:val="10"/>
                <w:szCs w:val="10"/>
                <w:color w:val="auto"/>
              </w:rPr>
            </w:pPr>
          </w:p>
        </w:tc>
        <w:tc>
          <w:tcPr>
            <w:tcW w:w="76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(US$ in</w:t>
            </w:r>
          </w:p>
        </w:tc>
        <w:tc>
          <w:tcPr>
            <w:tcW w:w="1100" w:type="dxa"/>
            <w:vAlign w:val="bottom"/>
          </w:tcPr>
          <w:p>
            <w:pPr>
              <w:jc w:val="center"/>
              <w:ind w:left="200"/>
              <w:spacing w:after="0" w:line="119" w:lineRule="exact"/>
              <w:rPr>
                <w:sz w:val="20"/>
                <w:szCs w:val="20"/>
                <w:color w:val="auto"/>
              </w:rPr>
            </w:pPr>
            <w:r>
              <w:rPr>
                <w:rFonts w:ascii="Arial" w:cs="Arial" w:eastAsia="Arial" w:hAnsi="Arial"/>
                <w:sz w:val="13"/>
                <w:szCs w:val="13"/>
                <w:b w:val="1"/>
                <w:bCs w:val="1"/>
                <w:color w:val="auto"/>
                <w:w w:val="99"/>
              </w:rPr>
              <w:t>(% of cost of</w:t>
            </w:r>
          </w:p>
        </w:tc>
        <w:tc>
          <w:tcPr>
            <w:tcW w:w="380" w:type="dxa"/>
            <w:vAlign w:val="bottom"/>
          </w:tcPr>
          <w:p>
            <w:pPr>
              <w:spacing w:after="0"/>
              <w:rPr>
                <w:sz w:val="10"/>
                <w:szCs w:val="10"/>
                <w:color w:val="auto"/>
              </w:rPr>
            </w:pPr>
          </w:p>
        </w:tc>
        <w:tc>
          <w:tcPr>
            <w:tcW w:w="760" w:type="dxa"/>
            <w:vAlign w:val="bottom"/>
          </w:tcPr>
          <w:p>
            <w:pPr>
              <w:jc w:val="right"/>
              <w:ind w:right="118"/>
              <w:spacing w:after="0" w:line="119" w:lineRule="exact"/>
              <w:rPr>
                <w:sz w:val="20"/>
                <w:szCs w:val="20"/>
                <w:color w:val="auto"/>
              </w:rPr>
            </w:pPr>
            <w:r>
              <w:rPr>
                <w:rFonts w:ascii="Arial" w:cs="Arial" w:eastAsia="Arial" w:hAnsi="Arial"/>
                <w:sz w:val="13"/>
                <w:szCs w:val="13"/>
                <w:b w:val="1"/>
                <w:bCs w:val="1"/>
                <w:color w:val="auto"/>
              </w:rPr>
              <w:t>(US$ in</w:t>
            </w:r>
          </w:p>
        </w:tc>
        <w:tc>
          <w:tcPr>
            <w:tcW w:w="1100" w:type="dxa"/>
            <w:vAlign w:val="bottom"/>
          </w:tcPr>
          <w:p>
            <w:pPr>
              <w:jc w:val="center"/>
              <w:ind w:left="220"/>
              <w:spacing w:after="0" w:line="119" w:lineRule="exact"/>
              <w:rPr>
                <w:sz w:val="20"/>
                <w:szCs w:val="20"/>
                <w:color w:val="auto"/>
              </w:rPr>
            </w:pPr>
            <w:r>
              <w:rPr>
                <w:rFonts w:ascii="Arial" w:cs="Arial" w:eastAsia="Arial" w:hAnsi="Arial"/>
                <w:sz w:val="13"/>
                <w:szCs w:val="13"/>
                <w:b w:val="1"/>
                <w:bCs w:val="1"/>
                <w:color w:val="auto"/>
                <w:w w:val="97"/>
              </w:rPr>
              <w:t>(% of cost of</w:t>
            </w:r>
          </w:p>
        </w:tc>
        <w:tc>
          <w:tcPr>
            <w:tcW w:w="100" w:type="dxa"/>
            <w:vAlign w:val="bottom"/>
          </w:tcPr>
          <w:p>
            <w:pPr>
              <w:spacing w:after="0"/>
              <w:rPr>
                <w:sz w:val="10"/>
                <w:szCs w:val="10"/>
                <w:color w:val="auto"/>
              </w:rPr>
            </w:pPr>
          </w:p>
        </w:tc>
      </w:tr>
      <w:tr>
        <w:trPr>
          <w:trHeight w:val="171"/>
        </w:trPr>
        <w:tc>
          <w:tcPr>
            <w:tcW w:w="50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revenues)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4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revenues)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200" w:type="dxa"/>
            <w:vAlign w:val="bottom"/>
            <w:gridSpan w:val="2"/>
          </w:tcPr>
          <w:p>
            <w:pPr>
              <w:jc w:val="center"/>
              <w:ind w:left="120"/>
              <w:spacing w:after="0"/>
              <w:rPr>
                <w:sz w:val="20"/>
                <w:szCs w:val="20"/>
                <w:color w:val="auto"/>
              </w:rPr>
            </w:pPr>
            <w:r>
              <w:rPr>
                <w:rFonts w:ascii="Arial" w:cs="Arial" w:eastAsia="Arial" w:hAnsi="Arial"/>
                <w:sz w:val="14"/>
                <w:szCs w:val="14"/>
                <w:b w:val="1"/>
                <w:bCs w:val="1"/>
                <w:color w:val="auto"/>
                <w:w w:val="90"/>
              </w:rPr>
              <w:t>revenues)</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Rebates we granted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4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4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(2.3)</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Rebates we granted for mobile audience solutions</w:t>
            </w: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8"/>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Rebates we granted for other solutions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4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(9.5)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4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(4.2)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(2.3)</w:t>
            </w:r>
          </w:p>
        </w:tc>
      </w:tr>
    </w:tbl>
    <w:p>
      <w:pPr>
        <w:spacing w:after="0" w:line="202"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table below shows our rebates received from website publishers under specified action marketing campaigns, which were recognized as deduction of cost of revenues for our mobile audience solutions and other solutions for the periods presented.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8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19"/>
        </w:trPr>
        <w:tc>
          <w:tcPr>
            <w:tcW w:w="5800" w:type="dxa"/>
            <w:vAlign w:val="bottom"/>
          </w:tcPr>
          <w:p>
            <w:pPr>
              <w:spacing w:after="0"/>
              <w:rPr>
                <w:sz w:val="10"/>
                <w:szCs w:val="10"/>
                <w:color w:val="auto"/>
              </w:rPr>
            </w:pPr>
          </w:p>
        </w:tc>
        <w:tc>
          <w:tcPr>
            <w:tcW w:w="1000" w:type="dxa"/>
            <w:vAlign w:val="bottom"/>
          </w:tcPr>
          <w:p>
            <w:pPr>
              <w:jc w:val="right"/>
              <w:ind w:right="360"/>
              <w:spacing w:after="0" w:line="119" w:lineRule="exact"/>
              <w:rPr>
                <w:sz w:val="20"/>
                <w:szCs w:val="20"/>
                <w:color w:val="auto"/>
              </w:rPr>
            </w:pPr>
            <w:r>
              <w:rPr>
                <w:rFonts w:ascii="Arial" w:cs="Arial" w:eastAsia="Arial" w:hAnsi="Arial"/>
                <w:sz w:val="13"/>
                <w:szCs w:val="13"/>
                <w:b w:val="1"/>
                <w:bCs w:val="1"/>
                <w:color w:val="auto"/>
              </w:rPr>
              <w:t>(US$ in</w:t>
            </w: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60" w:type="dxa"/>
            <w:vAlign w:val="bottom"/>
          </w:tcPr>
          <w:p>
            <w:pPr>
              <w:spacing w:after="0"/>
              <w:rPr>
                <w:sz w:val="10"/>
                <w:szCs w:val="10"/>
                <w:color w:val="auto"/>
              </w:rPr>
            </w:pPr>
          </w:p>
        </w:tc>
        <w:tc>
          <w:tcPr>
            <w:tcW w:w="980" w:type="dxa"/>
            <w:vAlign w:val="bottom"/>
          </w:tcPr>
          <w:p>
            <w:pPr>
              <w:jc w:val="right"/>
              <w:ind w:right="341"/>
              <w:spacing w:after="0" w:line="119" w:lineRule="exact"/>
              <w:rPr>
                <w:sz w:val="20"/>
                <w:szCs w:val="20"/>
                <w:color w:val="auto"/>
              </w:rPr>
            </w:pPr>
            <w:r>
              <w:rPr>
                <w:rFonts w:ascii="Arial" w:cs="Arial" w:eastAsia="Arial" w:hAnsi="Arial"/>
                <w:sz w:val="13"/>
                <w:szCs w:val="13"/>
                <w:b w:val="1"/>
                <w:bCs w:val="1"/>
                <w:color w:val="auto"/>
              </w:rPr>
              <w:t>(US$ in</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340" w:type="dxa"/>
            <w:vAlign w:val="bottom"/>
          </w:tcPr>
          <w:p>
            <w:pPr>
              <w:spacing w:after="0"/>
              <w:rPr>
                <w:sz w:val="10"/>
                <w:szCs w:val="10"/>
                <w:color w:val="auto"/>
              </w:rPr>
            </w:pPr>
          </w:p>
        </w:tc>
        <w:tc>
          <w:tcPr>
            <w:tcW w:w="1000" w:type="dxa"/>
            <w:vAlign w:val="bottom"/>
          </w:tcPr>
          <w:p>
            <w:pPr>
              <w:jc w:val="right"/>
              <w:ind w:right="340"/>
              <w:spacing w:after="0" w:line="119" w:lineRule="exact"/>
              <w:rPr>
                <w:sz w:val="20"/>
                <w:szCs w:val="20"/>
                <w:color w:val="auto"/>
              </w:rPr>
            </w:pPr>
            <w:r>
              <w:rPr>
                <w:rFonts w:ascii="Arial" w:cs="Arial" w:eastAsia="Arial" w:hAnsi="Arial"/>
                <w:sz w:val="13"/>
                <w:szCs w:val="13"/>
                <w:b w:val="1"/>
                <w:bCs w:val="1"/>
                <w:color w:val="auto"/>
              </w:rPr>
              <w:t>(US$ in</w:t>
            </w:r>
          </w:p>
        </w:tc>
        <w:tc>
          <w:tcPr>
            <w:tcW w:w="62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71"/>
        </w:trPr>
        <w:tc>
          <w:tcPr>
            <w:tcW w:w="5800" w:type="dxa"/>
            <w:vAlign w:val="bottom"/>
          </w:tcPr>
          <w:p>
            <w:pPr>
              <w:spacing w:after="0"/>
              <w:rPr>
                <w:sz w:val="14"/>
                <w:szCs w:val="14"/>
                <w:color w:val="auto"/>
              </w:rPr>
            </w:pPr>
          </w:p>
        </w:tc>
        <w:tc>
          <w:tcPr>
            <w:tcW w:w="1000" w:type="dxa"/>
            <w:vAlign w:val="bottom"/>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revenues)</w:t>
            </w:r>
          </w:p>
        </w:tc>
        <w:tc>
          <w:tcPr>
            <w:tcW w:w="980" w:type="dxa"/>
            <w:vAlign w:val="bottom"/>
          </w:tcPr>
          <w:p>
            <w:pPr>
              <w:spacing w:after="0"/>
              <w:rPr>
                <w:sz w:val="20"/>
                <w:szCs w:val="20"/>
                <w:color w:val="auto"/>
              </w:rPr>
            </w:pPr>
            <w:r>
              <w:rPr>
                <w:rFonts w:ascii="Arial" w:cs="Arial" w:eastAsia="Arial" w:hAnsi="Arial"/>
                <w:sz w:val="14"/>
                <w:szCs w:val="14"/>
                <w:b w:val="1"/>
                <w:bCs w:val="1"/>
                <w:color w:val="auto"/>
              </w:rPr>
              <w:t>thousands)</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revenues)</w:t>
            </w:r>
          </w:p>
        </w:tc>
        <w:tc>
          <w:tcPr>
            <w:tcW w:w="1000" w:type="dxa"/>
            <w:vAlign w:val="bottom"/>
          </w:tcPr>
          <w:p>
            <w:pPr>
              <w:jc w:val="right"/>
              <w:ind w:right="240"/>
              <w:spacing w:after="0"/>
              <w:rPr>
                <w:sz w:val="20"/>
                <w:szCs w:val="20"/>
                <w:color w:val="auto"/>
              </w:rPr>
            </w:pPr>
            <w:r>
              <w:rPr>
                <w:rFonts w:ascii="Arial" w:cs="Arial" w:eastAsia="Arial" w:hAnsi="Arial"/>
                <w:sz w:val="14"/>
                <w:szCs w:val="14"/>
                <w:b w:val="1"/>
                <w:bCs w:val="1"/>
                <w:color w:val="auto"/>
                <w:w w:val="87"/>
              </w:rPr>
              <w:t>thousands)</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revenues)</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531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6,037</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16,323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Rebates received from publishers for mobile audience solutions</w:t>
            </w:r>
          </w:p>
        </w:tc>
        <w:tc>
          <w:tcPr>
            <w:tcW w:w="1000" w:type="dxa"/>
            <w:vAlign w:val="bottom"/>
          </w:tcPr>
          <w:p>
            <w:pPr>
              <w:jc w:val="right"/>
              <w:ind w:right="240"/>
              <w:spacing w:after="0"/>
              <w:rPr>
                <w:sz w:val="20"/>
                <w:szCs w:val="20"/>
                <w:color w:val="auto"/>
              </w:rPr>
            </w:pPr>
            <w:r>
              <w:rPr>
                <w:rFonts w:ascii="Arial" w:cs="Arial" w:eastAsia="Arial" w:hAnsi="Arial"/>
                <w:sz w:val="18"/>
                <w:szCs w:val="18"/>
                <w:color w:val="auto"/>
              </w:rPr>
              <w:t>219</w:t>
            </w:r>
          </w:p>
        </w:tc>
        <w:tc>
          <w:tcPr>
            <w:tcW w:w="62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980" w:type="dxa"/>
            <w:vAlign w:val="bottom"/>
          </w:tcPr>
          <w:p>
            <w:pPr>
              <w:jc w:val="right"/>
              <w:ind w:right="241"/>
              <w:spacing w:after="0"/>
              <w:rPr>
                <w:sz w:val="20"/>
                <w:szCs w:val="20"/>
                <w:color w:val="auto"/>
              </w:rPr>
            </w:pPr>
            <w:r>
              <w:rPr>
                <w:rFonts w:ascii="Arial" w:cs="Arial" w:eastAsia="Arial" w:hAnsi="Arial"/>
                <w:sz w:val="18"/>
                <w:szCs w:val="18"/>
                <w:color w:val="auto"/>
              </w:rPr>
              <w:t>5,875</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6.2</w:t>
            </w:r>
          </w:p>
        </w:tc>
        <w:tc>
          <w:tcPr>
            <w:tcW w:w="1000" w:type="dxa"/>
            <w:vAlign w:val="bottom"/>
          </w:tcPr>
          <w:p>
            <w:pPr>
              <w:jc w:val="right"/>
              <w:ind w:right="240"/>
              <w:spacing w:after="0"/>
              <w:rPr>
                <w:sz w:val="20"/>
                <w:szCs w:val="20"/>
                <w:color w:val="auto"/>
              </w:rPr>
            </w:pPr>
            <w:r>
              <w:rPr>
                <w:rFonts w:ascii="Arial" w:cs="Arial" w:eastAsia="Arial" w:hAnsi="Arial"/>
                <w:sz w:val="18"/>
                <w:szCs w:val="18"/>
                <w:color w:val="auto"/>
              </w:rPr>
              <w:t>16,279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 for other solutions</w:t>
            </w: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312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162</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bl>
    <w:p>
      <w:pPr>
        <w:spacing w:after="0" w:line="107" w:lineRule="exact"/>
        <w:rPr>
          <w:sz w:val="20"/>
          <w:szCs w:val="20"/>
          <w:color w:val="auto"/>
        </w:rPr>
      </w:pPr>
    </w:p>
    <w:p>
      <w:pPr>
        <w:ind w:left="1480" w:right="40" w:hanging="446"/>
        <w:spacing w:after="0" w:line="277" w:lineRule="auto"/>
        <w:tabs>
          <w:tab w:leader="none" w:pos="14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Amortization of expenses</w:t>
      </w:r>
      <w:r>
        <w:rPr>
          <w:rFonts w:ascii="Arial" w:cs="Arial" w:eastAsia="Arial" w:hAnsi="Arial"/>
          <w:sz w:val="18"/>
          <w:szCs w:val="18"/>
          <w:color w:val="auto"/>
        </w:rPr>
        <w:t>. This relates to amortization of computer software acquired in the acquisitions of Buzzinate and OptAim,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5.4%, 6.8%, and 4.3% of our cost of revenues in 2015, 2016 and 2017,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table below shows the cost of revenues, gross profit and gross profit margin for our mobile audience solutions for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Gross profit margin for our mobile audience solutions represents gross profit as a percentage of net revenues for mobile audience solutions.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83"/>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3"/>
              <w:spacing w:after="0" w:line="142" w:lineRule="exact"/>
              <w:rPr>
                <w:sz w:val="20"/>
                <w:szCs w:val="20"/>
                <w:color w:val="auto"/>
              </w:rPr>
            </w:pPr>
            <w:r>
              <w:rPr>
                <w:rFonts w:ascii="Arial" w:cs="Arial" w:eastAsia="Arial" w:hAnsi="Arial"/>
                <w:sz w:val="14"/>
                <w:szCs w:val="14"/>
                <w:b w:val="1"/>
                <w:bCs w:val="1"/>
                <w:color w:val="auto"/>
                <w:w w:val="96"/>
              </w:rPr>
              <w:t>2016</w:t>
            </w:r>
          </w:p>
        </w:tc>
        <w:tc>
          <w:tcPr>
            <w:tcW w:w="3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6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tcPr>
          <w:p>
            <w:pPr>
              <w:jc w:val="center"/>
              <w:ind w:left="243"/>
              <w:spacing w:after="0" w:line="129" w:lineRule="exact"/>
              <w:rPr>
                <w:sz w:val="20"/>
                <w:szCs w:val="20"/>
                <w:color w:val="auto"/>
              </w:rPr>
            </w:pPr>
            <w:r>
              <w:rPr>
                <w:rFonts w:ascii="Arial" w:cs="Arial" w:eastAsia="Arial" w:hAnsi="Arial"/>
                <w:sz w:val="14"/>
                <w:szCs w:val="14"/>
                <w:b w:val="1"/>
                <w:bCs w:val="1"/>
                <w:color w:val="auto"/>
                <w:w w:val="98"/>
              </w:rPr>
              <w:t>(% of net</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center"/>
              <w:ind w:left="223"/>
              <w:spacing w:after="0" w:line="129" w:lineRule="exact"/>
              <w:rPr>
                <w:sz w:val="20"/>
                <w:szCs w:val="20"/>
                <w:color w:val="auto"/>
              </w:rPr>
            </w:pPr>
            <w:r>
              <w:rPr>
                <w:rFonts w:ascii="Arial" w:cs="Arial" w:eastAsia="Arial" w:hAnsi="Arial"/>
                <w:sz w:val="14"/>
                <w:szCs w:val="14"/>
                <w:b w:val="1"/>
                <w:bCs w:val="1"/>
                <w:color w:val="auto"/>
                <w:w w:val="98"/>
              </w:rPr>
              <w:t>(% of net</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tcPr>
          <w:p>
            <w:pPr>
              <w:jc w:val="center"/>
              <w:ind w:left="243"/>
              <w:spacing w:after="0" w:line="129" w:lineRule="exact"/>
              <w:rPr>
                <w:sz w:val="20"/>
                <w:szCs w:val="20"/>
                <w:color w:val="auto"/>
              </w:rPr>
            </w:pPr>
            <w:r>
              <w:rPr>
                <w:rFonts w:ascii="Arial" w:cs="Arial" w:eastAsia="Arial" w:hAnsi="Arial"/>
                <w:sz w:val="14"/>
                <w:szCs w:val="14"/>
                <w:b w:val="1"/>
                <w:bCs w:val="1"/>
                <w:color w:val="auto"/>
                <w:w w:val="94"/>
              </w:rPr>
              <w:t>(% of net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7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(US$ in</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(US$ in</w:t>
            </w: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(US$ in</w:t>
            </w:r>
          </w:p>
        </w:tc>
        <w:tc>
          <w:tcPr>
            <w:tcW w:w="1140" w:type="dxa"/>
            <w:vAlign w:val="bottom"/>
            <w:gridSpan w:val="2"/>
          </w:tcPr>
          <w:p>
            <w:pPr>
              <w:jc w:val="center"/>
              <w:ind w:left="183"/>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mobile</w:t>
            </w:r>
          </w:p>
        </w:tc>
        <w:tc>
          <w:tcPr>
            <w:tcW w:w="720" w:type="dxa"/>
            <w:vAlign w:val="bottom"/>
            <w:vMerge w:val="continue"/>
          </w:tcPr>
          <w:p>
            <w:pPr>
              <w:spacing w:after="0"/>
              <w:rPr>
                <w:sz w:val="12"/>
                <w:szCs w:val="12"/>
                <w:color w:val="auto"/>
              </w:rPr>
            </w:pP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mobile</w:t>
            </w:r>
          </w:p>
        </w:tc>
        <w:tc>
          <w:tcPr>
            <w:tcW w:w="720" w:type="dxa"/>
            <w:vAlign w:val="bottom"/>
            <w:vMerge w:val="continue"/>
          </w:tcPr>
          <w:p>
            <w:pPr>
              <w:spacing w:after="0"/>
              <w:rPr>
                <w:sz w:val="12"/>
                <w:szCs w:val="12"/>
                <w:color w:val="auto"/>
              </w:rPr>
            </w:pPr>
          </w:p>
        </w:tc>
        <w:tc>
          <w:tcPr>
            <w:tcW w:w="1140" w:type="dxa"/>
            <w:vAlign w:val="bottom"/>
            <w:gridSpan w:val="2"/>
          </w:tcPr>
          <w:p>
            <w:pPr>
              <w:jc w:val="center"/>
              <w:ind w:left="183"/>
              <w:spacing w:after="0" w:line="149" w:lineRule="exact"/>
              <w:rPr>
                <w:sz w:val="20"/>
                <w:szCs w:val="20"/>
                <w:color w:val="auto"/>
              </w:rPr>
            </w:pPr>
            <w:r>
              <w:rPr>
                <w:rFonts w:ascii="Arial" w:cs="Arial" w:eastAsia="Arial" w:hAnsi="Arial"/>
                <w:sz w:val="14"/>
                <w:szCs w:val="14"/>
                <w:b w:val="1"/>
                <w:bCs w:val="1"/>
                <w:color w:val="auto"/>
                <w:w w:val="88"/>
              </w:rPr>
              <w:t>mobile</w:t>
            </w:r>
          </w:p>
        </w:tc>
        <w:tc>
          <w:tcPr>
            <w:tcW w:w="0" w:type="dxa"/>
            <w:vAlign w:val="bottom"/>
          </w:tcPr>
          <w:p>
            <w:pPr>
              <w:spacing w:after="0"/>
              <w:rPr>
                <w:sz w:val="1"/>
                <w:szCs w:val="1"/>
                <w:color w:val="auto"/>
              </w:rPr>
            </w:pPr>
          </w:p>
        </w:tc>
      </w:tr>
      <w:tr>
        <w:trPr>
          <w:trHeight w:val="176"/>
        </w:trPr>
        <w:tc>
          <w:tcPr>
            <w:tcW w:w="52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solutions)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solutions)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140" w:type="dxa"/>
            <w:vAlign w:val="bottom"/>
            <w:gridSpan w:val="2"/>
          </w:tcPr>
          <w:p>
            <w:pPr>
              <w:jc w:val="center"/>
              <w:ind w:left="183"/>
              <w:spacing w:after="0"/>
              <w:rPr>
                <w:sz w:val="20"/>
                <w:szCs w:val="20"/>
                <w:color w:val="auto"/>
              </w:rPr>
            </w:pPr>
            <w:r>
              <w:rPr>
                <w:rFonts w:ascii="Arial" w:cs="Arial" w:eastAsia="Arial" w:hAnsi="Arial"/>
                <w:sz w:val="14"/>
                <w:szCs w:val="14"/>
                <w:b w:val="1"/>
                <w:bCs w:val="1"/>
                <w:color w:val="auto"/>
                <w:w w:val="89"/>
              </w:rPr>
              <w:t>solutions)</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for mobile audience solutions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8,511</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48,212</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90,899</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Gross profit for mobile audience solutions</w:t>
            </w:r>
          </w:p>
        </w:tc>
        <w:tc>
          <w:tcPr>
            <w:tcW w:w="700" w:type="dxa"/>
            <w:vAlign w:val="bottom"/>
          </w:tcPr>
          <w:p>
            <w:pPr>
              <w:jc w:val="right"/>
              <w:spacing w:after="0"/>
              <w:rPr>
                <w:sz w:val="20"/>
                <w:szCs w:val="20"/>
                <w:color w:val="auto"/>
              </w:rPr>
            </w:pPr>
            <w:r>
              <w:rPr>
                <w:rFonts w:ascii="Arial" w:cs="Arial" w:eastAsia="Arial" w:hAnsi="Arial"/>
                <w:sz w:val="18"/>
                <w:szCs w:val="18"/>
                <w:color w:val="auto"/>
              </w:rPr>
              <w:t>3,397</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28.5</w:t>
            </w:r>
          </w:p>
        </w:tc>
        <w:tc>
          <w:tcPr>
            <w:tcW w:w="720" w:type="dxa"/>
            <w:vAlign w:val="bottom"/>
          </w:tcPr>
          <w:p>
            <w:pPr>
              <w:jc w:val="right"/>
              <w:spacing w:after="0"/>
              <w:rPr>
                <w:sz w:val="20"/>
                <w:szCs w:val="20"/>
                <w:color w:val="auto"/>
              </w:rPr>
            </w:pPr>
            <w:r>
              <w:rPr>
                <w:rFonts w:ascii="Arial" w:cs="Arial" w:eastAsia="Arial" w:hAnsi="Arial"/>
                <w:sz w:val="18"/>
                <w:szCs w:val="18"/>
                <w:color w:val="auto"/>
              </w:rPr>
              <w:t>9,549</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16.5</w:t>
            </w:r>
          </w:p>
        </w:tc>
        <w:tc>
          <w:tcPr>
            <w:tcW w:w="720" w:type="dxa"/>
            <w:vAlign w:val="bottom"/>
          </w:tcPr>
          <w:p>
            <w:pPr>
              <w:jc w:val="right"/>
              <w:spacing w:after="0"/>
              <w:rPr>
                <w:sz w:val="20"/>
                <w:szCs w:val="20"/>
                <w:color w:val="auto"/>
              </w:rPr>
            </w:pPr>
            <w:r>
              <w:rPr>
                <w:rFonts w:ascii="Arial" w:cs="Arial" w:eastAsia="Arial" w:hAnsi="Arial"/>
                <w:sz w:val="18"/>
                <w:szCs w:val="18"/>
                <w:color w:val="auto"/>
              </w:rPr>
              <w:t>10,527</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The table below shows the cost of revenues, gross profit and gross profit margin for our other solutions for the periods presented. Gross profit margin for our other solutions represents gross profit as a percentage of net revenues for other solutions.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68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84"/>
              <w:spacing w:after="0" w:line="142" w:lineRule="exact"/>
              <w:rPr>
                <w:sz w:val="20"/>
                <w:szCs w:val="20"/>
                <w:color w:val="auto"/>
              </w:rPr>
            </w:pPr>
            <w:r>
              <w:rPr>
                <w:rFonts w:ascii="Arial" w:cs="Arial" w:eastAsia="Arial" w:hAnsi="Arial"/>
                <w:sz w:val="14"/>
                <w:szCs w:val="14"/>
                <w:b w:val="1"/>
                <w:bCs w:val="1"/>
                <w:color w:val="auto"/>
                <w:w w:val="96"/>
              </w:rPr>
              <w:t>2016</w:t>
            </w:r>
          </w:p>
        </w:tc>
        <w:tc>
          <w:tcPr>
            <w:tcW w:w="3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6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tcPr>
          <w:p>
            <w:pPr>
              <w:jc w:val="center"/>
              <w:ind w:left="244"/>
              <w:spacing w:after="0" w:line="119" w:lineRule="exact"/>
              <w:rPr>
                <w:sz w:val="20"/>
                <w:szCs w:val="20"/>
                <w:color w:val="auto"/>
              </w:rPr>
            </w:pPr>
            <w:r>
              <w:rPr>
                <w:rFonts w:ascii="Arial" w:cs="Arial" w:eastAsia="Arial" w:hAnsi="Arial"/>
                <w:sz w:val="13"/>
                <w:szCs w:val="13"/>
                <w:b w:val="1"/>
                <w:bCs w:val="1"/>
                <w:color w:val="auto"/>
              </w:rPr>
              <w:t>(% of net</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tcPr>
          <w:p>
            <w:pPr>
              <w:jc w:val="center"/>
              <w:ind w:left="224"/>
              <w:spacing w:after="0" w:line="119" w:lineRule="exact"/>
              <w:rPr>
                <w:sz w:val="20"/>
                <w:szCs w:val="20"/>
                <w:color w:val="auto"/>
              </w:rPr>
            </w:pPr>
            <w:r>
              <w:rPr>
                <w:rFonts w:ascii="Arial" w:cs="Arial" w:eastAsia="Arial" w:hAnsi="Arial"/>
                <w:sz w:val="13"/>
                <w:szCs w:val="13"/>
                <w:b w:val="1"/>
                <w:bCs w:val="1"/>
                <w:color w:val="auto"/>
              </w:rPr>
              <w:t>(% of net</w:t>
            </w: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80" w:type="dxa"/>
            <w:vAlign w:val="bottom"/>
          </w:tcPr>
          <w:p>
            <w:pPr>
              <w:jc w:val="center"/>
              <w:ind w:left="244"/>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7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(US$ in</w:t>
            </w:r>
          </w:p>
        </w:tc>
        <w:tc>
          <w:tcPr>
            <w:tcW w:w="14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2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(US$ in</w:t>
            </w: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2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(US$ in</w:t>
            </w:r>
          </w:p>
        </w:tc>
        <w:tc>
          <w:tcPr>
            <w:tcW w:w="1140" w:type="dxa"/>
            <w:vAlign w:val="bottom"/>
            <w:gridSpan w:val="2"/>
          </w:tcPr>
          <w:p>
            <w:pPr>
              <w:jc w:val="center"/>
              <w:ind w:left="184"/>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other</w:t>
            </w:r>
          </w:p>
        </w:tc>
        <w:tc>
          <w:tcPr>
            <w:tcW w:w="720" w:type="dxa"/>
            <w:vAlign w:val="bottom"/>
            <w:vMerge w:val="continue"/>
          </w:tcPr>
          <w:p>
            <w:pPr>
              <w:spacing w:after="0"/>
              <w:rPr>
                <w:sz w:val="12"/>
                <w:szCs w:val="12"/>
                <w:color w:val="auto"/>
              </w:rPr>
            </w:pP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other</w:t>
            </w:r>
          </w:p>
        </w:tc>
        <w:tc>
          <w:tcPr>
            <w:tcW w:w="720" w:type="dxa"/>
            <w:vAlign w:val="bottom"/>
            <w:vMerge w:val="continue"/>
          </w:tcPr>
          <w:p>
            <w:pPr>
              <w:spacing w:after="0"/>
              <w:rPr>
                <w:sz w:val="12"/>
                <w:szCs w:val="12"/>
                <w:color w:val="auto"/>
              </w:rPr>
            </w:pPr>
          </w:p>
        </w:tc>
        <w:tc>
          <w:tcPr>
            <w:tcW w:w="1140" w:type="dxa"/>
            <w:vAlign w:val="bottom"/>
            <w:gridSpan w:val="2"/>
          </w:tcPr>
          <w:p>
            <w:pPr>
              <w:jc w:val="center"/>
              <w:ind w:left="184"/>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14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solutions)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solutions)</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140" w:type="dxa"/>
            <w:vAlign w:val="bottom"/>
            <w:gridSpan w:val="2"/>
          </w:tcPr>
          <w:p>
            <w:pPr>
              <w:jc w:val="center"/>
              <w:ind w:left="184"/>
              <w:spacing w:after="0"/>
              <w:rPr>
                <w:sz w:val="20"/>
                <w:szCs w:val="20"/>
                <w:color w:val="auto"/>
              </w:rPr>
            </w:pPr>
            <w:r>
              <w:rPr>
                <w:rFonts w:ascii="Arial" w:cs="Arial" w:eastAsia="Arial" w:hAnsi="Arial"/>
                <w:sz w:val="14"/>
                <w:szCs w:val="14"/>
                <w:b w:val="1"/>
                <w:bCs w:val="1"/>
                <w:color w:val="auto"/>
                <w:w w:val="89"/>
              </w:rPr>
              <w:t>solutions)</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for other solutions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26,020</w:t>
            </w:r>
          </w:p>
        </w:tc>
        <w:tc>
          <w:tcPr>
            <w:tcW w:w="14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12,836</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Gross profit for other solutions</w:t>
            </w:r>
          </w:p>
        </w:tc>
        <w:tc>
          <w:tcPr>
            <w:tcW w:w="700" w:type="dxa"/>
            <w:vAlign w:val="bottom"/>
          </w:tcPr>
          <w:p>
            <w:pPr>
              <w:jc w:val="right"/>
              <w:spacing w:after="0"/>
              <w:rPr>
                <w:sz w:val="20"/>
                <w:szCs w:val="20"/>
                <w:color w:val="auto"/>
              </w:rPr>
            </w:pPr>
            <w:r>
              <w:rPr>
                <w:rFonts w:ascii="Arial" w:cs="Arial" w:eastAsia="Arial" w:hAnsi="Arial"/>
                <w:sz w:val="18"/>
                <w:szCs w:val="18"/>
                <w:color w:val="auto"/>
              </w:rPr>
              <w:t>27,314</w:t>
            </w:r>
          </w:p>
        </w:tc>
        <w:tc>
          <w:tcPr>
            <w:tcW w:w="1440" w:type="dxa"/>
            <w:vAlign w:val="bottom"/>
            <w:gridSpan w:val="2"/>
          </w:tcPr>
          <w:p>
            <w:pPr>
              <w:jc w:val="right"/>
              <w:ind w:right="340"/>
              <w:spacing w:after="0"/>
              <w:rPr>
                <w:sz w:val="20"/>
                <w:szCs w:val="20"/>
                <w:color w:val="auto"/>
              </w:rPr>
            </w:pPr>
            <w:r>
              <w:rPr>
                <w:rFonts w:ascii="Arial" w:cs="Arial" w:eastAsia="Arial" w:hAnsi="Arial"/>
                <w:sz w:val="18"/>
                <w:szCs w:val="18"/>
                <w:color w:val="auto"/>
              </w:rPr>
              <w:t>51.2</w:t>
            </w:r>
          </w:p>
        </w:tc>
        <w:tc>
          <w:tcPr>
            <w:tcW w:w="720" w:type="dxa"/>
            <w:vAlign w:val="bottom"/>
          </w:tcPr>
          <w:p>
            <w:pPr>
              <w:jc w:val="right"/>
              <w:spacing w:after="0"/>
              <w:rPr>
                <w:sz w:val="20"/>
                <w:szCs w:val="20"/>
                <w:color w:val="auto"/>
              </w:rPr>
            </w:pPr>
            <w:r>
              <w:rPr>
                <w:rFonts w:ascii="Arial" w:cs="Arial" w:eastAsia="Arial" w:hAnsi="Arial"/>
                <w:sz w:val="18"/>
                <w:szCs w:val="18"/>
                <w:color w:val="auto"/>
              </w:rPr>
              <w:t>24,760</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65.9</w:t>
            </w:r>
          </w:p>
        </w:tc>
        <w:tc>
          <w:tcPr>
            <w:tcW w:w="720" w:type="dxa"/>
            <w:vAlign w:val="bottom"/>
          </w:tcPr>
          <w:p>
            <w:pPr>
              <w:jc w:val="right"/>
              <w:spacing w:after="0"/>
              <w:rPr>
                <w:sz w:val="20"/>
                <w:szCs w:val="20"/>
                <w:color w:val="auto"/>
              </w:rPr>
            </w:pPr>
            <w:r>
              <w:rPr>
                <w:rFonts w:ascii="Arial" w:cs="Arial" w:eastAsia="Arial" w:hAnsi="Arial"/>
                <w:sz w:val="18"/>
                <w:szCs w:val="18"/>
                <w:color w:val="auto"/>
              </w:rPr>
              <w:t>18,998</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a larger percentage of gross billing from mobile audience solutions was recognized as net revenues on a gross basis in 2016 and in 2017, which was 48.2% and 57.2% respectively, compared to that for our other solutions in the same period, which was 14.4% and 10.1%, respectively. As a result, gross profit margins for our mobile audience solutions in 2015, 2016 and 2017, which were 28.5%, 16.5%, and 10.4%, respectively, were significantly lower than those for our other solutions, which were 51.2%, 65.9%, and 79.7%, respectively, for the same periods.</w:t>
      </w:r>
    </w:p>
    <w:p>
      <w:pPr>
        <w:spacing w:after="0" w:line="167"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The table below shows the cost of revenues, gross profit and gross profit margin for our sales agency arrangement for the periods presented. Cost of revenues for sales agency arrangement primarily consists of rebates we granted to marketer and marketing agency clients under the sales agency arrangement. Gross profit margin for sales agency arrangement represents gross profit as a percentage of net revenues derived from sales agency arrangement.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1"/>
              </w:rPr>
              <w:t>Year Ended December 31,</w:t>
            </w:r>
          </w:p>
        </w:tc>
        <w:tc>
          <w:tcPr>
            <w:tcW w:w="7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42"/>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44"/>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4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19"/>
        </w:trPr>
        <w:tc>
          <w:tcPr>
            <w:tcW w:w="4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jc w:val="center"/>
              <w:ind w:left="262"/>
              <w:spacing w:after="0" w:line="119" w:lineRule="exact"/>
              <w:rPr>
                <w:sz w:val="20"/>
                <w:szCs w:val="20"/>
                <w:color w:val="auto"/>
              </w:rPr>
            </w:pPr>
            <w:r>
              <w:rPr>
                <w:rFonts w:ascii="Arial" w:cs="Arial" w:eastAsia="Arial" w:hAnsi="Arial"/>
                <w:sz w:val="13"/>
                <w:szCs w:val="13"/>
                <w:b w:val="1"/>
                <w:bCs w:val="1"/>
                <w:color w:val="auto"/>
              </w:rPr>
              <w:t>(% of net</w:t>
            </w: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jc w:val="center"/>
              <w:ind w:left="244"/>
              <w:spacing w:after="0" w:line="119" w:lineRule="exact"/>
              <w:rPr>
                <w:sz w:val="20"/>
                <w:szCs w:val="20"/>
                <w:color w:val="auto"/>
              </w:rPr>
            </w:pPr>
            <w:r>
              <w:rPr>
                <w:rFonts w:ascii="Arial" w:cs="Arial" w:eastAsia="Arial" w:hAnsi="Arial"/>
                <w:sz w:val="13"/>
                <w:szCs w:val="13"/>
                <w:b w:val="1"/>
                <w:bCs w:val="1"/>
                <w:color w:val="auto"/>
              </w:rPr>
              <w:t>(% of net</w:t>
            </w: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jc w:val="center"/>
              <w:ind w:left="264"/>
              <w:spacing w:after="0" w:line="119" w:lineRule="exact"/>
              <w:rPr>
                <w:sz w:val="20"/>
                <w:szCs w:val="20"/>
                <w:color w:val="auto"/>
              </w:rPr>
            </w:pPr>
            <w:r>
              <w:rPr>
                <w:rFonts w:ascii="Arial" w:cs="Arial" w:eastAsia="Arial" w:hAnsi="Arial"/>
                <w:sz w:val="13"/>
                <w:szCs w:val="13"/>
                <w:b w:val="1"/>
                <w:bCs w:val="1"/>
                <w:color w:val="auto"/>
              </w:rPr>
              <w:t>(% of net</w:t>
            </w:r>
          </w:p>
        </w:tc>
        <w:tc>
          <w:tcPr>
            <w:tcW w:w="60" w:type="dxa"/>
            <w:vAlign w:val="bottom"/>
          </w:tcPr>
          <w:p>
            <w:pPr>
              <w:spacing w:after="0"/>
              <w:rPr>
                <w:sz w:val="10"/>
                <w:szCs w:val="10"/>
                <w:color w:val="auto"/>
              </w:rPr>
            </w:pPr>
          </w:p>
        </w:tc>
      </w:tr>
      <w:tr>
        <w:trPr>
          <w:trHeight w:val="149"/>
        </w:trPr>
        <w:tc>
          <w:tcPr>
            <w:tcW w:w="4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40" w:type="dxa"/>
            <w:vAlign w:val="bottom"/>
          </w:tcPr>
          <w:p>
            <w:pPr>
              <w:spacing w:after="0"/>
              <w:rPr>
                <w:sz w:val="12"/>
                <w:szCs w:val="12"/>
                <w:color w:val="auto"/>
              </w:rPr>
            </w:pPr>
          </w:p>
        </w:tc>
        <w:tc>
          <w:tcPr>
            <w:tcW w:w="1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760" w:type="dxa"/>
            <w:vAlign w:val="bottom"/>
          </w:tcPr>
          <w:p>
            <w:pPr>
              <w:spacing w:after="0"/>
              <w:rPr>
                <w:sz w:val="12"/>
                <w:szCs w:val="12"/>
                <w:color w:val="auto"/>
              </w:rPr>
            </w:pPr>
          </w:p>
        </w:tc>
        <w:tc>
          <w:tcPr>
            <w:tcW w:w="1240" w:type="dxa"/>
            <w:vAlign w:val="bottom"/>
            <w:gridSpan w:val="2"/>
          </w:tcPr>
          <w:p>
            <w:pPr>
              <w:jc w:val="center"/>
              <w:ind w:left="204"/>
              <w:spacing w:after="0" w:line="149" w:lineRule="exact"/>
              <w:rPr>
                <w:sz w:val="20"/>
                <w:szCs w:val="20"/>
                <w:color w:val="auto"/>
              </w:rPr>
            </w:pPr>
            <w:r>
              <w:rPr>
                <w:rFonts w:ascii="Arial" w:cs="Arial" w:eastAsia="Arial" w:hAnsi="Arial"/>
                <w:sz w:val="14"/>
                <w:szCs w:val="14"/>
                <w:b w:val="1"/>
                <w:bCs w:val="1"/>
                <w:color w:val="auto"/>
                <w:w w:val="90"/>
              </w:rPr>
              <w:t>revenues for</w:t>
            </w:r>
          </w:p>
        </w:tc>
      </w:tr>
      <w:tr>
        <w:trPr>
          <w:trHeight w:val="158"/>
        </w:trPr>
        <w:tc>
          <w:tcPr>
            <w:tcW w:w="4740" w:type="dxa"/>
            <w:vAlign w:val="bottom"/>
          </w:tcPr>
          <w:p>
            <w:pPr>
              <w:spacing w:after="0"/>
              <w:rPr>
                <w:sz w:val="13"/>
                <w:szCs w:val="13"/>
                <w:color w:val="auto"/>
              </w:rPr>
            </w:pPr>
          </w:p>
        </w:tc>
        <w:tc>
          <w:tcPr>
            <w:tcW w:w="74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(US$ in</w:t>
            </w:r>
          </w:p>
        </w:tc>
        <w:tc>
          <w:tcPr>
            <w:tcW w:w="16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sales agency</w:t>
            </w:r>
          </w:p>
        </w:tc>
        <w:tc>
          <w:tcPr>
            <w:tcW w:w="740" w:type="dxa"/>
            <w:vAlign w:val="bottom"/>
          </w:tcPr>
          <w:p>
            <w:pPr>
              <w:jc w:val="right"/>
              <w:ind w:right="101"/>
              <w:spacing w:after="0" w:line="158" w:lineRule="exact"/>
              <w:rPr>
                <w:sz w:val="20"/>
                <w:szCs w:val="20"/>
                <w:color w:val="auto"/>
              </w:rPr>
            </w:pPr>
            <w:r>
              <w:rPr>
                <w:rFonts w:ascii="Arial" w:cs="Arial" w:eastAsia="Arial" w:hAnsi="Arial"/>
                <w:sz w:val="14"/>
                <w:szCs w:val="14"/>
                <w:b w:val="1"/>
                <w:bCs w:val="1"/>
                <w:color w:val="auto"/>
              </w:rPr>
              <w:t>(US$ in</w:t>
            </w:r>
          </w:p>
        </w:tc>
        <w:tc>
          <w:tcPr>
            <w:tcW w:w="16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7"/>
              </w:rPr>
              <w:t>sales agency</w:t>
            </w:r>
          </w:p>
        </w:tc>
        <w:tc>
          <w:tcPr>
            <w:tcW w:w="760" w:type="dxa"/>
            <w:vAlign w:val="bottom"/>
          </w:tcPr>
          <w:p>
            <w:pPr>
              <w:jc w:val="right"/>
              <w:ind w:right="119"/>
              <w:spacing w:after="0" w:line="158" w:lineRule="exact"/>
              <w:rPr>
                <w:sz w:val="20"/>
                <w:szCs w:val="20"/>
                <w:color w:val="auto"/>
              </w:rPr>
            </w:pPr>
            <w:r>
              <w:rPr>
                <w:rFonts w:ascii="Arial" w:cs="Arial" w:eastAsia="Arial" w:hAnsi="Arial"/>
                <w:sz w:val="14"/>
                <w:szCs w:val="14"/>
                <w:b w:val="1"/>
                <w:bCs w:val="1"/>
                <w:color w:val="auto"/>
              </w:rPr>
              <w:t>(US$ in</w:t>
            </w:r>
          </w:p>
        </w:tc>
        <w:tc>
          <w:tcPr>
            <w:tcW w:w="1240" w:type="dxa"/>
            <w:vAlign w:val="bottom"/>
            <w:gridSpan w:val="2"/>
          </w:tcPr>
          <w:p>
            <w:pPr>
              <w:jc w:val="center"/>
              <w:ind w:left="204"/>
              <w:spacing w:after="0" w:line="158" w:lineRule="exact"/>
              <w:rPr>
                <w:sz w:val="20"/>
                <w:szCs w:val="20"/>
                <w:color w:val="auto"/>
              </w:rPr>
            </w:pPr>
            <w:r>
              <w:rPr>
                <w:rFonts w:ascii="Arial" w:cs="Arial" w:eastAsia="Arial" w:hAnsi="Arial"/>
                <w:sz w:val="14"/>
                <w:szCs w:val="14"/>
                <w:b w:val="1"/>
                <w:bCs w:val="1"/>
                <w:color w:val="auto"/>
                <w:w w:val="87"/>
              </w:rPr>
              <w:t>sales agency</w:t>
            </w:r>
          </w:p>
        </w:tc>
      </w:tr>
      <w:tr>
        <w:trPr>
          <w:trHeight w:val="176"/>
        </w:trPr>
        <w:tc>
          <w:tcPr>
            <w:tcW w:w="47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84"/>
              </w:rPr>
              <w:t>thousands)</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arrangement)</w:t>
            </w:r>
          </w:p>
        </w:tc>
        <w:tc>
          <w:tcPr>
            <w:tcW w:w="740" w:type="dxa"/>
            <w:vAlign w:val="bottom"/>
          </w:tcPr>
          <w:p>
            <w:pPr>
              <w:jc w:val="right"/>
              <w:ind w:right="1"/>
              <w:spacing w:after="0"/>
              <w:rPr>
                <w:sz w:val="20"/>
                <w:szCs w:val="20"/>
                <w:color w:val="auto"/>
              </w:rPr>
            </w:pPr>
            <w:r>
              <w:rPr>
                <w:rFonts w:ascii="Arial" w:cs="Arial" w:eastAsia="Arial" w:hAnsi="Arial"/>
                <w:sz w:val="14"/>
                <w:szCs w:val="14"/>
                <w:b w:val="1"/>
                <w:bCs w:val="1"/>
                <w:color w:val="auto"/>
                <w:w w:val="84"/>
              </w:rPr>
              <w:t>thousands)</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arrangement)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7"/>
              </w:rPr>
              <w:t>thousands)</w:t>
            </w:r>
          </w:p>
        </w:tc>
        <w:tc>
          <w:tcPr>
            <w:tcW w:w="1240" w:type="dxa"/>
            <w:vAlign w:val="bottom"/>
            <w:gridSpan w:val="2"/>
          </w:tcPr>
          <w:p>
            <w:pPr>
              <w:jc w:val="center"/>
              <w:ind w:left="204"/>
              <w:spacing w:after="0"/>
              <w:rPr>
                <w:sz w:val="20"/>
                <w:szCs w:val="20"/>
                <w:color w:val="auto"/>
              </w:rPr>
            </w:pPr>
            <w:r>
              <w:rPr>
                <w:rFonts w:ascii="Arial" w:cs="Arial" w:eastAsia="Arial" w:hAnsi="Arial"/>
                <w:sz w:val="14"/>
                <w:szCs w:val="14"/>
                <w:b w:val="1"/>
                <w:bCs w:val="1"/>
                <w:color w:val="auto"/>
                <w:w w:val="93"/>
              </w:rPr>
              <w:t>arrangement)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for sales agency arrangement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46.4</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2,568</w:t>
            </w:r>
          </w:p>
        </w:tc>
        <w:tc>
          <w:tcPr>
            <w:tcW w:w="16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Gross profit for sales agency arrangement</w:t>
            </w:r>
          </w:p>
        </w:tc>
        <w:tc>
          <w:tcPr>
            <w:tcW w:w="740" w:type="dxa"/>
            <w:vAlign w:val="bottom"/>
          </w:tcPr>
          <w:p>
            <w:pPr>
              <w:jc w:val="right"/>
              <w:spacing w:after="0"/>
              <w:rPr>
                <w:sz w:val="20"/>
                <w:szCs w:val="20"/>
                <w:color w:val="auto"/>
              </w:rPr>
            </w:pPr>
            <w:r>
              <w:rPr>
                <w:rFonts w:ascii="Arial" w:cs="Arial" w:eastAsia="Arial" w:hAnsi="Arial"/>
                <w:sz w:val="18"/>
                <w:szCs w:val="18"/>
                <w:color w:val="auto"/>
              </w:rPr>
              <w:t>3,807</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53.6</w:t>
            </w:r>
          </w:p>
        </w:tc>
        <w:tc>
          <w:tcPr>
            <w:tcW w:w="740" w:type="dxa"/>
            <w:vAlign w:val="bottom"/>
          </w:tcPr>
          <w:p>
            <w:pPr>
              <w:jc w:val="right"/>
              <w:ind w:right="1"/>
              <w:spacing w:after="0"/>
              <w:rPr>
                <w:sz w:val="20"/>
                <w:szCs w:val="20"/>
                <w:color w:val="auto"/>
              </w:rPr>
            </w:pPr>
            <w:r>
              <w:rPr>
                <w:rFonts w:ascii="Arial" w:cs="Arial" w:eastAsia="Arial" w:hAnsi="Arial"/>
                <w:sz w:val="18"/>
                <w:szCs w:val="18"/>
                <w:color w:val="auto"/>
              </w:rPr>
              <w:t>5,356</w:t>
            </w: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67.6</w:t>
            </w:r>
          </w:p>
        </w:tc>
        <w:tc>
          <w:tcPr>
            <w:tcW w:w="760" w:type="dxa"/>
            <w:vAlign w:val="bottom"/>
          </w:tcPr>
          <w:p>
            <w:pPr>
              <w:jc w:val="right"/>
              <w:spacing w:after="0"/>
              <w:rPr>
                <w:sz w:val="20"/>
                <w:szCs w:val="20"/>
                <w:color w:val="auto"/>
              </w:rPr>
            </w:pPr>
            <w:r>
              <w:rPr>
                <w:rFonts w:ascii="Arial" w:cs="Arial" w:eastAsia="Arial" w:hAnsi="Arial"/>
                <w:sz w:val="18"/>
                <w:szCs w:val="18"/>
                <w:color w:val="auto"/>
              </w:rPr>
              <w:t>6,075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73.1</w:t>
            </w:r>
          </w:p>
        </w:tc>
      </w:tr>
      <w:tr>
        <w:trPr>
          <w:trHeight w:val="350"/>
        </w:trPr>
        <w:tc>
          <w:tcPr>
            <w:tcW w:w="4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jc w:val="right"/>
              <w:ind w:right="782"/>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The table below shows the cost of revenues, gross profit and gross profit margin for cost-plus marketing campaigns for the periods presented. Cost of revenues for cost-plus marketing campaigns primarily consists of salaries and benefits of the relevant operations and support personnel and depreciation of relevant property and equipment depreciation. Gross profit margin for cost-plus marketing campaigns represents gross profit as a percentage of net revenues derived from cost-plus marketing campaigns.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04"/>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24"/>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0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19"/>
        </w:trPr>
        <w:tc>
          <w:tcPr>
            <w:tcW w:w="4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80" w:type="dxa"/>
            <w:vAlign w:val="bottom"/>
          </w:tcPr>
          <w:p>
            <w:pPr>
              <w:jc w:val="center"/>
              <w:ind w:left="224"/>
              <w:spacing w:after="0" w:line="119" w:lineRule="exact"/>
              <w:rPr>
                <w:sz w:val="20"/>
                <w:szCs w:val="20"/>
                <w:color w:val="auto"/>
              </w:rPr>
            </w:pPr>
            <w:r>
              <w:rPr>
                <w:rFonts w:ascii="Arial" w:cs="Arial" w:eastAsia="Arial" w:hAnsi="Arial"/>
                <w:sz w:val="13"/>
                <w:szCs w:val="13"/>
                <w:b w:val="1"/>
                <w:bCs w:val="1"/>
                <w:color w:val="auto"/>
                <w:w w:val="98"/>
              </w:rPr>
              <w:t>(% net revenues</w:t>
            </w: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00" w:type="dxa"/>
            <w:vAlign w:val="bottom"/>
          </w:tcPr>
          <w:p>
            <w:pPr>
              <w:jc w:val="center"/>
              <w:ind w:left="224"/>
              <w:spacing w:after="0" w:line="119" w:lineRule="exact"/>
              <w:rPr>
                <w:sz w:val="20"/>
                <w:szCs w:val="20"/>
                <w:color w:val="auto"/>
              </w:rPr>
            </w:pPr>
            <w:r>
              <w:rPr>
                <w:rFonts w:ascii="Arial" w:cs="Arial" w:eastAsia="Arial" w:hAnsi="Arial"/>
                <w:sz w:val="13"/>
                <w:szCs w:val="13"/>
                <w:b w:val="1"/>
                <w:bCs w:val="1"/>
                <w:color w:val="auto"/>
              </w:rPr>
              <w:t>(% net revenues</w:t>
            </w: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jc w:val="center"/>
              <w:ind w:left="204"/>
              <w:spacing w:after="0" w:line="119" w:lineRule="exact"/>
              <w:rPr>
                <w:sz w:val="20"/>
                <w:szCs w:val="20"/>
                <w:color w:val="auto"/>
              </w:rPr>
            </w:pPr>
            <w:r>
              <w:rPr>
                <w:rFonts w:ascii="Arial" w:cs="Arial" w:eastAsia="Arial" w:hAnsi="Arial"/>
                <w:sz w:val="13"/>
                <w:szCs w:val="13"/>
                <w:b w:val="1"/>
                <w:bCs w:val="1"/>
                <w:color w:val="auto"/>
              </w:rPr>
              <w:t>(% net revenues</w:t>
            </w:r>
          </w:p>
        </w:tc>
        <w:tc>
          <w:tcPr>
            <w:tcW w:w="60" w:type="dxa"/>
            <w:vAlign w:val="bottom"/>
          </w:tcPr>
          <w:p>
            <w:pPr>
              <w:spacing w:after="0"/>
              <w:rPr>
                <w:sz w:val="10"/>
                <w:szCs w:val="10"/>
                <w:color w:val="auto"/>
              </w:rPr>
            </w:pPr>
          </w:p>
        </w:tc>
      </w:tr>
      <w:tr>
        <w:trPr>
          <w:trHeight w:val="149"/>
        </w:trPr>
        <w:tc>
          <w:tcPr>
            <w:tcW w:w="4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for cost-plus</w:t>
            </w:r>
          </w:p>
        </w:tc>
        <w:tc>
          <w:tcPr>
            <w:tcW w:w="7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for cost-plus</w:t>
            </w:r>
          </w:p>
        </w:tc>
        <w:tc>
          <w:tcPr>
            <w:tcW w:w="800" w:type="dxa"/>
            <w:vAlign w:val="bottom"/>
          </w:tcPr>
          <w:p>
            <w:pPr>
              <w:spacing w:after="0"/>
              <w:rPr>
                <w:sz w:val="12"/>
                <w:szCs w:val="12"/>
                <w:color w:val="auto"/>
              </w:rPr>
            </w:pPr>
          </w:p>
        </w:tc>
        <w:tc>
          <w:tcPr>
            <w:tcW w:w="1340" w:type="dxa"/>
            <w:vAlign w:val="bottom"/>
            <w:gridSpan w:val="2"/>
          </w:tcPr>
          <w:p>
            <w:pPr>
              <w:jc w:val="center"/>
              <w:ind w:left="144"/>
              <w:spacing w:after="0" w:line="149" w:lineRule="exact"/>
              <w:rPr>
                <w:sz w:val="20"/>
                <w:szCs w:val="20"/>
                <w:color w:val="auto"/>
              </w:rPr>
            </w:pPr>
            <w:r>
              <w:rPr>
                <w:rFonts w:ascii="Arial" w:cs="Arial" w:eastAsia="Arial" w:hAnsi="Arial"/>
                <w:sz w:val="14"/>
                <w:szCs w:val="14"/>
                <w:b w:val="1"/>
                <w:bCs w:val="1"/>
                <w:color w:val="auto"/>
                <w:w w:val="89"/>
              </w:rPr>
              <w:t>for cost-plus</w:t>
            </w:r>
          </w:p>
        </w:tc>
      </w:tr>
      <w:tr>
        <w:trPr>
          <w:trHeight w:val="158"/>
        </w:trPr>
        <w:tc>
          <w:tcPr>
            <w:tcW w:w="4340" w:type="dxa"/>
            <w:vAlign w:val="bottom"/>
          </w:tcPr>
          <w:p>
            <w:pPr>
              <w:spacing w:after="0"/>
              <w:rPr>
                <w:sz w:val="13"/>
                <w:szCs w:val="13"/>
                <w:color w:val="auto"/>
              </w:rPr>
            </w:pPr>
          </w:p>
        </w:tc>
        <w:tc>
          <w:tcPr>
            <w:tcW w:w="780" w:type="dxa"/>
            <w:vAlign w:val="bottom"/>
          </w:tcPr>
          <w:p>
            <w:pPr>
              <w:jc w:val="right"/>
              <w:ind w:right="119"/>
              <w:spacing w:after="0" w:line="158" w:lineRule="exact"/>
              <w:rPr>
                <w:sz w:val="20"/>
                <w:szCs w:val="20"/>
                <w:color w:val="auto"/>
              </w:rPr>
            </w:pPr>
            <w:r>
              <w:rPr>
                <w:rFonts w:ascii="Arial" w:cs="Arial" w:eastAsia="Arial" w:hAnsi="Arial"/>
                <w:sz w:val="14"/>
                <w:szCs w:val="14"/>
                <w:b w:val="1"/>
                <w:bCs w:val="1"/>
                <w:color w:val="auto"/>
              </w:rPr>
              <w:t>(US$ in</w:t>
            </w:r>
          </w:p>
        </w:tc>
        <w:tc>
          <w:tcPr>
            <w:tcW w:w="16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marketing</w:t>
            </w:r>
          </w:p>
        </w:tc>
        <w:tc>
          <w:tcPr>
            <w:tcW w:w="780" w:type="dxa"/>
            <w:vAlign w:val="bottom"/>
          </w:tcPr>
          <w:p>
            <w:pPr>
              <w:jc w:val="right"/>
              <w:ind w:right="141"/>
              <w:spacing w:after="0" w:line="158" w:lineRule="exact"/>
              <w:rPr>
                <w:sz w:val="20"/>
                <w:szCs w:val="20"/>
                <w:color w:val="auto"/>
              </w:rPr>
            </w:pPr>
            <w:r>
              <w:rPr>
                <w:rFonts w:ascii="Arial" w:cs="Arial" w:eastAsia="Arial" w:hAnsi="Arial"/>
                <w:sz w:val="14"/>
                <w:szCs w:val="14"/>
                <w:b w:val="1"/>
                <w:bCs w:val="1"/>
                <w:color w:val="auto"/>
              </w:rPr>
              <w:t>(US$ in</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marketing</w:t>
            </w:r>
          </w:p>
        </w:tc>
        <w:tc>
          <w:tcPr>
            <w:tcW w:w="80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(US$ in</w:t>
            </w:r>
          </w:p>
        </w:tc>
        <w:tc>
          <w:tcPr>
            <w:tcW w:w="1340" w:type="dxa"/>
            <w:vAlign w:val="bottom"/>
            <w:gridSpan w:val="2"/>
          </w:tcPr>
          <w:p>
            <w:pPr>
              <w:jc w:val="center"/>
              <w:ind w:left="144"/>
              <w:spacing w:after="0" w:line="158" w:lineRule="exact"/>
              <w:rPr>
                <w:sz w:val="20"/>
                <w:szCs w:val="20"/>
                <w:color w:val="auto"/>
              </w:rPr>
            </w:pPr>
            <w:r>
              <w:rPr>
                <w:rFonts w:ascii="Arial" w:cs="Arial" w:eastAsia="Arial" w:hAnsi="Arial"/>
                <w:sz w:val="14"/>
                <w:szCs w:val="14"/>
                <w:b w:val="1"/>
                <w:bCs w:val="1"/>
                <w:color w:val="auto"/>
                <w:w w:val="95"/>
              </w:rPr>
              <w:t>marketing</w:t>
            </w:r>
          </w:p>
        </w:tc>
      </w:tr>
      <w:tr>
        <w:trPr>
          <w:trHeight w:val="176"/>
        </w:trPr>
        <w:tc>
          <w:tcPr>
            <w:tcW w:w="4340" w:type="dxa"/>
            <w:vAlign w:val="bottom"/>
          </w:tcPr>
          <w:p>
            <w:pPr>
              <w:spacing w:after="0"/>
              <w:rPr>
                <w:sz w:val="15"/>
                <w:szCs w:val="15"/>
                <w:color w:val="auto"/>
              </w:rPr>
            </w:pP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w w:val="87"/>
              </w:rPr>
              <w:t>thousands)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campaigns)</w:t>
            </w: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auto"/>
                <w:w w:val="87"/>
              </w:rPr>
              <w:t>thousands)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campaigns)</w:t>
            </w:r>
          </w:p>
        </w:tc>
        <w:tc>
          <w:tcPr>
            <w:tcW w:w="800" w:type="dxa"/>
            <w:vAlign w:val="bottom"/>
          </w:tcPr>
          <w:p>
            <w:pPr>
              <w:jc w:val="right"/>
              <w:ind w:right="39"/>
              <w:spacing w:after="0"/>
              <w:rPr>
                <w:sz w:val="20"/>
                <w:szCs w:val="20"/>
                <w:color w:val="auto"/>
              </w:rPr>
            </w:pPr>
            <w:r>
              <w:rPr>
                <w:rFonts w:ascii="Arial" w:cs="Arial" w:eastAsia="Arial" w:hAnsi="Arial"/>
                <w:sz w:val="14"/>
                <w:szCs w:val="14"/>
                <w:b w:val="1"/>
                <w:bCs w:val="1"/>
                <w:color w:val="auto"/>
                <w:w w:val="87"/>
              </w:rPr>
              <w:t>thousands)</w:t>
            </w:r>
          </w:p>
        </w:tc>
        <w:tc>
          <w:tcPr>
            <w:tcW w:w="1340" w:type="dxa"/>
            <w:vAlign w:val="bottom"/>
            <w:gridSpan w:val="2"/>
          </w:tcPr>
          <w:p>
            <w:pPr>
              <w:jc w:val="center"/>
              <w:ind w:left="164"/>
              <w:spacing w:after="0"/>
              <w:rPr>
                <w:sz w:val="20"/>
                <w:szCs w:val="20"/>
                <w:color w:val="auto"/>
              </w:rPr>
            </w:pPr>
            <w:r>
              <w:rPr>
                <w:rFonts w:ascii="Arial" w:cs="Arial" w:eastAsia="Arial" w:hAnsi="Arial"/>
                <w:sz w:val="14"/>
                <w:szCs w:val="14"/>
                <w:b w:val="1"/>
                <w:bCs w:val="1"/>
                <w:color w:val="auto"/>
                <w:w w:val="89"/>
              </w:rPr>
              <w:t>campaigns)</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for cost-plus marketing campaigns</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1,857</w:t>
            </w:r>
          </w:p>
        </w:tc>
        <w:tc>
          <w:tcPr>
            <w:tcW w:w="1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9.5</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2,664</w:t>
            </w: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1,847</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Gross profit for cost-plus marketing campaigns</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17,603</w:t>
            </w:r>
          </w:p>
        </w:tc>
        <w:tc>
          <w:tcPr>
            <w:tcW w:w="1680" w:type="dxa"/>
            <w:vAlign w:val="bottom"/>
            <w:gridSpan w:val="2"/>
          </w:tcPr>
          <w:p>
            <w:pPr>
              <w:jc w:val="right"/>
              <w:ind w:right="400"/>
              <w:spacing w:after="0"/>
              <w:rPr>
                <w:sz w:val="20"/>
                <w:szCs w:val="20"/>
                <w:color w:val="auto"/>
              </w:rPr>
            </w:pPr>
            <w:r>
              <w:rPr>
                <w:rFonts w:ascii="Arial" w:cs="Arial" w:eastAsia="Arial" w:hAnsi="Arial"/>
                <w:sz w:val="18"/>
                <w:szCs w:val="18"/>
                <w:color w:val="auto"/>
              </w:rPr>
              <w:t>90.5</w:t>
            </w: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12,714</w:t>
            </w: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82.7</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8,941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p>
        </w:tc>
      </w:tr>
    </w:tbl>
    <w:p>
      <w:pPr>
        <w:spacing w:after="0" w:line="18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table below shows the cost of revenues, gross profit and gross profit margin for specified action marketing campaigns for the periods presented. Cost of revenues for specified action marketing campaigns primarily consists of media cost, as deducted by rebates received from publishers. Gross profit margin for specified action marketing campaigns represents gross profit as a percentage of net revenues derived from specified action marketing campaigns.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3"/>
              </w:rPr>
              <w:t>Year Ended December 31,</w:t>
            </w:r>
          </w:p>
        </w:tc>
        <w:tc>
          <w:tcPr>
            <w:tcW w:w="8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24"/>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824"/>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80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19"/>
        </w:trPr>
        <w:tc>
          <w:tcPr>
            <w:tcW w:w="4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00" w:type="dxa"/>
            <w:vAlign w:val="bottom"/>
          </w:tcPr>
          <w:p>
            <w:pPr>
              <w:jc w:val="center"/>
              <w:ind w:left="224"/>
              <w:spacing w:after="0" w:line="119" w:lineRule="exact"/>
              <w:rPr>
                <w:sz w:val="20"/>
                <w:szCs w:val="20"/>
                <w:color w:val="auto"/>
              </w:rPr>
            </w:pPr>
            <w:r>
              <w:rPr>
                <w:rFonts w:ascii="Arial" w:cs="Arial" w:eastAsia="Arial" w:hAnsi="Arial"/>
                <w:sz w:val="13"/>
                <w:szCs w:val="13"/>
                <w:b w:val="1"/>
                <w:bCs w:val="1"/>
                <w:color w:val="auto"/>
              </w:rPr>
              <w:t>(% net revenues</w:t>
            </w: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00" w:type="dxa"/>
            <w:vAlign w:val="bottom"/>
          </w:tcPr>
          <w:p>
            <w:pPr>
              <w:jc w:val="center"/>
              <w:ind w:left="224"/>
              <w:spacing w:after="0" w:line="119" w:lineRule="exact"/>
              <w:rPr>
                <w:sz w:val="20"/>
                <w:szCs w:val="20"/>
                <w:color w:val="auto"/>
              </w:rPr>
            </w:pPr>
            <w:r>
              <w:rPr>
                <w:rFonts w:ascii="Arial" w:cs="Arial" w:eastAsia="Arial" w:hAnsi="Arial"/>
                <w:sz w:val="13"/>
                <w:szCs w:val="13"/>
                <w:b w:val="1"/>
                <w:bCs w:val="1"/>
                <w:color w:val="auto"/>
              </w:rPr>
              <w:t>(% net revenues</w:t>
            </w:r>
          </w:p>
        </w:tc>
        <w:tc>
          <w:tcPr>
            <w:tcW w:w="4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80" w:type="dxa"/>
            <w:vAlign w:val="bottom"/>
          </w:tcPr>
          <w:p>
            <w:pPr>
              <w:jc w:val="center"/>
              <w:ind w:left="204"/>
              <w:spacing w:after="0" w:line="119" w:lineRule="exact"/>
              <w:rPr>
                <w:sz w:val="20"/>
                <w:szCs w:val="20"/>
                <w:color w:val="auto"/>
              </w:rPr>
            </w:pPr>
            <w:r>
              <w:rPr>
                <w:rFonts w:ascii="Arial" w:cs="Arial" w:eastAsia="Arial" w:hAnsi="Arial"/>
                <w:sz w:val="13"/>
                <w:szCs w:val="13"/>
                <w:b w:val="1"/>
                <w:bCs w:val="1"/>
                <w:color w:val="auto"/>
              </w:rPr>
              <w:t>(% net revenues</w:t>
            </w:r>
          </w:p>
        </w:tc>
        <w:tc>
          <w:tcPr>
            <w:tcW w:w="60" w:type="dxa"/>
            <w:vAlign w:val="bottom"/>
          </w:tcPr>
          <w:p>
            <w:pPr>
              <w:spacing w:after="0"/>
              <w:rPr>
                <w:sz w:val="10"/>
                <w:szCs w:val="10"/>
                <w:color w:val="auto"/>
              </w:rPr>
            </w:pPr>
          </w:p>
        </w:tc>
      </w:tr>
      <w:tr>
        <w:trPr>
          <w:trHeight w:val="149"/>
        </w:trPr>
        <w:tc>
          <w:tcPr>
            <w:tcW w:w="4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for specified</w:t>
            </w:r>
          </w:p>
        </w:tc>
        <w:tc>
          <w:tcPr>
            <w:tcW w:w="7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for specified</w:t>
            </w:r>
          </w:p>
        </w:tc>
        <w:tc>
          <w:tcPr>
            <w:tcW w:w="800" w:type="dxa"/>
            <w:vAlign w:val="bottom"/>
          </w:tcPr>
          <w:p>
            <w:pPr>
              <w:spacing w:after="0"/>
              <w:rPr>
                <w:sz w:val="12"/>
                <w:szCs w:val="12"/>
                <w:color w:val="auto"/>
              </w:rPr>
            </w:pPr>
          </w:p>
        </w:tc>
        <w:tc>
          <w:tcPr>
            <w:tcW w:w="1340" w:type="dxa"/>
            <w:vAlign w:val="bottom"/>
            <w:gridSpan w:val="2"/>
          </w:tcPr>
          <w:p>
            <w:pPr>
              <w:jc w:val="center"/>
              <w:ind w:left="144"/>
              <w:spacing w:after="0" w:line="149" w:lineRule="exact"/>
              <w:rPr>
                <w:sz w:val="20"/>
                <w:szCs w:val="20"/>
                <w:color w:val="auto"/>
              </w:rPr>
            </w:pPr>
            <w:r>
              <w:rPr>
                <w:rFonts w:ascii="Arial" w:cs="Arial" w:eastAsia="Arial" w:hAnsi="Arial"/>
                <w:sz w:val="14"/>
                <w:szCs w:val="14"/>
                <w:b w:val="1"/>
                <w:bCs w:val="1"/>
                <w:color w:val="auto"/>
                <w:w w:val="91"/>
              </w:rPr>
              <w:t>for specified</w:t>
            </w:r>
          </w:p>
        </w:tc>
      </w:tr>
      <w:tr>
        <w:trPr>
          <w:trHeight w:val="149"/>
        </w:trPr>
        <w:tc>
          <w:tcPr>
            <w:tcW w:w="4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action</w:t>
            </w:r>
          </w:p>
        </w:tc>
        <w:tc>
          <w:tcPr>
            <w:tcW w:w="78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action</w:t>
            </w:r>
          </w:p>
        </w:tc>
        <w:tc>
          <w:tcPr>
            <w:tcW w:w="800" w:type="dxa"/>
            <w:vAlign w:val="bottom"/>
          </w:tcPr>
          <w:p>
            <w:pPr>
              <w:spacing w:after="0"/>
              <w:rPr>
                <w:sz w:val="12"/>
                <w:szCs w:val="12"/>
                <w:color w:val="auto"/>
              </w:rPr>
            </w:pPr>
          </w:p>
        </w:tc>
        <w:tc>
          <w:tcPr>
            <w:tcW w:w="1340" w:type="dxa"/>
            <w:vAlign w:val="bottom"/>
            <w:gridSpan w:val="2"/>
          </w:tcPr>
          <w:p>
            <w:pPr>
              <w:jc w:val="center"/>
              <w:ind w:left="164"/>
              <w:spacing w:after="0" w:line="149" w:lineRule="exact"/>
              <w:rPr>
                <w:sz w:val="20"/>
                <w:szCs w:val="20"/>
                <w:color w:val="auto"/>
              </w:rPr>
            </w:pPr>
            <w:r>
              <w:rPr>
                <w:rFonts w:ascii="Arial" w:cs="Arial" w:eastAsia="Arial" w:hAnsi="Arial"/>
                <w:sz w:val="14"/>
                <w:szCs w:val="14"/>
                <w:b w:val="1"/>
                <w:bCs w:val="1"/>
                <w:color w:val="auto"/>
                <w:w w:val="92"/>
              </w:rPr>
              <w:t>action</w:t>
            </w:r>
          </w:p>
        </w:tc>
      </w:tr>
      <w:tr>
        <w:trPr>
          <w:trHeight w:val="158"/>
        </w:trPr>
        <w:tc>
          <w:tcPr>
            <w:tcW w:w="4320" w:type="dxa"/>
            <w:vAlign w:val="bottom"/>
          </w:tcPr>
          <w:p>
            <w:pPr>
              <w:spacing w:after="0"/>
              <w:rPr>
                <w:sz w:val="13"/>
                <w:szCs w:val="13"/>
                <w:color w:val="auto"/>
              </w:rPr>
            </w:pPr>
          </w:p>
        </w:tc>
        <w:tc>
          <w:tcPr>
            <w:tcW w:w="78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(US$ in</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marketing</w:t>
            </w:r>
          </w:p>
        </w:tc>
        <w:tc>
          <w:tcPr>
            <w:tcW w:w="780" w:type="dxa"/>
            <w:vAlign w:val="bottom"/>
          </w:tcPr>
          <w:p>
            <w:pPr>
              <w:jc w:val="right"/>
              <w:ind w:right="141"/>
              <w:spacing w:after="0" w:line="158" w:lineRule="exact"/>
              <w:rPr>
                <w:sz w:val="20"/>
                <w:szCs w:val="20"/>
                <w:color w:val="auto"/>
              </w:rPr>
            </w:pPr>
            <w:r>
              <w:rPr>
                <w:rFonts w:ascii="Arial" w:cs="Arial" w:eastAsia="Arial" w:hAnsi="Arial"/>
                <w:sz w:val="14"/>
                <w:szCs w:val="14"/>
                <w:b w:val="1"/>
                <w:bCs w:val="1"/>
                <w:color w:val="auto"/>
              </w:rPr>
              <w:t>(US$ in</w:t>
            </w:r>
          </w:p>
        </w:tc>
        <w:tc>
          <w:tcPr>
            <w:tcW w:w="1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5"/>
              </w:rPr>
              <w:t>marketing</w:t>
            </w:r>
          </w:p>
        </w:tc>
        <w:tc>
          <w:tcPr>
            <w:tcW w:w="80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(US$ in</w:t>
            </w:r>
          </w:p>
        </w:tc>
        <w:tc>
          <w:tcPr>
            <w:tcW w:w="1340" w:type="dxa"/>
            <w:vAlign w:val="bottom"/>
            <w:gridSpan w:val="2"/>
          </w:tcPr>
          <w:p>
            <w:pPr>
              <w:jc w:val="center"/>
              <w:ind w:left="144"/>
              <w:spacing w:after="0" w:line="158" w:lineRule="exact"/>
              <w:rPr>
                <w:sz w:val="20"/>
                <w:szCs w:val="20"/>
                <w:color w:val="auto"/>
              </w:rPr>
            </w:pPr>
            <w:r>
              <w:rPr>
                <w:rFonts w:ascii="Arial" w:cs="Arial" w:eastAsia="Arial" w:hAnsi="Arial"/>
                <w:sz w:val="14"/>
                <w:szCs w:val="14"/>
                <w:b w:val="1"/>
                <w:bCs w:val="1"/>
                <w:color w:val="auto"/>
                <w:w w:val="95"/>
              </w:rPr>
              <w:t>marketing</w:t>
            </w:r>
          </w:p>
        </w:tc>
      </w:tr>
      <w:tr>
        <w:trPr>
          <w:trHeight w:val="176"/>
        </w:trPr>
        <w:tc>
          <w:tcPr>
            <w:tcW w:w="4320" w:type="dxa"/>
            <w:vAlign w:val="bottom"/>
          </w:tcPr>
          <w:p>
            <w:pPr>
              <w:spacing w:after="0"/>
              <w:rPr>
                <w:sz w:val="15"/>
                <w:szCs w:val="15"/>
                <w:color w:val="auto"/>
              </w:rPr>
            </w:pPr>
          </w:p>
        </w:tc>
        <w:tc>
          <w:tcPr>
            <w:tcW w:w="780" w:type="dxa"/>
            <w:vAlign w:val="bottom"/>
          </w:tcPr>
          <w:p>
            <w:pPr>
              <w:jc w:val="right"/>
              <w:ind w:right="39"/>
              <w:spacing w:after="0"/>
              <w:rPr>
                <w:sz w:val="20"/>
                <w:szCs w:val="20"/>
                <w:color w:val="auto"/>
              </w:rPr>
            </w:pPr>
            <w:r>
              <w:rPr>
                <w:rFonts w:ascii="Arial" w:cs="Arial" w:eastAsia="Arial" w:hAnsi="Arial"/>
                <w:sz w:val="14"/>
                <w:szCs w:val="14"/>
                <w:b w:val="1"/>
                <w:bCs w:val="1"/>
                <w:color w:val="auto"/>
                <w:w w:val="84"/>
              </w:rPr>
              <w:t>thousands)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campaigns)</w:t>
            </w:r>
          </w:p>
        </w:tc>
        <w:tc>
          <w:tcPr>
            <w:tcW w:w="780" w:type="dxa"/>
            <w:vAlign w:val="bottom"/>
          </w:tcPr>
          <w:p>
            <w:pPr>
              <w:jc w:val="right"/>
              <w:ind w:right="21"/>
              <w:spacing w:after="0"/>
              <w:rPr>
                <w:sz w:val="20"/>
                <w:szCs w:val="20"/>
                <w:color w:val="auto"/>
              </w:rPr>
            </w:pPr>
            <w:r>
              <w:rPr>
                <w:rFonts w:ascii="Arial" w:cs="Arial" w:eastAsia="Arial" w:hAnsi="Arial"/>
                <w:sz w:val="14"/>
                <w:szCs w:val="14"/>
                <w:b w:val="1"/>
                <w:bCs w:val="1"/>
                <w:color w:val="auto"/>
                <w:w w:val="87"/>
              </w:rPr>
              <w:t>thousands)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campaigns)</w:t>
            </w:r>
          </w:p>
        </w:tc>
        <w:tc>
          <w:tcPr>
            <w:tcW w:w="800" w:type="dxa"/>
            <w:vAlign w:val="bottom"/>
          </w:tcPr>
          <w:p>
            <w:pPr>
              <w:jc w:val="right"/>
              <w:ind w:right="39"/>
              <w:spacing w:after="0"/>
              <w:rPr>
                <w:sz w:val="20"/>
                <w:szCs w:val="20"/>
                <w:color w:val="auto"/>
              </w:rPr>
            </w:pPr>
            <w:r>
              <w:rPr>
                <w:rFonts w:ascii="Arial" w:cs="Arial" w:eastAsia="Arial" w:hAnsi="Arial"/>
                <w:sz w:val="14"/>
                <w:szCs w:val="14"/>
                <w:b w:val="1"/>
                <w:bCs w:val="1"/>
                <w:color w:val="auto"/>
                <w:w w:val="87"/>
              </w:rPr>
              <w:t>thousands)</w:t>
            </w:r>
          </w:p>
        </w:tc>
        <w:tc>
          <w:tcPr>
            <w:tcW w:w="1340" w:type="dxa"/>
            <w:vAlign w:val="bottom"/>
            <w:gridSpan w:val="2"/>
          </w:tcPr>
          <w:p>
            <w:pPr>
              <w:jc w:val="center"/>
              <w:ind w:left="164"/>
              <w:spacing w:after="0"/>
              <w:rPr>
                <w:sz w:val="20"/>
                <w:szCs w:val="20"/>
                <w:color w:val="auto"/>
              </w:rPr>
            </w:pPr>
            <w:r>
              <w:rPr>
                <w:rFonts w:ascii="Arial" w:cs="Arial" w:eastAsia="Arial" w:hAnsi="Arial"/>
                <w:sz w:val="14"/>
                <w:szCs w:val="14"/>
                <w:b w:val="1"/>
                <w:bCs w:val="1"/>
                <w:color w:val="auto"/>
                <w:w w:val="89"/>
              </w:rPr>
              <w:t>campaigns)</w:t>
            </w: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revenues for specified action marketing</w:t>
            </w: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campaigns</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29,383</w:t>
            </w: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76.0</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55,816</w:t>
            </w:r>
          </w:p>
        </w:tc>
        <w:tc>
          <w:tcPr>
            <w:tcW w:w="1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77.5</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91,650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Gross profit for specified action marketing campaigns</w:t>
            </w: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9,301</w:t>
            </w: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24.0</w:t>
            </w:r>
          </w:p>
        </w:tc>
        <w:tc>
          <w:tcPr>
            <w:tcW w:w="780" w:type="dxa"/>
            <w:vAlign w:val="bottom"/>
          </w:tcPr>
          <w:p>
            <w:pPr>
              <w:jc w:val="right"/>
              <w:ind w:right="21"/>
              <w:spacing w:after="0"/>
              <w:rPr>
                <w:sz w:val="20"/>
                <w:szCs w:val="20"/>
                <w:color w:val="auto"/>
              </w:rPr>
            </w:pPr>
            <w:r>
              <w:rPr>
                <w:rFonts w:ascii="Arial" w:cs="Arial" w:eastAsia="Arial" w:hAnsi="Arial"/>
                <w:sz w:val="18"/>
                <w:szCs w:val="18"/>
                <w:color w:val="auto"/>
              </w:rPr>
              <w:t>16,239</w:t>
            </w:r>
          </w:p>
        </w:tc>
        <w:tc>
          <w:tcPr>
            <w:tcW w:w="1700" w:type="dxa"/>
            <w:vAlign w:val="bottom"/>
            <w:gridSpan w:val="2"/>
          </w:tcPr>
          <w:p>
            <w:pPr>
              <w:jc w:val="right"/>
              <w:ind w:right="400"/>
              <w:spacing w:after="0"/>
              <w:rPr>
                <w:sz w:val="20"/>
                <w:szCs w:val="20"/>
                <w:color w:val="auto"/>
              </w:rPr>
            </w:pPr>
            <w:r>
              <w:rPr>
                <w:rFonts w:ascii="Arial" w:cs="Arial" w:eastAsia="Arial" w:hAnsi="Arial"/>
                <w:sz w:val="18"/>
                <w:szCs w:val="18"/>
                <w:color w:val="auto"/>
              </w:rPr>
              <w:t>22.5</w:t>
            </w:r>
          </w:p>
        </w:tc>
        <w:tc>
          <w:tcPr>
            <w:tcW w:w="800" w:type="dxa"/>
            <w:vAlign w:val="bottom"/>
          </w:tcPr>
          <w:p>
            <w:pPr>
              <w:jc w:val="right"/>
              <w:ind w:right="39"/>
              <w:spacing w:after="0"/>
              <w:rPr>
                <w:sz w:val="20"/>
                <w:szCs w:val="20"/>
                <w:color w:val="auto"/>
              </w:rPr>
            </w:pPr>
            <w:r>
              <w:rPr>
                <w:rFonts w:ascii="Arial" w:cs="Arial" w:eastAsia="Arial" w:hAnsi="Arial"/>
                <w:sz w:val="18"/>
                <w:szCs w:val="18"/>
                <w:color w:val="auto"/>
              </w:rPr>
              <w:t>14,509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7"/>
              </w:rPr>
              <w:t>Year Ended December 31,</w:t>
            </w: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(US$ in</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thousands)</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thousands)</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4"/>
              </w:rPr>
              <w:t>thousands)</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(8,106)</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(8,584)</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(5,778)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(31,385)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(48.1)</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(28,266)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(29.6)</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(25,935)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(12,745)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(26,767)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(12,983)</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(52,236)</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(63,617)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(44,696)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80" w:right="340" w:hanging="446"/>
        <w:spacing w:after="0" w:line="277" w:lineRule="auto"/>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 promotion expenses, and</w:t>
      </w:r>
      <w:r>
        <w:rPr>
          <w:rFonts w:ascii="Arial" w:cs="Arial" w:eastAsia="Arial" w:hAnsi="Arial"/>
          <w:sz w:val="18"/>
          <w:szCs w:val="18"/>
          <w:i w:val="1"/>
          <w:iCs w:val="1"/>
          <w:color w:val="auto"/>
        </w:rPr>
        <w:t xml:space="preserve"> </w:t>
      </w:r>
      <w:r>
        <w:rPr>
          <w:rFonts w:ascii="Arial" w:cs="Arial" w:eastAsia="Arial" w:hAnsi="Arial"/>
          <w:sz w:val="18"/>
          <w:szCs w:val="18"/>
          <w:color w:val="auto"/>
        </w:rPr>
        <w:t>(ii) salary and welfare for sales and marketing personnel.</w:t>
      </w:r>
    </w:p>
    <w:p>
      <w:pPr>
        <w:spacing w:after="0" w:line="75" w:lineRule="exact"/>
        <w:rPr>
          <w:rFonts w:ascii="Arial" w:cs="Arial" w:eastAsia="Arial" w:hAnsi="Arial"/>
          <w:sz w:val="18"/>
          <w:szCs w:val="18"/>
          <w:color w:val="auto"/>
        </w:rPr>
      </w:pPr>
    </w:p>
    <w:p>
      <w:pPr>
        <w:ind w:left="1480" w:right="40" w:hanging="446"/>
        <w:spacing w:after="0" w:line="293" w:lineRule="auto"/>
        <w:tabs>
          <w:tab w:leader="none" w:pos="14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consist primarily of (i) salary and welfare for general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personnel, (ii) professional service fees, and (iii) compensation to certain senior management of OptAim in 2015 in connection with our acquisition. Professional service fees primarily related to legal and audit service in connection with our private placements and OptAim acquisition and preparation for our initial public offering. We expect to continue to invest 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64" w:lineRule="auto"/>
        <w:tabs>
          <w:tab w:leader="none" w:pos="14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consist primarily of (i) salary and welfare for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personnel, (ii) rental expenses and (iii) depreciation of office premise and (iv) servers utilized by research and development personnel.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117"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24"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4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“Item 3. Key Information—D. Risk Factors— Risk Factors 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firstLine="913"/>
        <w:spacing w:after="0" w:line="257"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 Risk Factors Risks Related to Doing Business in China — Risk Factors Risks Related to Doing Business in China — If we are classified as a PRC resident enterprise for PRC income tax purposes, such classification could result in unfavorable tax consequences to us and our non-PRC shareholders or ADS holders.”</w:t>
      </w:r>
    </w:p>
    <w:p>
      <w:pPr>
        <w:spacing w:after="0" w:line="292" w:lineRule="exact"/>
        <w:rPr>
          <w:sz w:val="20"/>
          <w:szCs w:val="20"/>
          <w:color w:val="auto"/>
        </w:rPr>
      </w:pPr>
    </w:p>
    <w:p>
      <w:pPr>
        <w:ind w:right="5460"/>
        <w:spacing w:after="0" w:line="378" w:lineRule="auto"/>
        <w:rPr>
          <w:sz w:val="20"/>
          <w:szCs w:val="20"/>
          <w:color w:val="auto"/>
        </w:rPr>
      </w:pPr>
      <w:r>
        <w:rPr>
          <w:rFonts w:ascii="Arial" w:cs="Arial" w:eastAsia="Arial" w:hAnsi="Arial"/>
          <w:sz w:val="18"/>
          <w:szCs w:val="18"/>
          <w:b w:val="1"/>
          <w:bCs w:val="1"/>
          <w:color w:val="auto"/>
        </w:rPr>
        <w:t xml:space="preserve">Year Ended December 31, 2017 Compared to Year Ended December 31, 2016 </w:t>
      </w:r>
      <w:r>
        <w:rPr>
          <w:rFonts w:ascii="Arial" w:cs="Arial" w:eastAsia="Arial" w:hAnsi="Arial"/>
          <w:sz w:val="18"/>
          <w:szCs w:val="18"/>
          <w:b w:val="1"/>
          <w:bCs w:val="1"/>
          <w:i w:val="1"/>
          <w:iCs w:val="1"/>
          <w:color w:val="auto"/>
        </w:rPr>
        <w:t>Net Revenues</w:t>
      </w:r>
    </w:p>
    <w:p>
      <w:pPr>
        <w:ind w:firstLine="913"/>
        <w:spacing w:after="0" w:line="342" w:lineRule="auto"/>
        <w:rPr>
          <w:sz w:val="20"/>
          <w:szCs w:val="20"/>
          <w:color w:val="auto"/>
        </w:rPr>
      </w:pPr>
      <w:r>
        <w:rPr>
          <w:rFonts w:ascii="Arial" w:cs="Arial" w:eastAsia="Arial" w:hAnsi="Arial"/>
          <w:sz w:val="16"/>
          <w:szCs w:val="16"/>
          <w:color w:val="auto"/>
        </w:rPr>
        <w:t>Our net revenues increased by US$29.9 million, or 31.4%, from US$95.4 million in 2016 to US$125.3 million in in 2017, primarily as a result of an increase in our net revenues from our mobile audience solutions and partially offset by a decrease in our net revenues from our other solutions.</w:t>
      </w:r>
    </w:p>
    <w:p>
      <w:pPr>
        <w:spacing w:after="0" w:line="124"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Net revenues from our mobile audience solutions increased by US$43.6 million, or 75.6% from US$57.8 million in 2016 to US$101.4 million in 2017 as a result of our strategic focus shifting to capture more market demand in mobile audience solutions, with an increase in gross billing from mobile audience solutions and a larger percentage of our gross billing from mobile audience solutions being recognized as net revenues on a gross basis in 2017 compared to 2016. US$54.2 million, or 48.2%, of gross billing from mobile audience solutions was recognized as net revenues on a gross basis in 2016, compared to US$98.5 million, or 57.2%, in 2017. Rebates received from publishers and recognized as net revenues increased by US$5.1 million or 63.6% from US$7.9 million in 2016 to US$13.0 million in 2017 for our mobile audience solutions as gross billing from mobile audience solutions that was recognized on a net basis decreased. We did not receive any incentives from the publisher under our sales agency arrangement in 2016 and 2017 for our mobile audience solutions. Rebates and discounts granted to our clients and recognized as deduction of revenues increased by US$11.7 million, or 110.1% from US$10.7 million in 2016 to US$22.4 million in 2017 for our mobile solutions as gross billing from mobile audience solutions increased.</w:t>
      </w:r>
    </w:p>
    <w:p>
      <w:pPr>
        <w:spacing w:after="0" w:line="16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Net revenues from our other solutions decreased by US$13.8 million or 36.6% from US$37.6 million in 2016 to US$23.8 million in 2017 primarily as a result of our strategic shift away from other solutions, with a decrease in gross billing from other solutions and smaller percentage of our gross billing from other solutions being recognized as net revenues on a gross basis. US$17.9 million, or 14.4%, of gross billing from other solutions was recognized as net revenues on a gross basis in 2016, compared to US$7.7 million, or 10.1%, in 2017. Rebates received from publishers and recognized as net revenues decreased by US$5.2 million or 71.2% from US$7.3 million in 2016 to US$2.1 million in 2017 for our other solutions as gross billing from other solutions that were conducted on a cost-plus basis decreased. Incentives received from the publisher under our sales agency arrangement, which were recognized as net revenues increased by US$0.4 million, or 4.9% from US$7.9 million in 2016 to US$8.3 million in 2017 for our other solutions due to promotions received from the publisher. Rebates granted to our clients and recognized as deduction of revenues decreased by US$5.6 million, or 74.7% from US$7.5 million in 2016 to US$1.9 million in 2017 for our other solutions as gross billing from other solutions decreased.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3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2160" w:type="dxa"/>
            <w:vAlign w:val="bottom"/>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w w:val="99"/>
              </w:rPr>
              <w:t>(US$ in thousands, except %)</w:t>
            </w:r>
          </w:p>
        </w:tc>
        <w:tc>
          <w:tcPr>
            <w:tcW w:w="2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4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(61,048)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(95,733)</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jc w:val="right"/>
              <w:ind w:right="439"/>
              <w:spacing w:after="0"/>
              <w:rPr>
                <w:sz w:val="20"/>
                <w:szCs w:val="20"/>
                <w:color w:val="auto"/>
              </w:rPr>
            </w:pPr>
            <w:r>
              <w:rPr>
                <w:rFonts w:ascii="Arial" w:cs="Arial" w:eastAsia="Arial" w:hAnsi="Arial"/>
                <w:sz w:val="18"/>
                <w:szCs w:val="18"/>
                <w:color w:val="auto"/>
              </w:rPr>
              <w:t>34,309</w:t>
            </w:r>
          </w:p>
        </w:tc>
        <w:tc>
          <w:tcPr>
            <w:tcW w:w="920" w:type="dxa"/>
            <w:vAlign w:val="bottom"/>
          </w:tcPr>
          <w:p>
            <w:pPr>
              <w:jc w:val="right"/>
              <w:spacing w:after="0"/>
              <w:rPr>
                <w:sz w:val="20"/>
                <w:szCs w:val="20"/>
                <w:color w:val="auto"/>
              </w:rPr>
            </w:pPr>
            <w:r>
              <w:rPr>
                <w:rFonts w:ascii="Arial" w:cs="Arial" w:eastAsia="Arial" w:hAnsi="Arial"/>
                <w:sz w:val="18"/>
                <w:szCs w:val="18"/>
                <w:color w:val="auto"/>
              </w:rPr>
              <w:t>29,525</w:t>
            </w: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36.0%</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r>
    </w:tbl>
    <w:p>
      <w:pPr>
        <w:spacing w:after="0" w:line="202"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Our cost of revenues increased by US$34.7 million, or 56.8%, from US$61.0 million in 2016 to US$95.7 million in 2017, primarily as a result of an increase in media cost, which increased by US$35.1 million, or 65.1%, from US$53.9 million in 2016 to US$89.0 million in 2017 as a result of a larger percentage of gross billing being recognized as net revenues on a gross basis. 42.8% of our gross billing in 2017 was recognized as net revenues on a gross basis, compared to 30.4% in 2016. Cost of revenues for our mobile audience solutions increased by US$42.7 million, or 88.6%, from US$48.2 million to US$90.9 million, while cost of revenues for our other solutions decreased by US$8.0 million, or 62.5%, from US$12.8 million to US$4.8 million.</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US$98.5 million, or 57.2%, of gross billing from mobile audience solutions was recognized as net revenues on a gross basis in 2017, compared to US$54.2 million, or 48.2%, in 2016. No rebate or discount we granted was recognized as cost of revenues for our mobile audience solutions in 2016 or 2017. Rebates received from website publishers recognized as deduction of cost of revenues increased by US$11.7 million, or 110.1% from US$10.7 million in 2016 to US$22.4 million in 2017 for our mobile audience solutions as gross billing from mobile audience solutions that was recognized as net revenues on a gross basis increased.</w:t>
      </w:r>
    </w:p>
    <w:p>
      <w:pPr>
        <w:spacing w:after="0" w:line="165"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The decrease in cost of revenues from our other solutions was in line with the decrease of gross billing from other solutions and also due to a decreased percentage of gross billing from other solutions being recognized as net revenues on a gross basis. US$7.7 million, or 10.1%, of gross billing from other solutions was recognized as net revenues on a gross basis in 2017, compared to US$17.9 million or 14.4% in 2016. Rebates we granted and recognized as cost of revenues, which related to rebates we granted to marketers and marketing agencies under our sales agency arrangement decreased by</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US$0.4 million, or 12.9%, from US$2.6 million in 2016 to US$2.2 million in 2017 for other solutions in line with the decrease of gross billing from our sales agency arrangement. Rebates received from website publishers recognized as deduction of cost of revenues decreased by US$118,000, or 93.2%, from US$162,000 in 2016 to US$44,000 in 2017 for our other solutions as gross billing from other solutions that was recognized on a gross basis decreased.</w:t>
      </w:r>
    </w:p>
    <w:p>
      <w:pPr>
        <w:spacing w:after="0" w:line="155"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As a result of the above, our gross profit decreased from US$34.3 million in 2016 to US$29.5 million in 2017. Specifically, gross profit for our other solutions decreased by US$5.8 million, or 23.3% from US$24.8 million in 2016 to US$19.0 million in 2017, partially offset by the increase in our gross profit for our mobile audience solutions, which increased by US$1.0 million, or 10.2%, from US$9.5 million in 2016 to US$10.5 million in 2017. Our gross profit margin decreased from 36.0% in 2016 to 23.6% in 2017 primarily due to the expansion in our mobile audience solutions. Gross profit margin for our mobile audience solutions decreased from 16.5% in 2016 to 10.4% in 2017 as a result of competitive pressure and a larger percentage of gross billing for our mobile audience solutions being recognized as net revenues on a gross basis in 2017 compared to 2016. Gross profit margin for our other solutions increased from 65.9% in 2016 to 79.7% in 2017 as we continued to optimize the client base for other solutions to focus on profitability and liquidity and as a result of a smaller percentage of gross billing for our other solutions being recognized as net revenues on a gross basis in 2017 compared to 2016.</w:t>
      </w:r>
    </w:p>
    <w:p>
      <w:pPr>
        <w:spacing w:after="0" w:line="166"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Furthermore, as we continue to focus on the growth of our mobile audience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21.8% and 27.7% of our clients in 2016 and 2017, respectively. In addition, consistent with the general industry trends for online marketing on mobile channels and on non-mobile channels, a larger percentage of gross billing from our mobile audience solutions was recognized as net revenues on a gross basis in 2017, which was 57.2%, compared to that for our other solutions in the same period, which was 10.1%. As a result, gross profit margins for our mobile audience solutions in 2016 and 2017 were significantly lower than those for our other solutions for the same periods.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operating expenses decreased by US$18.9 million, or 29.7%, during 2017 compared to 2016, primarily due to a decrease in staff costs as we continued to benefit from headcount optimization and increasing economies of scale. In addition, share-based compensation expenses decreased by 76.1% to US$5.1 million in the full year 2017 from US$21.2 million in the full year 2016. Our operating expenses as a percentage of net revenues decreased from 66.7% in 2016 to 35.7% in 2017.</w:t>
      </w:r>
    </w:p>
    <w:p>
      <w:pPr>
        <w:spacing w:after="0" w:line="92" w:lineRule="exact"/>
        <w:rPr>
          <w:sz w:val="20"/>
          <w:szCs w:val="20"/>
          <w:color w:val="auto"/>
        </w:rPr>
      </w:pPr>
    </w:p>
    <w:p>
      <w:pPr>
        <w:ind w:left="1480" w:right="160" w:hanging="446"/>
        <w:spacing w:after="0" w:line="297" w:lineRule="auto"/>
        <w:tabs>
          <w:tab w:leader="none" w:pos="148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decreased by US$2.4 million, or 8.2%, from US$28.3 million in 2016</w:t>
      </w:r>
      <w:r>
        <w:rPr>
          <w:rFonts w:ascii="Arial" w:cs="Arial" w:eastAsia="Arial" w:hAnsi="Arial"/>
          <w:sz w:val="16"/>
          <w:szCs w:val="16"/>
          <w:i w:val="1"/>
          <w:iCs w:val="1"/>
          <w:color w:val="auto"/>
        </w:rPr>
        <w:t xml:space="preserve"> </w:t>
      </w:r>
      <w:r>
        <w:rPr>
          <w:rFonts w:ascii="Arial" w:cs="Arial" w:eastAsia="Arial" w:hAnsi="Arial"/>
          <w:sz w:val="16"/>
          <w:szCs w:val="16"/>
          <w:color w:val="auto"/>
        </w:rPr>
        <w:t>to US$25.9 million in 2017. The decrease was primarily due to a decrease in staff costs as we continued to optimize the client base for other solutions to focus on profitability and liquidity and as we continued to benefit from the synergies from the integration of complementary sales and marketing capabilities of OptAim, which had been completed by the end of June 30, 2017 and economies of scale. As a result, sales and marketing expenses as a percentage of net revenues also decreased from 29.6% in 2016 to 20.7% in 2017.</w:t>
      </w:r>
    </w:p>
    <w:p>
      <w:pPr>
        <w:spacing w:after="0" w:line="63" w:lineRule="exact"/>
        <w:rPr>
          <w:rFonts w:ascii="Arial" w:cs="Arial" w:eastAsia="Arial" w:hAnsi="Arial"/>
          <w:sz w:val="16"/>
          <w:szCs w:val="16"/>
          <w:color w:val="auto"/>
        </w:rPr>
      </w:pPr>
    </w:p>
    <w:p>
      <w:pPr>
        <w:ind w:left="1480" w:right="260" w:hanging="446"/>
        <w:spacing w:after="0" w:line="25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decreased by US$13.8 million, or 51.5%, from</w:t>
      </w:r>
      <w:r>
        <w:rPr>
          <w:rFonts w:ascii="Arial" w:cs="Arial" w:eastAsia="Arial" w:hAnsi="Arial"/>
          <w:sz w:val="18"/>
          <w:szCs w:val="18"/>
          <w:i w:val="1"/>
          <w:iCs w:val="1"/>
          <w:color w:val="auto"/>
        </w:rPr>
        <w:t xml:space="preserve"> </w:t>
      </w:r>
      <w:r>
        <w:rPr>
          <w:rFonts w:ascii="Arial" w:cs="Arial" w:eastAsia="Arial" w:hAnsi="Arial"/>
          <w:sz w:val="18"/>
          <w:szCs w:val="18"/>
          <w:color w:val="auto"/>
        </w:rPr>
        <w:t>US$26.8 million in 2016 to US$13.0 million in 2017, primarily due to a decrease in staff costs as we streamlined our general and administrative functions and reduced the relevant staff headcount as we further integrated OptAim’s operations, which had been completed by the end of June 30, 2017. General and administrative expenses as a percentage of net revenues decreased from 28.1% in 2016 to 10.4% in 2017.</w:t>
      </w:r>
    </w:p>
    <w:p>
      <w:pPr>
        <w:spacing w:after="0" w:line="93" w:lineRule="exact"/>
        <w:rPr>
          <w:rFonts w:ascii="Arial" w:cs="Arial" w:eastAsia="Arial" w:hAnsi="Arial"/>
          <w:sz w:val="18"/>
          <w:szCs w:val="18"/>
          <w:color w:val="auto"/>
        </w:rPr>
      </w:pPr>
    </w:p>
    <w:p>
      <w:pPr>
        <w:ind w:left="1480" w:hanging="446"/>
        <w:spacing w:after="0"/>
        <w:tabs>
          <w:tab w:leader="none" w:pos="1480" w:val="left"/>
        </w:tabs>
        <w:numPr>
          <w:ilvl w:val="0"/>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decreased by US$2.8 million, or 32.7%, from</w:t>
      </w:r>
    </w:p>
    <w:p>
      <w:pPr>
        <w:spacing w:after="0" w:line="34" w:lineRule="exact"/>
        <w:rPr>
          <w:rFonts w:ascii="Arial" w:cs="Arial" w:eastAsia="Arial" w:hAnsi="Arial"/>
          <w:sz w:val="17"/>
          <w:szCs w:val="17"/>
          <w:color w:val="auto"/>
        </w:rPr>
      </w:pPr>
    </w:p>
    <w:p>
      <w:pPr>
        <w:ind w:left="1480" w:right="380"/>
        <w:spacing w:after="0" w:line="302" w:lineRule="auto"/>
        <w:rPr>
          <w:rFonts w:ascii="Arial" w:cs="Arial" w:eastAsia="Arial" w:hAnsi="Arial"/>
          <w:sz w:val="17"/>
          <w:szCs w:val="17"/>
          <w:color w:val="auto"/>
        </w:rPr>
      </w:pPr>
      <w:r>
        <w:rPr>
          <w:rFonts w:ascii="Arial" w:cs="Arial" w:eastAsia="Arial" w:hAnsi="Arial"/>
          <w:sz w:val="16"/>
          <w:szCs w:val="16"/>
          <w:color w:val="auto"/>
        </w:rPr>
        <w:t>US$8.6 million in 2016 to US$5.8 million in 2017, primarily due to a decrease in staff costs, as we continued to benefit from the synergies from the integration of the complementary research and development capabilities of OptAim and economies of scale. As a result, research and development expenses as a percentage of our net revenues decreased from 9.0% in 2016 to 4.6% in 2017.</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interest expense was US$0.7 million and US$0.6 million in 2016 and 2017,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Our other losses, net was US$1.1 million in 2016, compared to other gains, net of US$1.8 million in 2017. The change was primarily due to a decrease by US$2.9 million from US$1.1 million loss in 2016 to US$1.8 million gain in 2017 in net exchange gain mainly due to the depreciation of Renminbi against the US dollars.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Our fair value gain on derivative liabilities was US$4.0 million in 2016, compared to a fair value loss on derivative liabilities of US$10.2 million in 2017. The fair value gain or loss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and E preferred shares. The fair value loss on derivative liabilities of US$10.2 million in 2017 was primarily due to an increase in our enterprise value as a result of decrease in lack of marketability discount as we are approaching an initial public offering.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 (Expenses)</w:t>
      </w:r>
    </w:p>
    <w:p>
      <w:pPr>
        <w:spacing w:after="0" w:line="117"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We recorded an income tax expenses of US$0.2 million in 2016 and an income tax expense of US$0.5 million in 2017. Such change was resulted from fluctuations of composition of loss/profit before tax of our Hong Kong and PRC subsidiaries.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 result of the foregoing, our net loss decreased by 9.9% from US$27.3 million in 2016 to US$24.6 million in 2017.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480"/>
        <w:spacing w:after="0" w:line="378" w:lineRule="auto"/>
        <w:rPr>
          <w:sz w:val="20"/>
          <w:szCs w:val="20"/>
          <w:color w:val="auto"/>
        </w:rPr>
      </w:pPr>
      <w:r>
        <w:rPr>
          <w:rFonts w:ascii="Arial" w:cs="Arial" w:eastAsia="Arial" w:hAnsi="Arial"/>
          <w:sz w:val="18"/>
          <w:szCs w:val="18"/>
          <w:b w:val="1"/>
          <w:bCs w:val="1"/>
          <w:color w:val="auto"/>
        </w:rPr>
        <w:t xml:space="preserve">Year Ended December 31, 2016 Compared to Year Ended December 31, 2015 </w:t>
      </w:r>
      <w:r>
        <w:rPr>
          <w:rFonts w:ascii="Arial" w:cs="Arial" w:eastAsia="Arial" w:hAnsi="Arial"/>
          <w:sz w:val="18"/>
          <w:szCs w:val="18"/>
          <w:b w:val="1"/>
          <w:bCs w:val="1"/>
          <w:i w:val="1"/>
          <w:iCs w:val="1"/>
          <w:color w:val="auto"/>
        </w:rPr>
        <w:t>Net Revenues</w:t>
      </w:r>
    </w:p>
    <w:p>
      <w:pPr>
        <w:ind w:right="80" w:firstLine="913"/>
        <w:spacing w:after="0" w:line="308" w:lineRule="auto"/>
        <w:rPr>
          <w:sz w:val="20"/>
          <w:szCs w:val="20"/>
          <w:color w:val="auto"/>
        </w:rPr>
      </w:pPr>
      <w:r>
        <w:rPr>
          <w:rFonts w:ascii="Arial" w:cs="Arial" w:eastAsia="Arial" w:hAnsi="Arial"/>
          <w:sz w:val="17"/>
          <w:szCs w:val="17"/>
          <w:color w:val="auto"/>
        </w:rPr>
        <w:t>Our net revenues increased by US$30.2 million, or 46.2%, from US$65.2 million in 2015 to US$95.4 million in 2016, primarily as a result of an increase in our net revenues from our mobile audience solutions and partially offset by a decrease in our net revenues from our other solutions.</w:t>
      </w:r>
    </w:p>
    <w:p>
      <w:pPr>
        <w:spacing w:after="0" w:line="147" w:lineRule="exact"/>
        <w:rPr>
          <w:sz w:val="20"/>
          <w:szCs w:val="20"/>
          <w:color w:val="auto"/>
        </w:rPr>
      </w:pPr>
    </w:p>
    <w:p>
      <w:pPr>
        <w:ind w:right="40" w:firstLine="913"/>
        <w:spacing w:after="0" w:line="284" w:lineRule="auto"/>
        <w:rPr>
          <w:sz w:val="20"/>
          <w:szCs w:val="20"/>
          <w:color w:val="auto"/>
        </w:rPr>
      </w:pPr>
      <w:r>
        <w:rPr>
          <w:rFonts w:ascii="Arial" w:cs="Arial" w:eastAsia="Arial" w:hAnsi="Arial"/>
          <w:sz w:val="16"/>
          <w:szCs w:val="16"/>
          <w:color w:val="auto"/>
        </w:rPr>
        <w:t>Net revenues from our mobile audience solutions increased by US$45.9 million, or 385.1% from US$11.9 million in 2015 to US$57.8 million in 2016 as a result of an increase in gross billing from mobile audience solutions and a larger percentage of our gross billing from mobile audience solutions being recognized as net revenues on a gross basis in 2016 compared to 2015. US$54.2 million, or 48.2%, of gross billing from mobile audience solutions was recognized as net revenues on a gross basis in 2016, compared to US$7.9 million, or 19.1%, in 2015. Rebates received from publishers and recognized as net revenues decreased by US$2.5 million or 24.0% from US$10.4 million in 2015 to US$7.9 million in 2016 for our mobile audience solutions as gross billing from mobile audience solutions that was recognized on a net basis decreased. We did not receive any incentives from the publisher under our sales agency arrangement in 2015 and 2016 for our mobile audience solutions. OptAim contributed US$51.1 million to our net revenues in 2016, compared to</w:t>
      </w:r>
    </w:p>
    <w:p>
      <w:pPr>
        <w:spacing w:after="0" w:line="3" w:lineRule="exact"/>
        <w:rPr>
          <w:sz w:val="20"/>
          <w:szCs w:val="20"/>
          <w:color w:val="auto"/>
        </w:rPr>
      </w:pPr>
    </w:p>
    <w:p>
      <w:pPr>
        <w:ind w:right="460"/>
        <w:spacing w:after="0" w:line="302" w:lineRule="auto"/>
        <w:rPr>
          <w:sz w:val="20"/>
          <w:szCs w:val="20"/>
          <w:color w:val="auto"/>
        </w:rPr>
      </w:pPr>
      <w:r>
        <w:rPr>
          <w:rFonts w:ascii="Arial" w:cs="Arial" w:eastAsia="Arial" w:hAnsi="Arial"/>
          <w:sz w:val="16"/>
          <w:szCs w:val="16"/>
          <w:color w:val="auto"/>
        </w:rPr>
        <w:t>US$11.7 million from July 24, 2015, when we acquired OptAim, to December 31, 2015. All such net revenues contribution from OptAim related to our mobile audience solutions. Rebates and discounts we granted and recognized as deduction of revenues increased by US$3.9 million, or 56.5% from US$6.8 million in 2015 to US$10.7 million in 2016 for our mobile audience solutions as gross billing from mobile audience solutions increased.</w:t>
      </w:r>
    </w:p>
    <w:p>
      <w:pPr>
        <w:spacing w:after="0" w:line="15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Net revenues from our other solutions decreased by US$15.7 million or 29.5% from US$53.3 million in 2015 to US$37.6 million in 2016 primarily as a result of a decrease in gross billing from other solutions and smaller percentage of our gross billing from other solutions being recognized as net revenues on a gross basis in 2016 compared to 2015. US$17.9 million, or 14.4%, of gross billing from other solutions was recognized as net revenues on a gross basis in 2016, compared to US$30.8 million or 22.5% in 2015. Rebates received from publishers and recognized as net revenues decreased by US$6.7 million or 47.9% from US$14.0 million in 2015 to US$7.3 million in 2016 for our other solutions as gross billing from other solutions that were conducted on a cost-plus basis decreased. Incentives received from the publisher under our sales agency arrangement, which were recognized as net revenues increased by US$0.8 million, or 11.3% from US$7.1 million in 2015 to US$7.9 million in 2016 for our other solutions as a result of the increase in marketing spend by our clients. Rebates and discounts we granted and recognized as deduction of revenues decreased by US$3.5 million, or 31.9% from US$11.0 million in 2015 to US$7.5 million in 2016 for our other solutions.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3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320" w:type="dxa"/>
            <w:vAlign w:val="bottom"/>
          </w:tcPr>
          <w:p>
            <w:pPr>
              <w:spacing w:after="0"/>
              <w:rPr>
                <w:sz w:val="12"/>
                <w:szCs w:val="12"/>
                <w:color w:val="auto"/>
              </w:rPr>
            </w:pPr>
          </w:p>
        </w:tc>
        <w:tc>
          <w:tcPr>
            <w:tcW w:w="1240" w:type="dxa"/>
            <w:vAlign w:val="bottom"/>
            <w:tcBorders>
              <w:top w:val="single" w:sz="8" w:color="auto"/>
              <w:bottom w:val="single" w:sz="8" w:color="auto"/>
            </w:tcBorders>
          </w:tcPr>
          <w:p>
            <w:pPr>
              <w:jc w:val="right"/>
              <w:ind w:right="659"/>
              <w:spacing w:after="0" w:line="142" w:lineRule="exact"/>
              <w:rPr>
                <w:sz w:val="20"/>
                <w:szCs w:val="20"/>
                <w:color w:val="auto"/>
              </w:rPr>
            </w:pPr>
            <w:r>
              <w:rPr>
                <w:rFonts w:ascii="Arial" w:cs="Arial" w:eastAsia="Arial" w:hAnsi="Arial"/>
                <w:sz w:val="14"/>
                <w:szCs w:val="14"/>
                <w:b w:val="1"/>
                <w:bCs w:val="1"/>
                <w:color w:val="auto"/>
              </w:rPr>
              <w:t>2015</w:t>
            </w:r>
          </w:p>
        </w:tc>
        <w:tc>
          <w:tcPr>
            <w:tcW w:w="9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2160" w:type="dxa"/>
            <w:vAlign w:val="bottom"/>
            <w:gridSpan w:val="2"/>
          </w:tcPr>
          <w:p>
            <w:pPr>
              <w:jc w:val="right"/>
              <w:ind w:right="94"/>
              <w:spacing w:after="0" w:line="142" w:lineRule="exact"/>
              <w:rPr>
                <w:sz w:val="20"/>
                <w:szCs w:val="20"/>
                <w:color w:val="auto"/>
              </w:rPr>
            </w:pPr>
            <w:r>
              <w:rPr>
                <w:rFonts w:ascii="Arial" w:cs="Arial" w:eastAsia="Arial" w:hAnsi="Arial"/>
                <w:sz w:val="14"/>
                <w:szCs w:val="14"/>
                <w:b w:val="1"/>
                <w:bCs w:val="1"/>
                <w:color w:val="auto"/>
                <w:w w:val="99"/>
              </w:rPr>
              <w:t>(US$ in thousands, except %)</w:t>
            </w:r>
          </w:p>
        </w:tc>
        <w:tc>
          <w:tcPr>
            <w:tcW w:w="2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24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(34,531)</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(61,048)</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Gross profit</w:t>
            </w:r>
          </w:p>
        </w:tc>
        <w:tc>
          <w:tcPr>
            <w:tcW w:w="1240" w:type="dxa"/>
            <w:vAlign w:val="bottom"/>
          </w:tcPr>
          <w:p>
            <w:pPr>
              <w:jc w:val="right"/>
              <w:ind w:right="439"/>
              <w:spacing w:after="0"/>
              <w:rPr>
                <w:sz w:val="20"/>
                <w:szCs w:val="20"/>
                <w:color w:val="auto"/>
              </w:rPr>
            </w:pPr>
            <w:r>
              <w:rPr>
                <w:rFonts w:ascii="Arial" w:cs="Arial" w:eastAsia="Arial" w:hAnsi="Arial"/>
                <w:sz w:val="18"/>
                <w:szCs w:val="18"/>
                <w:color w:val="auto"/>
              </w:rPr>
              <w:t>30,711</w:t>
            </w:r>
          </w:p>
        </w:tc>
        <w:tc>
          <w:tcPr>
            <w:tcW w:w="920" w:type="dxa"/>
            <w:vAlign w:val="bottom"/>
          </w:tcPr>
          <w:p>
            <w:pPr>
              <w:jc w:val="right"/>
              <w:spacing w:after="0"/>
              <w:rPr>
                <w:sz w:val="20"/>
                <w:szCs w:val="20"/>
                <w:color w:val="auto"/>
              </w:rPr>
            </w:pPr>
            <w:r>
              <w:rPr>
                <w:rFonts w:ascii="Arial" w:cs="Arial" w:eastAsia="Arial" w:hAnsi="Arial"/>
                <w:sz w:val="18"/>
                <w:szCs w:val="18"/>
                <w:color w:val="auto"/>
              </w:rPr>
              <w:t>34,309</w:t>
            </w: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24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47.1%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36.0%</w:t>
            </w:r>
          </w:p>
        </w:tc>
      </w:tr>
    </w:tbl>
    <w:p>
      <w:pPr>
        <w:spacing w:after="0" w:line="202"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Our cost of revenues increased by US$26.5 million, or 76.8%, from US$34.5 million in 2015 to US$61.0 million in 2016, primarily as a result of an increase in media cost, which increased by US$25.8 million, or 88.2%, from US$28.1 million in 2015 to US$53.9 million in 2016, consistent with the growth of our gross billing as we scaled up our business and as a result of a larger percentage of gross billing being recognized as net revenues on a gross basis. 30.4% of our gross billing in 2016 were recognized as net revenues on a gross basis, compared to 21.7% in 2015. Cost of revenues for our mobile audience solutions increased by US$39.7 million, or 466.4%, from US$8.5 million to US$48.2 million, while cost of revenues for our other solutions decreased by US$13.2 million, or 50.7%, from US$26.1 million to US$12.8 million.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The increase in cost of revenues for our mobile audience solutions was in line with the growth of gross billing from mobile audience solutions and also due to an increased percentage of gross billing from mobile audience solutions being recognized as net revenues on a gross basis. US$54.2 million, or 48.2%, of gross billing from mobile audience solutions was recognized as net revenues on a gross basis in 2016, compared to US$7.9 million, or 19.1%, in 2015. OptAim contributed US$47.0 million to our cost of revenues in 2016, compared to US$8.5 million from July 24, 2015, when we acquired OptAim, to December 31, 2015. All such cost of revenues contribution from OptAim related to our mobile audience solutions. No rebate or discount we granted was recognized as cost of revenues for our mobile audience solutions in 2015 or 2016. Rebates received from website publishers recognized as deduction of cost of revenues increased by US$5.7 million, or 2,582.6% from US$0.2 million in 2015 to US$5.9 million in 2016 for our mobile audience solutions as more marketing campaigns for mobile audience solutions were conducted on specified action (i.e., gross) basis.</w:t>
      </w:r>
    </w:p>
    <w:p>
      <w:pPr>
        <w:spacing w:after="0" w:line="166"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decrease in cost of revenues from our other solutions was in line with the decrease of gross billing from other solutions and also due to a decreased percentage of gross billing from other solutions being recognized as net revenues on a gross basis. US$17.9 million, or 14.4%, of gross billing from other solutions was recognized as net revenues on a gross basis in 2016, compared to US$30.8 million or 22.5% in 2015. Rebates we granted and recognized as cost of revenues, which related to rebates we granted to marketers and marketing agencies under our sales agency arrangement decreased by</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US$0.7 million or 22.0% from US$3.3 million in 2015 to US$2.6 million in 2016 for other solutions. Rebates received from website publishers recognized as deduction of cost of revenues decreased by US$0.1 million, or 48.1% from US$0.3 million in 2015 to US$0.2 million in 2016 for our other solutions as less marketing campaigns for other solutions were conducted on a specified action (i.e., gross) basis.</w:t>
      </w:r>
    </w:p>
    <w:p>
      <w:pPr>
        <w:spacing w:after="0" w:line="19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As a result of the above, our gross profit increased slightly from US$30.7 million in 2015 to US$34.3 million in 2016. Specifically, gross profit for our mobile audience solutions increased significantly by US$6.1 million, or 179.4%, from US$3.4 million in 2015 to US$9.5 million in 2016, and gross profit for our other solutions decreased by US$2.5 million, or 9.2% from US$27.3 million in 2015 to US$24.8 million in 2016. Our gross profit margin decreased from 47.1% in 2015 to 36.0% in 2016 primarily due to the expansion in our mobile audience solutions. In addition, a larger percentage of our gross billing in 2016 was recognized as net revenues on a gross basis compared to 2015, which also contributed to an overall lower gross profit margin in 2016 compared to 2015. Gross profit margin for our mobile audience solutions decreased from 28.5% in 2015 to 16.5% in 2016 as a result of competitive pressure and a larger percentage of gross billing for our mobile audience solutions being recognized as net revenues on a gross basis in 2016 compared to 2015. Gross profit margin for our other solutions increased from 51.2% in 2015 to 65.9% in 2016 as a result of a smaller percentage of gross billing for our other solutions being recognized as net revenues on a gross basis in 2016 compared to 2015.</w:t>
      </w:r>
    </w:p>
    <w:p>
      <w:pPr>
        <w:spacing w:after="0" w:line="182"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Due to competitive landscape and pricing pressure as mobile audience solutions are relatively nascent compared to other solutions, with companies competing for more market share as they enter into this market and as mobile apps publishers tend to have stronger bargaining power compared to other online publishers as a result of the growing popularity of mobile apps, mobile audience solutions tend to command a lower gross profit margin compared to non-mobile marketing solutions. In addition, consistent with the general industry trends for online marketing on mobile channels and on non-mobile channels, a larger percentage of gross billing from our mobile audience solution was recognized as net revenues on a gross basis in 2016, which was 48.2%, compared to that for our other solutions in the same period, which was 14.4%. As a result, gross profit margins for our mobile audience solutions in 2015 and 2016 were significantly lower than those for our other solutions for the same periods.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Our operating expenses increased by US$11.4 million, or 21.8%, during 2016 compared to 2015, primarily due to increases in general and administrative expenses and research and development expenses, partially offset by a decrease in sales and marketing expenses. Our operating expenses as a percentage of net revenue decreased from 80.1% in 2015 to 66.7% in 2016.</w:t>
      </w:r>
    </w:p>
    <w:p>
      <w:pPr>
        <w:spacing w:after="0" w:line="87" w:lineRule="exact"/>
        <w:rPr>
          <w:sz w:val="20"/>
          <w:szCs w:val="20"/>
          <w:color w:val="auto"/>
        </w:rPr>
      </w:pPr>
    </w:p>
    <w:p>
      <w:pPr>
        <w:ind w:left="1480" w:right="160" w:hanging="446"/>
        <w:spacing w:after="0" w:line="302" w:lineRule="auto"/>
        <w:tabs>
          <w:tab w:leader="none" w:pos="148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Our sales and marketing expenses decreased by US$3.1 million, or 9.9%, from US$31.4 million in 2015</w:t>
      </w:r>
      <w:r>
        <w:rPr>
          <w:rFonts w:ascii="Arial" w:cs="Arial" w:eastAsia="Arial" w:hAnsi="Arial"/>
          <w:sz w:val="16"/>
          <w:szCs w:val="16"/>
          <w:i w:val="1"/>
          <w:iCs w:val="1"/>
          <w:color w:val="auto"/>
        </w:rPr>
        <w:t xml:space="preserve"> </w:t>
      </w:r>
      <w:r>
        <w:rPr>
          <w:rFonts w:ascii="Arial" w:cs="Arial" w:eastAsia="Arial" w:hAnsi="Arial"/>
          <w:sz w:val="16"/>
          <w:szCs w:val="16"/>
          <w:color w:val="auto"/>
        </w:rPr>
        <w:t>to US$28.3 million in 2016. Sales and marketing expenses as a percentage of net revenues also decreased significantly from 48.1% in 2015 to 29.6% in 2016, as a result of synergies from the integration of complementary sales and marketing capabilities of OptAim and economies of scale, and as we optimized our sales and marketing efforts to focus on profitability and liquidity.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increased by US$14.1 million, or 111.0%, from</w:t>
      </w:r>
    </w:p>
    <w:p>
      <w:pPr>
        <w:spacing w:after="0" w:line="34" w:lineRule="exact"/>
        <w:rPr>
          <w:rFonts w:ascii="Arial" w:cs="Arial" w:eastAsia="Arial" w:hAnsi="Arial"/>
          <w:sz w:val="17"/>
          <w:szCs w:val="17"/>
          <w:color w:val="auto"/>
        </w:rPr>
      </w:pPr>
    </w:p>
    <w:p>
      <w:pPr>
        <w:ind w:left="1480"/>
        <w:spacing w:after="0" w:line="270" w:lineRule="auto"/>
        <w:rPr>
          <w:rFonts w:ascii="Arial" w:cs="Arial" w:eastAsia="Arial" w:hAnsi="Arial"/>
          <w:sz w:val="17"/>
          <w:szCs w:val="17"/>
          <w:color w:val="auto"/>
        </w:rPr>
      </w:pPr>
      <w:r>
        <w:rPr>
          <w:rFonts w:ascii="Arial" w:cs="Arial" w:eastAsia="Arial" w:hAnsi="Arial"/>
          <w:sz w:val="17"/>
          <w:szCs w:val="17"/>
          <w:color w:val="auto"/>
        </w:rPr>
        <w:t>US$12.7 million in 2015 to US$26.8 million in 2016, primarily due to an increase in personnel costs of US$18.2 million related to share based compensation of US$17.6 million to one of our founders and certain other employees in the fourth quarter of 2016, and an increase in headcount for our general and administrative personnel as a result of OptAim acquisition. The increase was partially offset by a decrease in legal and professional fees of US$1.6 million, and the absence of a compensation payment of US$3.0 million to certain existing shareholders of OptAim, both of which were incurred in 2015 in connection with our acquisition of OptAim. As a result, general and administrative expenses as a percentage of net revenues increased from 19.5% in 2015 to 28.1% in 2016.</w:t>
      </w:r>
    </w:p>
    <w:p>
      <w:pPr>
        <w:spacing w:after="0" w:line="84" w:lineRule="exact"/>
        <w:rPr>
          <w:rFonts w:ascii="Arial" w:cs="Arial" w:eastAsia="Arial" w:hAnsi="Arial"/>
          <w:sz w:val="17"/>
          <w:szCs w:val="17"/>
          <w:color w:val="auto"/>
        </w:rPr>
      </w:pPr>
    </w:p>
    <w:p>
      <w:pPr>
        <w:ind w:left="1480" w:hanging="446"/>
        <w:spacing w:after="0"/>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Our research and development expenses increased by US$0.5 million, or 5.9%, from</w:t>
      </w:r>
    </w:p>
    <w:p>
      <w:pPr>
        <w:spacing w:after="0" w:line="23" w:lineRule="exact"/>
        <w:rPr>
          <w:rFonts w:ascii="Arial" w:cs="Arial" w:eastAsia="Arial" w:hAnsi="Arial"/>
          <w:sz w:val="18"/>
          <w:szCs w:val="18"/>
          <w:color w:val="auto"/>
        </w:rPr>
      </w:pPr>
    </w:p>
    <w:p>
      <w:pPr>
        <w:ind w:left="1480"/>
        <w:spacing w:after="0" w:line="255" w:lineRule="auto"/>
        <w:rPr>
          <w:rFonts w:ascii="Arial" w:cs="Arial" w:eastAsia="Arial" w:hAnsi="Arial"/>
          <w:sz w:val="18"/>
          <w:szCs w:val="18"/>
          <w:color w:val="auto"/>
        </w:rPr>
      </w:pPr>
      <w:r>
        <w:rPr>
          <w:rFonts w:ascii="Arial" w:cs="Arial" w:eastAsia="Arial" w:hAnsi="Arial"/>
          <w:sz w:val="18"/>
          <w:szCs w:val="18"/>
          <w:color w:val="auto"/>
        </w:rPr>
        <w:t>US$8.1 million in 2015 to US$8.6 million in 2016. Research and development expenses as a percentage of our net revenues decreased from 12.4% in 2015 to 9.0% in 2016, primarily as a result of synergies from the integration of the complementary technology capabilities of OptAim and economies of scale.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Our interest expense increased by 566.4%, or US$0.6 million, from US$0.1 million in 2015 to US$0.7 million in 2016. This increase was primarily due to an increase in the average balance of our outstanding bank borrowings in 2016 compared to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 Net</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Our other gains, net was US$0.8 million in 2015, compared to other losses, net of US$1.1 million in 2016. The change was primarily due to an increase by 24.3%, or US$0.2 million, from US$0.9 million in 2015 to US$1.1 million in 2016 in net exchange loss due to the depreciation of Renminbi against the US dollars. In addition, we recorded 1) fair value gain on re-measurement of previously held equity interest in associate of US$1.2 million and 2) management fee income of US$0.4 million in 2015 in relation to our provision of office and human resource service to a third-party to help its expansion in China. We did not incur similar fair value gain and management fee in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(Loss)/Gain on Derivative Liabilities</w:t>
      </w:r>
    </w:p>
    <w:p>
      <w:pPr>
        <w:spacing w:after="0" w:line="11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Our fair value loss on derivative liabilities was US$19.4 million in 2015, compared to a fair value gain on derivative liabilities of US$4.0 million in 2016. The fair value loss or gain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D and E preferred shares. The fair value loss on derivative liabilities of US$19.4 million in 2015 was primarily related to our series A, B and D preferred shares, subsequent to which we grew our business substantially as we acquired OptAim.</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Losses from an Equity Investee</w:t>
      </w:r>
    </w:p>
    <w:p>
      <w:pPr>
        <w:spacing w:after="0" w:line="11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We incurred US$38 thousand share of losses from an equity investee, Buzzinate, in 2015. We acquired the remaining equity interest in Buzzinate in February 2015 and as a result Buzzinate has become our wholly owned subsidiary and been consolidated in our financial statements since February 2015. We did not have share of losses from an equity investee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 (Expenses)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recorded an income tax benefit of US$0.6 million in 2015 and an income tax expense of US$0.2 million in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 result of the foregoing, our net loss decreased by 31.2% from US$39.7 million in 2015 to US$27.3 million in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In May 2014, the Financial Accounting Standards Board (“FASB”), issued ASU 2014-09—Revenue from Contracts with Customers (Topic 606) (“ASU 2014-09”). ASU 2014-09 amends the guidance for revenue recognition to replace numerous industry-specific requirements and converges areas under the “Revenue from Contracts with Customers” topic with those of the International Financial Reporting Standards. The guidance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Other major provisions include the capitalization and amortization of certain contract costs, ensuring the time value of money is considered in the transaction price, and allowing estimates of variable consideration to be recognized before contingencies are resolved in certain circumstances. Entities can transition to the standard either retrospectively or as a cumulative-effect adjustment as of the date of adoption (“modified retrospective”). The guidance is effective for reporting periods beginning after December 15, 2017. Since its issuance, the FASB has amended several aspects of the new guidance including provisions that clarify the implementation guidance on principal versus agent considerations in the new revenue recognition standard. The amendments clarify how an entity should identify the unit of accounting (i.e., the specified good or service) for the principal versus agent evaluation and how it should apply the control principle to certain types of arrangements.</w:t>
      </w:r>
    </w:p>
    <w:p>
      <w:pPr>
        <w:spacing w:after="0" w:line="180"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Our management has completed an assessment to determine the impact on our consolidated financial statements by analyzing our primary revenue generating transaction types, and concluded that there was no impact on our results of operations as a result of adopting this standard, except for the reclassification of rebates granted to clients under the sales agent arrangement from cost of revenues to net against revenues. The amounts of such rebates were included in our cost of revenues and were US$2.6 million and US$2.2 million for the years ended December 31, 2016 and 2017, respectively. Meanwhile, there will also be additional disclosure requirements upon the adoption of this standard. We will adopt this new standard on a modified retrospective basis as of January 1, 2018.</w:t>
      </w:r>
    </w:p>
    <w:p>
      <w:pPr>
        <w:spacing w:after="0" w:line="193"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 business entities for interim and annual periods beginning after December 15, 2016 (early adoption is permitted). We adopted ASU 2015-17 on January 1, 2017, and have applied this guidance retrospectively to all periods presented. Following the adoption of this guidance in 2017, US$1.1 million of current deferred tax liabilities as of December 31, 2016 has been reclassified to non-current liabilities.</w:t>
      </w:r>
    </w:p>
    <w:p>
      <w:pPr>
        <w:spacing w:after="0" w:line="15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 ASU 2016-02 is effective for fiscal years and interim periods within those years beginning after December 15, 2018. Early adoption is permitted. We are in the process of evaluating the impact of the standard on our consolidated financial statements.</w:t>
      </w:r>
    </w:p>
    <w:p>
      <w:pPr>
        <w:spacing w:after="0" w:line="193"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We will adopt this new standard on a retrospective basis as of January 1, 2018. We have assessed each of the eight specific presentation issues and the adoption of this ASU will not have a material impact on our consolidated financial statements.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We do not expect ASU 2016-16 to have a material impact to our consolidated financial statements.</w:t>
      </w:r>
    </w:p>
    <w:p>
      <w:pPr>
        <w:spacing w:after="0" w:line="171"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2017. We currently do not expect ASU 2017-01 to have a material impact to our consolidated financial statements, but will apply the guidance upon adoption to business acquisitions, disposals and segment changes, if any.</w:t>
      </w:r>
    </w:p>
    <w:p>
      <w:pPr>
        <w:spacing w:after="0" w:line="15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Retrospective transition method is required. We currently present changes in restricted cash and cash equivalents depending on the nature of the cash flow within the consolidated statement of cash flows. The new guidance will not impact financial results, but will result in a change in the presentation of restricted cash and cash equivalents within the consolidated statement of cash flows. We currently plan to adopt this guidance from January 1, 2018.</w:t>
      </w:r>
    </w:p>
    <w:p>
      <w:pPr>
        <w:spacing w:after="0" w:line="17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our consolidated financial statements.</w:t>
      </w:r>
    </w:p>
    <w:p>
      <w:pPr>
        <w:spacing w:after="0" w:line="178" w:lineRule="exact"/>
        <w:rPr>
          <w:sz w:val="20"/>
          <w:szCs w:val="20"/>
          <w:color w:val="auto"/>
        </w:rPr>
      </w:pPr>
    </w:p>
    <w:p>
      <w:pPr>
        <w:ind w:right="120" w:firstLine="913"/>
        <w:spacing w:after="0" w:line="289" w:lineRule="auto"/>
        <w:rPr>
          <w:sz w:val="20"/>
          <w:szCs w:val="20"/>
          <w:color w:val="auto"/>
        </w:rPr>
      </w:pPr>
      <w:r>
        <w:rPr>
          <w:rFonts w:ascii="Arial" w:cs="Arial" w:eastAsia="Arial" w:hAnsi="Arial"/>
          <w:sz w:val="16"/>
          <w:szCs w:val="16"/>
          <w:color w:val="auto"/>
        </w:rPr>
        <w:t>In January 2016, the FASB issued ASU 2016-01—Financial Instruments—Overall (Subtopic 825-10): Recognition and Measurement of Financial Assets and Financial Liabilities (“ASU 2016-01”). ASU 2016-01 changes certain recognition, measurement, presentation, and disclosure requirements for financial instruments. The new guidance requires all equity investments, except those accounted for under the equity method of accounting or resulting in consolidation, to be measured at fair value with changes in fair value recognized in net income. The guidance also simplifies the impairment assessment for equity investments without readily determinable fair values, amends the presentation requirements for changes in the fair value of financial liabilities, requires presentation of financial instruments by measurement category and form of financial asset, and eliminates the requirement to disclose the methods and significant assumptions used in estimating the fair value of financial instruments. The new guidance is effective for interim and annual periods beginning after December 15, 2017, and early adoption is not permitted except for the amended presentation requirements for changes in the fair value of financial liabilities. The adoption of this new standard is not expected to have a material impact on our results of operations, financial position or cash flows.</w:t>
      </w:r>
    </w:p>
    <w:p>
      <w:pPr>
        <w:spacing w:after="0" w:line="167"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June 2016, the FASB issued ASU 2016-13—Financial Instruments—Credit Losses (Topic 326): Measurement of Credit Losses on Financial Instruments (“ASU 2016-13”), which changes the accounting for recognizing impairments of financial assets. Under ASU 2016-13, credit losses for certain types of financial instruments will be estimated based on expected losses. The new guidance also modifies the impairment models for available-for-sale debt securities and for purchased financial assets with credit deterioration since their origination. The new guidance will be effective starting in the first quarter of fiscal 2021. Early adoption is permitted starting in the first quarter of fiscal 2020. We are currently assessing the impact this guidance will have on our consolidated financial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In May 2017, the FASB issued ASU 2017-09—Compensation—Stock Compensation (Topic 718): Scope of Modification Accounting (“ASU 2017-09”) to provide guidance about which changes to the terms and conditions of a share-based payment award require an entity to apply modification accounting. The guidance notes that an entity should account for the effects of a modification unless the fair value of the modified award is the same as the fair value of the original award immediately before the original award was modified and it did not change any of the inputs to the valuation technique used to value the award, the vesting conditions did not change, and the classification of the award as either equity or liability did not change. The guidance is effective for fiscal years, and interim periods within those fiscal years, beginning after December 15, 2017, and will be applied prospectively to any transactions occurring within the period of adoption. Early adoption is permitted, including for interim or annual periods in which the financial statements have not been issued or made available for issuance. The adoption of this update is not expected to have material impact on our results of operations, financial position or cash flows.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11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As of December 31, 2017, we had US$19.4 million in cash and cash equivalents, and borrowing capacity of US$10.5 million under our revolving credit facilities and term loan facilities of a total principal amount of US$19.8 million. As of December 31, 2017, our cash and cash equivalents primarily consisted of cash on hand, cash held at bank, and time deposits placed with banks or other financial institutions, which have original maturities of three months or less. As of December 31, 2017, we had violated certain financial covenants with respect to our bank borrowings extended by a bank, however, we have obtained the necessary waiver letters such that the bank would not demand immediate repayment. We believe that our current cash and cash equivalents, together with the borrowing capacity under our revolving credit facilities and the term loan facility will be sufficient to meet our anticipated working capital requirements and capital expenditures for the next 12 months.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83"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“Item 4. Information on the Company — C. Organizational Structure — Contractual Arrangements with OptAim Network.”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“Item 3. Key Information—D. Risk Factors — Risks Relating to Doing Business in China — Governmental control of currency conversion may limit our ability to utilize our revenues effectively and affect the value of your investment.”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44"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Year Ended</w:t>
      </w:r>
    </w:p>
    <w:p>
      <w:pPr>
        <w:jc w:val="center"/>
        <w:ind w:left="68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5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2015</w:t>
            </w:r>
          </w:p>
        </w:tc>
        <w:tc>
          <w:tcPr>
            <w:tcW w:w="126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2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(9,797)</w:t>
            </w:r>
          </w:p>
        </w:tc>
        <w:tc>
          <w:tcPr>
            <w:tcW w:w="1260" w:type="dxa"/>
            <w:vAlign w:val="bottom"/>
          </w:tcPr>
          <w:p>
            <w:pPr>
              <w:jc w:val="right"/>
              <w:ind w:right="234"/>
              <w:spacing w:after="0"/>
              <w:rPr>
                <w:sz w:val="20"/>
                <w:szCs w:val="20"/>
                <w:color w:val="auto"/>
              </w:rPr>
            </w:pPr>
            <w:r>
              <w:rPr>
                <w:rFonts w:ascii="Arial" w:cs="Arial" w:eastAsia="Arial" w:hAnsi="Arial"/>
                <w:sz w:val="18"/>
                <w:szCs w:val="18"/>
                <w:color w:val="auto"/>
              </w:rPr>
              <w:t>(3,907)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(13,881)</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(18,095)</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(3,710)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(19,931)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(2,612)</w:t>
            </w: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24,564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25,546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w w:val="90"/>
              </w:rPr>
              <w:t>Effect on exchange rate changes on cash and cash equivalents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(decrease)/increase in cash and cash equivalents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(30,504)</w:t>
            </w: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16,947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(8,266)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41,131</w:t>
            </w:r>
          </w:p>
        </w:tc>
        <w:tc>
          <w:tcPr>
            <w:tcW w:w="12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10,395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Cash and cash equivalents at the end of period</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10,395</w:t>
            </w:r>
          </w:p>
        </w:tc>
        <w:tc>
          <w:tcPr>
            <w:tcW w:w="1260" w:type="dxa"/>
            <w:vAlign w:val="bottom"/>
          </w:tcPr>
          <w:p>
            <w:pPr>
              <w:jc w:val="right"/>
              <w:ind w:right="294"/>
              <w:spacing w:after="0"/>
              <w:rPr>
                <w:sz w:val="20"/>
                <w:szCs w:val="20"/>
                <w:color w:val="auto"/>
              </w:rPr>
            </w:pPr>
            <w:r>
              <w:rPr>
                <w:rFonts w:ascii="Arial" w:cs="Arial" w:eastAsia="Arial" w:hAnsi="Arial"/>
                <w:sz w:val="18"/>
                <w:szCs w:val="18"/>
                <w:color w:val="auto"/>
              </w:rPr>
              <w:t>27,280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19,401</w:t>
            </w:r>
          </w:p>
        </w:tc>
      </w:tr>
      <w:tr>
        <w:trPr>
          <w:trHeight w:val="350"/>
        </w:trPr>
        <w:tc>
          <w:tcPr>
            <w:tcW w:w="4580" w:type="dxa"/>
            <w:vAlign w:val="bottom"/>
          </w:tcPr>
          <w:p>
            <w:pPr>
              <w:spacing w:after="0"/>
              <w:rPr>
                <w:sz w:val="24"/>
                <w:szCs w:val="24"/>
                <w:color w:val="auto"/>
              </w:rPr>
            </w:pPr>
          </w:p>
        </w:tc>
        <w:tc>
          <w:tcPr>
            <w:tcW w:w="2320" w:type="dxa"/>
            <w:vAlign w:val="bottom"/>
          </w:tcPr>
          <w:p>
            <w:pPr>
              <w:jc w:val="right"/>
              <w:ind w:right="1930"/>
              <w:spacing w:after="0"/>
              <w:rPr>
                <w:sz w:val="20"/>
                <w:szCs w:val="20"/>
                <w:color w:val="auto"/>
              </w:rPr>
            </w:pPr>
            <w:r>
              <w:rPr>
                <w:rFonts w:ascii="Arial" w:cs="Arial" w:eastAsia="Arial" w:hAnsi="Arial"/>
                <w:sz w:val="18"/>
                <w:szCs w:val="18"/>
                <w:color w:val="auto"/>
              </w:rPr>
              <w:t>97</w:t>
            </w: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cash used in operating activities amounted to US$13.9 million in 2017, which was mainly attributable to a net loss of US$24.6 million and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working capital of US$10.3 million, partially offset by non-cash items of US$21.0 million. The net decrease in working capital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US$10.3 million was primarily attributable to a decrease in accounts payable of US$5.5 million and an increase in accounts receivable and prepaid media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costs of US$9.8 million and US$2.5 million respectively, partially offset by a decrease in rebate receivables of US$0.9 million, and an increase in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of US$5.8 million. The non-cash items of US$21.0 million were primarily attributable to fair value losses on derivative liabilities of US$10.2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due to an increase in our enterprise value as a result of a decrease in lack of marketability discount due to our initial public offering, amortization of intangible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assets of US$4.2 million relating to intangible asset and share-based compensation of US$5.1 million.</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cash used in operating activities amounted to US$3.9 million in 2016, which was mainly attributable to a net loss of $27.3 million, partially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offset by a net increase in working capital of US$1.3 million and non-cash items of US$22.1 million. The net increase in working capital of US$1.3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attributable to an increase in deferred revenue of US$10.8 million, and increase in income tax payable of US$1.9 million and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rebates receivables of US$1.4 million, partially offset by an increase in prepaid media cost of US$9.6 million and an increase in accounts receivable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US$2.3 million. The increase in deferred revenue of US$10.8 million was primarily driven by an increase in receipt in advance from clients.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prepaid media cost of US$9.6 million was primarily driven by an increase in prepaid media cost under our sales agency arrangement towards the end of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secure favorable rates for our incentive revenue as we had additional liquidity following our issuance of Series E convertible redeemable shares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2016. The non-cash items of US$22.1 million were primarily attributable to share-based compensation of US$21.2 million in relation to our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payment to one of our founders and certain members of OptAim management team of US$17.6 million and employees of US$3.6 million in 2016,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intangible assets of US$4.3 million relating to intangible assets, partially offset by fair value gain on derivative financial instruments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US$4.0 million.</w:t>
      </w:r>
    </w:p>
    <w:p>
      <w:pPr>
        <w:spacing w:after="0" w:line="211"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Net cash used in operating activities was US$9.8 million in 2015, which was mainly attributable to a net loss of $39.7 million, partially offset by a net increase in working capital of US$1.6 million and non-cash items of US$28.4 million. The net increase in working capital of US$1.6 million was primarily attributable to an increase in accrued liabilities and other current liabilities of US$9.3 million and a decrease in prepaid media costs of</w:t>
      </w:r>
    </w:p>
    <w:p>
      <w:pPr>
        <w:ind w:right="60"/>
        <w:spacing w:after="0" w:line="295" w:lineRule="auto"/>
        <w:rPr>
          <w:sz w:val="20"/>
          <w:szCs w:val="20"/>
          <w:color w:val="auto"/>
        </w:rPr>
      </w:pPr>
      <w:r>
        <w:rPr>
          <w:rFonts w:ascii="Arial" w:cs="Arial" w:eastAsia="Arial" w:hAnsi="Arial"/>
          <w:sz w:val="16"/>
          <w:szCs w:val="16"/>
          <w:color w:val="auto"/>
        </w:rPr>
        <w:t>US$8.1 million, partially offset primarily by an increase in accounts receivable of US$13.7 million. The increase in accrued liabilities and other current liabilities of US$9.3 million was primarily driven by an increase in rebate provision to clients and accrued expenses. The increase in accounts receivable of US$13.7 million was commensurate with the growth of our gross billing. The non-cash items of US$28.4 million were mainly attributable to fair value loss on derivative financial instruments of US$19.4 million, share-based compensation of US$6.5 million and amortization of intangible assets of US$2.0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cash used in investing activities in 2017 was US$19.9 million, due to an increase in time deposits of US$25.0 million.</w:t>
      </w:r>
    </w:p>
    <w:p>
      <w:pPr>
        <w:spacing w:after="0" w:line="225"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Net cash used in investing activities in 2016 was US$3.7 million, due to an increase in restricted cash of US$4.2 million as we incurred more bank borrowings in 2016, and purchase of property and equipment of US$1.0 million, partially offset by a decrease in short-term investments of US$1.6 million.</w:t>
      </w:r>
    </w:p>
    <w:p>
      <w:pPr>
        <w:spacing w:after="0" w:line="181" w:lineRule="exact"/>
        <w:rPr>
          <w:sz w:val="20"/>
          <w:szCs w:val="20"/>
          <w:color w:val="auto"/>
        </w:rPr>
      </w:pPr>
    </w:p>
    <w:p>
      <w:pPr>
        <w:jc w:val="both"/>
        <w:ind w:right="180" w:firstLine="913"/>
        <w:spacing w:after="0" w:line="342" w:lineRule="auto"/>
        <w:rPr>
          <w:sz w:val="20"/>
          <w:szCs w:val="20"/>
          <w:color w:val="auto"/>
        </w:rPr>
      </w:pPr>
      <w:r>
        <w:rPr>
          <w:rFonts w:ascii="Arial" w:cs="Arial" w:eastAsia="Arial" w:hAnsi="Arial"/>
          <w:sz w:val="16"/>
          <w:szCs w:val="16"/>
          <w:color w:val="auto"/>
        </w:rPr>
        <w:t>Net cash used in investing activities in 2015 was US$18.1 million. This primarily consisted of US$14.5 million acquisition cost of subsidiaries, net of cash received related to the payment of cash consideration for our acquisition of OptAim and purchase of property and equipment of US$2.6 million.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080" w:firstLine="913"/>
        <w:spacing w:after="0" w:line="277" w:lineRule="auto"/>
        <w:rPr>
          <w:sz w:val="20"/>
          <w:szCs w:val="20"/>
          <w:color w:val="auto"/>
        </w:rPr>
      </w:pPr>
      <w:r>
        <w:rPr>
          <w:rFonts w:ascii="Arial" w:cs="Arial" w:eastAsia="Arial" w:hAnsi="Arial"/>
          <w:sz w:val="18"/>
          <w:szCs w:val="18"/>
          <w:color w:val="auto"/>
        </w:rPr>
        <w:t>Net cash provided by financing activities in 2017 was US$26.0 million, which was primarily attributable to our net IPO proceed of US$28.4 million.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w:t>
      </w:r>
    </w:p>
    <w:p>
      <w:pPr>
        <w:spacing w:after="0" w:line="18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Net cash used in financing activities in 2015 was US$2.6 million. This was primarily attributable to US$15.0 million of remaining proceeds from issuance of series D convertible redeemable preferred shares, US$7.6 million of proceeds from bank borrowings and US$0.3 million of proceeds from exercise of share options. These were partially offset by the repurchase of ordinary shares in an amount of US$11.6 million, the repurchase of series B convertible redeemable preferred shares in an amount of US$11.6 million, repayment of bank borrowings in an amount of US$1.6 million and repayment of a loan provided by our director in an amount of US$0.6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right="520" w:firstLine="913"/>
        <w:spacing w:after="0" w:line="291"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December 2017. Pursuant to the agreement as amended, we were granted a one-year revolving line of credit up to the lesser of</w:t>
      </w:r>
    </w:p>
    <w:p>
      <w:pPr>
        <w:ind w:right="140" w:firstLine="8"/>
        <w:spacing w:after="0" w:line="268" w:lineRule="auto"/>
        <w:tabs>
          <w:tab w:leader="none" w:pos="245" w:val="left"/>
        </w:tabs>
        <w:numPr>
          <w:ilvl w:val="0"/>
          <w:numId w:val="57"/>
        </w:numPr>
        <w:rPr>
          <w:rFonts w:ascii="Arial" w:cs="Arial" w:eastAsia="Arial" w:hAnsi="Arial"/>
          <w:sz w:val="17"/>
          <w:szCs w:val="17"/>
          <w:color w:val="auto"/>
        </w:rPr>
      </w:pPr>
      <w:r>
        <w:rPr>
          <w:rFonts w:ascii="Arial" w:cs="Arial" w:eastAsia="Arial" w:hAnsi="Arial"/>
          <w:sz w:val="17"/>
          <w:szCs w:val="17"/>
          <w:color w:val="auto"/>
        </w:rPr>
        <w:t>RMB50 million (US$7.6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a maximum amount of RMB60 million (US$9.1 million) account receivables as pledge to secure our obligation to SPD Silicon Valley Bank. The interest rate of this facility is the benchmark interest rate determined by the People’s Bank of China for loans over one year granted by financial institutions plus 1.65% per annum. We are required to make monthly interest payments through December 2018, when the loan matures and the principal is due and payable. We are allowed to voluntarily prepay the loan without prepayment charges. As of December 31, 2017, the total outstanding amount of the revolving loan was RMB50 million (US$7.6 million).</w:t>
      </w:r>
    </w:p>
    <w:p>
      <w:pPr>
        <w:spacing w:after="0" w:line="184" w:lineRule="exact"/>
        <w:rPr>
          <w:sz w:val="20"/>
          <w:szCs w:val="20"/>
          <w:color w:val="auto"/>
        </w:rPr>
      </w:pPr>
    </w:p>
    <w:p>
      <w:pPr>
        <w:ind w:right="20" w:firstLine="913"/>
        <w:spacing w:after="0" w:line="286"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December 2017. Pursuant to the agreement as amended, we were provided with a US$2 million term loan and a revolving line of credit up to the lesser of (a) 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December 31, 2017, the total outstanding amount of the term loan was approximately US$0.3 million and no further amounts were available to be drawn under this facility. The interest rate of the revolving loan is the benchmark interest rate determined by three-month LIBOR plus 5.55% per annum, and we are required to make monthly interest payments through December 2018, when the loan matures and the principal is due and payable. We are allowed to voluntarily prepay the revolving loan without prepayment charges. As of December 31, 2017, the total outstanding amount under the revolving loan was US$2,800,000 and US$200,000 was available to be drawn under this facility. This loan also contains certain repayable on demand clause.</w:t>
      </w:r>
    </w:p>
    <w:p>
      <w:pPr>
        <w:spacing w:after="0" w:line="17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In May 2016, we entered into a facility agreement for working capital loans with Bangkok Bank, which was most recently amended in June 2017. Pursuant to the agreement as amended, we were provided with a RMB30 million (US$4.4 million) revolving line of credit. The agreement as amended provides for customary representations, warranties, affirmative and negative covenants and events of default. The agreement as amended does not include a financial covenant. Our obligations to Bangkok Bank are secured by a pledged deposit in US dollar equals to 105% of our total outstanding amount under this facility. The interest rate of this facility was the benchmark interest rate determined by the People’s Bank of China for loans over nine months granted by financial institutions times 115% per annum. We are required to make monthly interest payments through May 2018, when the loan matures and the principal is due and payable. We will be charged a prepayment fee if we prepay the loan before the maturity date. As of December 31, 2017, we had no outstanding balance under this revolving loan.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March 2017, we entered into a facility agreement for working capital loans with Eastwest Bank, which provides for a RMB30 million (US$4.3 million) 18-month revolving loan. The agreement includes a financial covenant that requires that we meet certain minimum monthly bank statement balance, annual profit margin requirement and minimum monthly adjusted quick ratio. We provided corporate guarantee and account receivables as pledge to secure our obligations under this revolving loan. The interest rate of this facility is fixed at 5.75% per annum, and we are required to make payment of accrued interest every three months through September 2018, when the loan matures and principal is due and payable. We are required to reimburse the bank with any incurred cost allowance if we prepay the loan before the maturity date. As of December 31, 2017, we had not drawn down under this revolving loan.</w:t>
      </w:r>
    </w:p>
    <w:p>
      <w:pPr>
        <w:spacing w:after="0" w:line="165" w:lineRule="exact"/>
        <w:rPr>
          <w:sz w:val="20"/>
          <w:szCs w:val="20"/>
          <w:color w:val="auto"/>
        </w:rPr>
      </w:pPr>
    </w:p>
    <w:p>
      <w:pPr>
        <w:ind w:right="240" w:firstLine="913"/>
        <w:spacing w:after="0" w:line="286" w:lineRule="auto"/>
        <w:rPr>
          <w:sz w:val="20"/>
          <w:szCs w:val="20"/>
          <w:color w:val="auto"/>
        </w:rPr>
      </w:pPr>
      <w:r>
        <w:rPr>
          <w:rFonts w:ascii="Arial" w:cs="Arial" w:eastAsia="Arial" w:hAnsi="Arial"/>
          <w:sz w:val="17"/>
          <w:szCs w:val="17"/>
          <w:color w:val="auto"/>
        </w:rPr>
        <w:t>As of December 31, 2016 and 2017,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would not demand immediate repayment.</w:t>
      </w:r>
    </w:p>
    <w:p>
      <w:pPr>
        <w:spacing w:after="0" w:line="166"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Other than those shown in “—Credit Facilities”, we did not have any significant capital and other commitments, long-term obligations, or guarantees as of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We made capital expenditures of US$2.7 million, US$0.9 million and US$0.1 million in 2015, 2016 and 2017, respectively. In these periods, our capital expenditures were mainly used for the purchase of property and equipment and purchase of software. We will continue to make capital expenditures to support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iClick Interactive Asia Group Limited is a Cayman Islands exempted limited liability company, used as a holding company with no material operations of its own. We conduct our operations primarily through our wholly 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 owned subsidiaries are permitted to pay dividends to us only out of their retained earnings, if any, as determined in accordance with PRC accounting standards and regulations. Under PRC law, each of our wholly 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Research and Development, Patents and Licenses, Etc.</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4. Information On the Company—B. Business Overview— Research and Development” and “—Intellectual Property”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Trend Information</w:t>
      </w:r>
    </w:p>
    <w:p>
      <w:pPr>
        <w:spacing w:after="0" w:line="117" w:lineRule="exact"/>
        <w:rPr>
          <w:sz w:val="20"/>
          <w:szCs w:val="20"/>
          <w:color w:val="auto"/>
        </w:rPr>
      </w:pPr>
    </w:p>
    <w:p>
      <w:pPr>
        <w:jc w:val="both"/>
        <w:ind w:right="320" w:firstLine="913"/>
        <w:spacing w:after="0" w:line="312"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commitments or events since January 1, 2017 that are reasonably likely to have a material effect on our net revenues, income, profitability, liquidity or capital resources, or that would cause reported consolidated financial information not necessarily to be indicative of future operating results or financial conditions.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Off-balance Sheet Arrangements</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Tabular Disclosure of Contractual Obligations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Payment Due by Period</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7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9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Less than 1</w:t>
            </w:r>
          </w:p>
        </w:tc>
        <w:tc>
          <w:tcPr>
            <w:tcW w:w="122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1-3 years</w:t>
            </w: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3-5 years</w:t>
            </w:r>
          </w:p>
        </w:tc>
        <w:tc>
          <w:tcPr>
            <w:tcW w:w="840" w:type="dxa"/>
            <w:vAlign w:val="bottom"/>
          </w:tcPr>
          <w:p>
            <w:pPr>
              <w:jc w:val="center"/>
              <w:ind w:left="118"/>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00" w:type="dxa"/>
            <w:vAlign w:val="bottom"/>
          </w:tcPr>
          <w:p>
            <w:pPr>
              <w:jc w:val="right"/>
              <w:ind w:right="160"/>
              <w:spacing w:after="0"/>
              <w:rPr>
                <w:sz w:val="20"/>
                <w:szCs w:val="20"/>
                <w:color w:val="auto"/>
              </w:rPr>
            </w:pPr>
            <w:r>
              <w:rPr>
                <w:rFonts w:ascii="Arial" w:cs="Arial" w:eastAsia="Arial" w:hAnsi="Arial"/>
                <w:sz w:val="14"/>
                <w:szCs w:val="14"/>
                <w:b w:val="1"/>
                <w:bCs w:val="1"/>
                <w:color w:val="auto"/>
              </w:rPr>
              <w:t>year</w:t>
            </w:r>
          </w:p>
        </w:tc>
        <w:tc>
          <w:tcPr>
            <w:tcW w:w="12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0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7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1,862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66</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Debt obligation, including interest</w:t>
            </w:r>
          </w:p>
        </w:tc>
        <w:tc>
          <w:tcPr>
            <w:tcW w:w="740" w:type="dxa"/>
            <w:vAlign w:val="bottom"/>
          </w:tcPr>
          <w:p>
            <w:pPr>
              <w:jc w:val="right"/>
              <w:ind w:right="94"/>
              <w:spacing w:after="0"/>
              <w:rPr>
                <w:sz w:val="20"/>
                <w:szCs w:val="20"/>
                <w:color w:val="auto"/>
              </w:rPr>
            </w:pPr>
            <w:r>
              <w:rPr>
                <w:rFonts w:ascii="Arial" w:cs="Arial" w:eastAsia="Arial" w:hAnsi="Arial"/>
                <w:sz w:val="18"/>
                <w:szCs w:val="18"/>
                <w:color w:val="auto"/>
                <w:w w:val="98"/>
              </w:rPr>
              <w:t>11,137</w:t>
            </w:r>
          </w:p>
        </w:tc>
        <w:tc>
          <w:tcPr>
            <w:tcW w:w="900" w:type="dxa"/>
            <w:vAlign w:val="bottom"/>
          </w:tcPr>
          <w:p>
            <w:pPr>
              <w:jc w:val="right"/>
              <w:spacing w:after="0"/>
              <w:rPr>
                <w:sz w:val="20"/>
                <w:szCs w:val="20"/>
                <w:color w:val="auto"/>
              </w:rPr>
            </w:pPr>
            <w:r>
              <w:rPr>
                <w:rFonts w:ascii="Arial" w:cs="Arial" w:eastAsia="Arial" w:hAnsi="Arial"/>
                <w:sz w:val="18"/>
                <w:szCs w:val="18"/>
                <w:color w:val="auto"/>
              </w:rPr>
              <w:t>11,137</w:t>
            </w:r>
          </w:p>
        </w:tc>
        <w:tc>
          <w:tcPr>
            <w:tcW w:w="1220" w:type="dxa"/>
            <w:vAlign w:val="bottom"/>
          </w:tcPr>
          <w:p>
            <w:pPr>
              <w:jc w:val="right"/>
              <w:ind w:right="337"/>
              <w:spacing w:after="0"/>
              <w:rPr>
                <w:sz w:val="20"/>
                <w:szCs w:val="20"/>
                <w:color w:val="auto"/>
              </w:rPr>
            </w:pPr>
            <w:r>
              <w:rPr>
                <w:rFonts w:ascii="Arial" w:cs="Arial" w:eastAsia="Arial" w:hAnsi="Arial"/>
                <w:sz w:val="18"/>
                <w:szCs w:val="18"/>
                <w:color w:val="auto"/>
              </w:rPr>
              <w:t>—</w:t>
            </w:r>
          </w:p>
        </w:tc>
        <w:tc>
          <w:tcPr>
            <w:tcW w:w="760" w:type="dxa"/>
            <w:vAlign w:val="bottom"/>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8"/>
              </w:rPr>
              <w:t>12,999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w:t>
            </w:r>
          </w:p>
        </w:tc>
        <w:tc>
          <w:tcPr>
            <w:tcW w:w="1220" w:type="dxa"/>
            <w:vAlign w:val="bottom"/>
            <w:shd w:val="clear" w:color="auto" w:fill="CCEEFF"/>
          </w:tcPr>
          <w:p>
            <w:pPr>
              <w:jc w:val="right"/>
              <w:ind w:right="237"/>
              <w:spacing w:after="0"/>
              <w:rPr>
                <w:sz w:val="20"/>
                <w:szCs w:val="20"/>
                <w:color w:val="auto"/>
              </w:rPr>
            </w:pPr>
            <w:r>
              <w:rPr>
                <w:rFonts w:ascii="Arial" w:cs="Arial" w:eastAsia="Arial" w:hAnsi="Arial"/>
                <w:sz w:val="18"/>
                <w:szCs w:val="18"/>
                <w:color w:val="auto"/>
              </w:rPr>
              <w:t>66</w:t>
            </w:r>
          </w:p>
        </w:tc>
        <w:tc>
          <w:tcPr>
            <w:tcW w:w="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firstLine="913"/>
        <w:spacing w:after="0" w:line="308" w:lineRule="auto"/>
        <w:rPr>
          <w:sz w:val="20"/>
          <w:szCs w:val="20"/>
          <w:color w:val="auto"/>
        </w:rPr>
      </w:pPr>
      <w:r>
        <w:rPr>
          <w:rFonts w:ascii="Arial" w:cs="Arial" w:eastAsia="Arial" w:hAnsi="Arial"/>
          <w:sz w:val="17"/>
          <w:szCs w:val="17"/>
          <w:color w:val="auto"/>
        </w:rPr>
        <w:t>Our operating lease obligations relate to our leases of office premises. We lease our office premises under a non-cancelable operating lease arrangement. Rental expenses under operating leases for 2016 and 2017 were US$3.0 million and US$1.9 million,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Safe Harbor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“Forward-Looking Statements” on page 3 of this annual report.</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Directors and Senior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annual report. Except for Messrs. Scott Moore, Dylan Huang and Honnus Cheung, the business address for our directors and executive officers is that of our principal executive office at: 15/F, Prosperity Millennia Plaza, 663 King’s Road, Quarry Bay, Hong Kong S.A.R. The business address of Mr. Scott Moore is 1935 NE 19th St., Clyde Hill, WA 98004. The business address of Mr. Dylan Huang is 522 Huamei St. 11F-1, West district, Taichung, Taiwan. The business address of Ms. Honnus Cheung is Unit 3608, Level 36, AIA Tower, 183 Electric Road, Hong Kong.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Age</w:t>
            </w:r>
          </w:p>
        </w:tc>
        <w:tc>
          <w:tcPr>
            <w:tcW w:w="7220" w:type="dxa"/>
            <w:vAlign w:val="bottom"/>
          </w:tcPr>
          <w:p>
            <w:pPr>
              <w:ind w:left="3200"/>
              <w:spacing w:after="0"/>
              <w:rPr>
                <w:sz w:val="20"/>
                <w:szCs w:val="20"/>
                <w:color w:val="auto"/>
              </w:rPr>
            </w:pPr>
            <w:r>
              <w:rPr>
                <w:rFonts w:ascii="Arial" w:cs="Arial" w:eastAsia="Arial" w:hAnsi="Arial"/>
                <w:sz w:val="14"/>
                <w:szCs w:val="14"/>
                <w:b w:val="1"/>
                <w:bCs w:val="1"/>
                <w:color w:val="auto"/>
              </w:rPr>
              <w:t>Position/Title</w:t>
            </w:r>
          </w:p>
        </w:tc>
      </w:tr>
      <w:tr>
        <w:trPr>
          <w:trHeight w:val="210"/>
        </w:trPr>
        <w:tc>
          <w:tcPr>
            <w:tcW w:w="3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Wing Hong Sammy Hsieh</w:t>
            </w:r>
          </w:p>
        </w:tc>
        <w:tc>
          <w:tcPr>
            <w:tcW w:w="3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320" w:type="dxa"/>
            <w:vAlign w:val="bottom"/>
            <w:tcBorders>
              <w:top w:val="single" w:sz="8" w:color="CCEEFF"/>
            </w:tcBorders>
            <w:shd w:val="clear" w:color="auto" w:fill="CCEEFF"/>
          </w:tcPr>
          <w:p>
            <w:pPr>
              <w:spacing w:after="0"/>
              <w:rPr>
                <w:sz w:val="18"/>
                <w:szCs w:val="18"/>
                <w:color w:val="auto"/>
              </w:rPr>
            </w:pPr>
          </w:p>
        </w:tc>
        <w:tc>
          <w:tcPr>
            <w:tcW w:w="7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Co-Founder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Jian Tang</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3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Director, Chief Operating Officer, Chief Technology Officer, and Co-Founder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Yau Ping Ricky Ng</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32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Director and Co-Founder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Yu Long</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3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Antares Au</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32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Scott Moore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3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Dylan Huang</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32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Honnus Cheung</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3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Jie Jiao</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37</w:t>
            </w:r>
          </w:p>
        </w:tc>
        <w:tc>
          <w:tcPr>
            <w:tcW w:w="320" w:type="dxa"/>
            <w:vAlign w:val="bottom"/>
            <w:shd w:val="clear" w:color="auto" w:fill="CCEEFF"/>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Yan Lee</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320" w:type="dxa"/>
            <w:vAlign w:val="bottom"/>
          </w:tcPr>
          <w:p>
            <w:pPr>
              <w:spacing w:after="0"/>
              <w:rPr>
                <w:sz w:val="20"/>
                <w:szCs w:val="20"/>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Chief Product Officer</w:t>
            </w:r>
          </w:p>
        </w:tc>
      </w:tr>
      <w:tr>
        <w:trPr>
          <w:trHeight w:val="350"/>
        </w:trPr>
        <w:tc>
          <w:tcPr>
            <w:tcW w:w="3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20" w:type="dxa"/>
            <w:vAlign w:val="bottom"/>
          </w:tcPr>
          <w:p>
            <w:pPr>
              <w:ind w:left="1380"/>
              <w:spacing w:after="0"/>
              <w:rPr>
                <w:sz w:val="20"/>
                <w:szCs w:val="20"/>
                <w:color w:val="auto"/>
              </w:rPr>
            </w:pPr>
            <w:r>
              <w:rPr>
                <w:rFonts w:ascii="Arial" w:cs="Arial" w:eastAsia="Arial" w:hAnsi="Arial"/>
                <w:sz w:val="18"/>
                <w:szCs w:val="18"/>
                <w:color w:val="auto"/>
              </w:rPr>
              <w:t>101</w:t>
            </w:r>
          </w:p>
        </w:tc>
      </w:tr>
    </w:tbl>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founding 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8" w:lineRule="exact"/>
        <w:rPr>
          <w:sz w:val="20"/>
          <w:szCs w:val="20"/>
          <w:color w:val="auto"/>
        </w:rPr>
      </w:pPr>
    </w:p>
    <w:p>
      <w:pPr>
        <w:ind w:right="40" w:firstLine="913"/>
        <w:spacing w:after="0" w:line="286"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and co-founder and has served as our chief operating officer since January 2016 and our chief technology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since 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w:t>
      </w:r>
    </w:p>
    <w:p>
      <w:pPr>
        <w:spacing w:after="0" w:line="2" w:lineRule="exact"/>
        <w:rPr>
          <w:sz w:val="20"/>
          <w:szCs w:val="20"/>
          <w:color w:val="auto"/>
        </w:rPr>
      </w:pPr>
    </w:p>
    <w:p>
      <w:pPr>
        <w:jc w:val="both"/>
        <w:ind w:right="440"/>
        <w:spacing w:after="0" w:line="302" w:lineRule="auto"/>
        <w:rPr>
          <w:sz w:val="20"/>
          <w:szCs w:val="20"/>
          <w:color w:val="auto"/>
        </w:rPr>
      </w:pPr>
      <w:r>
        <w:rPr>
          <w:rFonts w:ascii="Arial" w:cs="Arial" w:eastAsia="Arial" w:hAnsi="Arial"/>
          <w:sz w:val="16"/>
          <w:szCs w:val="16"/>
          <w:color w:val="auto"/>
        </w:rPr>
        <w:t>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5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 xml:space="preserve">Mr. Yau Ping Ricky Ng </w:t>
      </w:r>
      <w:r>
        <w:rPr>
          <w:rFonts w:ascii="Arial" w:cs="Arial" w:eastAsia="Arial" w:hAnsi="Arial"/>
          <w:sz w:val="18"/>
          <w:szCs w:val="18"/>
          <w:color w:val="auto"/>
        </w:rPr>
        <w:t>is our director and co-founder. Mr. Ng has also served as director of both Aladdin Fintech (Beijing) Company Limited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Aladdin Fintech Company Limited. Prior to founding our company, Mr. Ng was head of direct sales at Yahoo Hong Kong where he specialized in developing new business and sales partnerships for the company’s search marketing and performance display solutions. Mr. Ng received his bachelor’s degree in computer science from the Chinese University of Hong Kong. Mr. Ng was named by Campaign Asia as “Digital A-list Digital Entrepreneur” in 2015 and Vmarketing as “Top 100 digital figures in 2011-2012.”</w:t>
      </w:r>
    </w:p>
    <w:p>
      <w:pPr>
        <w:spacing w:after="0" w:line="188"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i w:val="1"/>
          <w:iCs w:val="1"/>
          <w:color w:val="auto"/>
        </w:rPr>
        <w:t xml:space="preserve">Ms. Yu Long </w:t>
      </w:r>
      <w:r>
        <w:rPr>
          <w:rFonts w:ascii="Arial" w:cs="Arial" w:eastAsia="Arial" w:hAnsi="Arial"/>
          <w:sz w:val="16"/>
          <w:szCs w:val="16"/>
          <w:color w:val="auto"/>
        </w:rPr>
        <w:t>was appointed as our director by Bertelsmann Asia Investments in February 2011 in connection with its subscription of our series B</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Ms. Long currently also serves as a member of Bertelsmann Group management committee, chief executive officer of Bertelsmann China Corporate Center and managing partner of Bertelsmann Asia Investments. Ms. Long serves on the board of Tapestry Inc. (NYSE: TPR), China Distance Education (NYSE: DL) and Bitauto Holdings Limited (NYSE: BITA). Prior to that, Ms. Long was a principal at Bertelsmann Digital Media Investments. She joined the international media, services, and education company via the Bertelsmann Entrepreneurs Program in 2005. From 1996 to 2003, Ms. Long was a producer and lead anchor for the Sichuan Broadcasting Group. From 1994 to 1996 she was a producer and host for Chengdu People’s Radio Broadcasting. In addition, she is a member of the Stanford Graduate School of Business Advisory Council. Ms. Long is an active member of the World Economic Forum’s Young Global Leaders Advisory Council and is also a member of its Global Agenda Council on the Future of Media, Entertainment &amp; Information.</w:t>
      </w:r>
    </w:p>
    <w:p>
      <w:pPr>
        <w:spacing w:after="0" w:line="166"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i w:val="1"/>
          <w:iCs w:val="1"/>
          <w:color w:val="auto"/>
        </w:rPr>
        <w:t xml:space="preserve">Mr. Antares Au </w:t>
      </w:r>
      <w:r>
        <w:rPr>
          <w:rFonts w:ascii="Arial" w:cs="Arial" w:eastAsia="Arial" w:hAnsi="Arial"/>
          <w:sz w:val="16"/>
          <w:szCs w:val="16"/>
          <w:color w:val="auto"/>
        </w:rPr>
        <w:t>was appointed as our director by SSG Capital in February 2011 in connection with its subscription of our ordinary and series C</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shares. Mr. Au is a founding member and managing director of SSG Capital Management (Hong Kong) Limited and has headed its investment activities in Greater China since the firm’s establishment in 2009. He also serves as director of Jamestrong Investment Holding Limited and various entities affiliated with SSG Capital. Mr. Au previously worked at Lehman Brothers Asia Special Situations Group where he was responsible for the group’s investment activities in Greater China from 2007 to 2008. Prior to that, he worked at an affiliate of Och Ziff Capital Management from 2006 to 2007 and the private equity team of Fortress Investment Group from 2003 to 2005. He worked in the investment banking division of Goldman Sachs in New York from 2001 to 2002. Mr. Au received his bachelor’s degree in computer science and economics from Columbia University.</w:t>
      </w:r>
    </w:p>
    <w:p>
      <w:pPr>
        <w:spacing w:after="0" w:line="16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i w:val="1"/>
          <w:iCs w:val="1"/>
          <w:color w:val="auto"/>
        </w:rPr>
        <w:t xml:space="preserve">Mr. Scott Moore </w:t>
      </w:r>
      <w:r>
        <w:rPr>
          <w:rFonts w:ascii="Arial" w:cs="Arial" w:eastAsia="Arial" w:hAnsi="Arial"/>
          <w:sz w:val="18"/>
          <w:szCs w:val="18"/>
          <w:color w:val="auto"/>
        </w:rPr>
        <w:t>has served as our director since December 2017. Mr. Moore is the founder, chief executive officer and member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Ad Lightning, Inc. From September 2013 to April 2016, he served as chairman of the board of directors and chief executive officer of Cheezburger Networks, Inc. Prior to this, Mr. Moore was the chief digital officer of Hibu, plc. From 2009 to 2011, Mr. Moore was the executive producer at MSN US for Microsoft Corporation. During his employment with Microsoft Corporation, Mr. Moore also served on the board of directors of MSNBC.com, a joint venture of Microsoft Corporation and NBC Universal. Mr. Moore received his MBA degree from the University of Washington in 1994 and his bachelor’s degree in arts from the Harvard College in 1985.</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i w:val="1"/>
          <w:iCs w:val="1"/>
          <w:color w:val="auto"/>
        </w:rPr>
        <w:t xml:space="preserve">Mr. Dylan Huang </w:t>
      </w:r>
      <w:r>
        <w:rPr>
          <w:rFonts w:ascii="Arial" w:cs="Arial" w:eastAsia="Arial" w:hAnsi="Arial"/>
          <w:sz w:val="17"/>
          <w:szCs w:val="17"/>
          <w:color w:val="auto"/>
        </w:rPr>
        <w:t>has served as our director since December 2017. Mr. Huang has served as senior vice president of Meituan-Dianping since</w:t>
      </w:r>
      <w:r>
        <w:rPr>
          <w:rFonts w:ascii="Arial" w:cs="Arial" w:eastAsia="Arial" w:hAnsi="Arial"/>
          <w:sz w:val="17"/>
          <w:szCs w:val="17"/>
          <w:i w:val="1"/>
          <w:iCs w:val="1"/>
          <w:color w:val="auto"/>
        </w:rPr>
        <w:t xml:space="preserve"> </w:t>
      </w:r>
      <w:r>
        <w:rPr>
          <w:rFonts w:ascii="Arial" w:cs="Arial" w:eastAsia="Arial" w:hAnsi="Arial"/>
          <w:sz w:val="17"/>
          <w:szCs w:val="17"/>
          <w:color w:val="auto"/>
        </w:rPr>
        <w:t>2017. Mr. 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and doctor’s degree in electrical engineering from Zhejiang University and his MBA degree from Washington Business School.</w:t>
      </w:r>
    </w:p>
    <w:p>
      <w:pPr>
        <w:spacing w:after="0" w:line="173"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i w:val="1"/>
          <w:iCs w:val="1"/>
          <w:color w:val="auto"/>
        </w:rPr>
        <w:t xml:space="preserve">Ms. Honnus Cheung </w:t>
      </w:r>
      <w:r>
        <w:rPr>
          <w:rFonts w:ascii="Arial" w:cs="Arial" w:eastAsia="Arial" w:hAnsi="Arial"/>
          <w:sz w:val="18"/>
          <w:szCs w:val="18"/>
          <w:color w:val="auto"/>
        </w:rPr>
        <w:t>has served as our director since December 2017. Ms. Cheung has served as the chief financial officer at Travelzoo, Asia</w:t>
      </w:r>
      <w:r>
        <w:rPr>
          <w:rFonts w:ascii="Arial" w:cs="Arial" w:eastAsia="Arial" w:hAnsi="Arial"/>
          <w:sz w:val="18"/>
          <w:szCs w:val="18"/>
          <w:i w:val="1"/>
          <w:iCs w:val="1"/>
          <w:color w:val="auto"/>
        </w:rPr>
        <w:t xml:space="preserve"> </w:t>
      </w:r>
      <w:r>
        <w:rPr>
          <w:rFonts w:ascii="Arial" w:cs="Arial" w:eastAsia="Arial" w:hAnsi="Arial"/>
          <w:sz w:val="18"/>
          <w:szCs w:val="18"/>
          <w:color w:val="auto"/>
        </w:rPr>
        <w:t>Pacific since September 2015. Ms. Cheung served as the group chief financial officer of Travelzoo (Asia Pacific) Inc from November 2009 to August 2015 and the Asia Pacific chief financial officer of Travelzoo Inc. from September 2007 to October 2009. Prior to working at Travelzoo, Ms. Cheung served as the regional finance director of Yahoo Asia Pacific operations from 1999 to 2007. Prior to working at Yahoo, Ms. Cheung worked various professional positions at American Standard and PricewaterhouseCoopers. Ms. Cheung received her bachelor’s degree in commerce from the University of Queensland, Australia and an MBA degree from Northwestern University, United States. Ms. Cheung is a fellow member of Hong Kong Institution of Certified Public Accountants of Hong Kong (FCPA) and Certified Practising Accountants of Australia (FCPA), respectively. She is also a fellow member of the Hong Kong Institute of Directors (FHKIoD).</w:t>
      </w:r>
    </w:p>
    <w:p>
      <w:pPr>
        <w:spacing w:after="0" w:line="19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i w:val="1"/>
          <w:iCs w:val="1"/>
          <w:color w:val="auto"/>
        </w:rPr>
        <w:t xml:space="preserve">Ms. Jie Jiao </w:t>
      </w:r>
      <w:r>
        <w:rPr>
          <w:rFonts w:ascii="Arial" w:cs="Arial" w:eastAsia="Arial" w:hAnsi="Arial"/>
          <w:sz w:val="18"/>
          <w:szCs w:val="18"/>
          <w:color w:val="auto"/>
        </w:rPr>
        <w:t>has served as our chief financial officer since May 2017 and was our head of finance from 2014 to 2016. Ms. Jiao has also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an independent non-executive director of China Sunshine Paper Holdings Company Limited (2002.HK), a Hong Kong listed company, since 2014. Prior to joining us, Ms. Jiao served at several U.S. or Hong Kong-listed companies, including ArtGo Holdings Limited (3313.HK) and Fang Holdings Limited (NYSE: SFUN), mainly in charge of their initial public offerings, compliance after the initial public offerings and investor relationship from 2007 to 2014. She was a senior counsel at Jingtian &amp; Gongcheng from 2004 to 2007. Ms. Jiao received her bachelor degree of law and bachelor degree of economics from Peking University, and her master degree of law in Oxford University. Ms. Jiao is a Chartered Financial Analyst and has obtained her PRC Legal Profession Qualification Certificate.</w:t>
      </w:r>
    </w:p>
    <w:p>
      <w:pPr>
        <w:spacing w:after="0" w:line="18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i w:val="1"/>
          <w:iCs w:val="1"/>
          <w:color w:val="auto"/>
        </w:rPr>
        <w:t xml:space="preserve">Mr. Yan Lee </w:t>
      </w:r>
      <w:r>
        <w:rPr>
          <w:rFonts w:ascii="Arial" w:cs="Arial" w:eastAsia="Arial" w:hAnsi="Arial"/>
          <w:sz w:val="18"/>
          <w:szCs w:val="18"/>
          <w:color w:val="auto"/>
        </w:rPr>
        <w:t>has served as our chief product officer since 2016. Mr. Lee has approximately ten years of experience in digital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 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 with Executive Officers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entered into employment agreements with each of our executive officers.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IP</w:t>
      </w:r>
    </w:p>
    <w:p>
      <w:pPr>
        <w:spacing w:after="0" w:line="117"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117" w:lineRule="exact"/>
        <w:rPr>
          <w:sz w:val="20"/>
          <w:szCs w:val="20"/>
          <w:color w:val="auto"/>
        </w:rPr>
      </w:pPr>
    </w:p>
    <w:p>
      <w:pPr>
        <w:ind w:right="480" w:firstLine="913"/>
        <w:spacing w:after="0" w:line="291"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six months following the last date of employment. Specifically, during such term each executive officer has agreed not to</w:t>
      </w:r>
    </w:p>
    <w:p>
      <w:pPr>
        <w:ind w:right="300" w:firstLine="8"/>
        <w:spacing w:after="0" w:line="261" w:lineRule="auto"/>
        <w:tabs>
          <w:tab w:leader="none" w:pos="2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Compensation of Directors and Executive Officers</w:t>
      </w:r>
    </w:p>
    <w:p>
      <w:pPr>
        <w:spacing w:after="0" w:line="11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For the year ended December 31, 2017 we paid an aggregate of approximately US$0.9 million in cash to our executive officers, and we did not pay any compensation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Incentive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Plan</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color w:val="auto"/>
        </w:rPr>
        <w:t>Under the 2010 Plan, the maximum number of ordinary shares that may be issued to the beneficiaries is 2,398,137, which have been issued to Arda as trustee to the beneficiaries of the 2010 Plan. As of March 31, 2018, options to purchase 1,503,169 ordinary shares are outstanding, including unvested options to purchase 346,624 ordinary shares, and vested and unexercised options to purchase 1,156,545 ordinary shares.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paragraphs describe the principal terms of the 2010 Plan.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2010 Plan permits the award of options to purchase our ordinary shares.</w:t>
      </w:r>
    </w:p>
    <w:p>
      <w:pPr>
        <w:spacing w:after="0" w:line="225"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2010 Plan. Upon a grantee’s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of 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2010 Plan is evidenced by an award agreement that sets forth terms, conditions and limitations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25"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Unless otherwise stated in respective grants, subject to forfeiture and arrangement on termination of employment or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of 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w:t>
      </w:r>
    </w:p>
    <w:p>
      <w:pPr>
        <w:spacing w:after="0" w:line="171" w:lineRule="exact"/>
        <w:rPr>
          <w:sz w:val="20"/>
          <w:szCs w:val="20"/>
          <w:color w:val="auto"/>
        </w:rPr>
      </w:pPr>
    </w:p>
    <w:p>
      <w:pPr>
        <w:jc w:val="both"/>
        <w:ind w:right="420" w:firstLine="913"/>
        <w:spacing w:after="0" w:line="259"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Vested options will become exercisable during the first five business days of January, April, July and October until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date of the 2010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8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option. In principle, all options shall be exercisable only by the participants. Any such transfer, assignment, disposal or encumbrance or purported encumbrance shall result in the automatic cancellation of the option.</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2010 Plan. </w:t>
      </w:r>
      <w:r>
        <w:rPr>
          <w:rFonts w:ascii="Arial" w:cs="Arial" w:eastAsia="Arial" w:hAnsi="Arial"/>
          <w:sz w:val="18"/>
          <w:szCs w:val="18"/>
          <w:color w:val="auto"/>
        </w:rPr>
        <w:t>Our board of directors may amend or discontinue the 2010 Plan, provided that such amendment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termination shall not impair the rights of a participant under any award without such participant’s consent.</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following table summarizes, as of March 31, 2018, the outstanding options granted under the 2010 Plan to our directors, executive officers and other grantees.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Arial" w:cs="Arial" w:eastAsia="Arial" w:hAnsi="Arial"/>
          <w:sz w:val="13"/>
          <w:szCs w:val="13"/>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w w:val="95"/>
              </w:rPr>
              <w:t>Ordinary Shares</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Exercise Price</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00" w:type="dxa"/>
            <w:vAlign w:val="bottom"/>
            <w:vMerge w:val="continue"/>
          </w:tcPr>
          <w:p>
            <w:pPr>
              <w:spacing w:after="0"/>
              <w:rPr>
                <w:sz w:val="12"/>
                <w:szCs w:val="12"/>
                <w:color w:val="auto"/>
              </w:rPr>
            </w:pPr>
          </w:p>
        </w:tc>
        <w:tc>
          <w:tcPr>
            <w:tcW w:w="94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3"/>
        </w:trPr>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Options</w:t>
            </w:r>
          </w:p>
        </w:tc>
        <w:tc>
          <w:tcPr>
            <w:tcW w:w="120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(US$/Share)</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-635</wp:posOffset>
            </wp:positionV>
            <wp:extent cx="6663690" cy="146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Expiration Date</w:t>
      </w:r>
    </w:p>
    <w:p>
      <w:pPr>
        <w:spacing w:after="0" w:line="24" w:lineRule="exact"/>
        <w:rPr>
          <w:sz w:val="20"/>
          <w:szCs w:val="20"/>
          <w:color w:val="auto"/>
        </w:rPr>
      </w:pPr>
    </w:p>
    <w:p>
      <w:pPr>
        <w:sectPr>
          <w:pgSz w:w="11900" w:h="16838" w:orient="portrait"/>
          <w:cols w:equalWidth="0" w:num="3">
            <w:col w:w="5200" w:space="720"/>
            <w:col w:w="3260" w:space="620"/>
            <w:col w:w="16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Yau Ping Ricky Ng</w:t>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Jian Tang</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Yan Lee</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Jie Jiao</w:t>
      </w:r>
    </w:p>
    <w:p>
      <w:pPr>
        <w:spacing w:after="0" w:line="20" w:lineRule="exact"/>
        <w:rPr>
          <w:sz w:val="20"/>
          <w:szCs w:val="20"/>
          <w:color w:val="auto"/>
        </w:rPr>
      </w:pPr>
      <w:r>
        <w:rPr>
          <w:sz w:val="20"/>
          <w:szCs w:val="20"/>
          <w:color w:val="auto"/>
        </w:rPr>
        <w:br w:type="column"/>
      </w:r>
    </w:p>
    <w:p>
      <w:pPr>
        <w:ind w:left="707" w:hanging="707"/>
        <w:spacing w:after="0"/>
        <w:tabs>
          <w:tab w:leader="none" w:pos="707" w:val="left"/>
        </w:tabs>
        <w:numPr>
          <w:ilvl w:val="0"/>
          <w:numId w:val="59"/>
        </w:numPr>
        <w:rPr>
          <w:rFonts w:ascii="Arial" w:cs="Arial" w:eastAsia="Arial" w:hAnsi="Arial"/>
          <w:sz w:val="15"/>
          <w:szCs w:val="15"/>
          <w:color w:val="auto"/>
        </w:rPr>
      </w:pPr>
      <w:r>
        <w:rPr>
          <w:rFonts w:ascii="Arial" w:cs="Arial" w:eastAsia="Arial" w:hAnsi="Arial"/>
          <w:sz w:val="15"/>
          <w:szCs w:val="15"/>
          <w:color w:val="auto"/>
        </w:rPr>
        <w:t>4.800</w:t>
      </w:r>
    </w:p>
    <w:p>
      <w:pPr>
        <w:spacing w:after="0" w:line="55" w:lineRule="exact"/>
        <w:rPr>
          <w:rFonts w:ascii="Arial" w:cs="Arial" w:eastAsia="Arial" w:hAnsi="Arial"/>
          <w:sz w:val="15"/>
          <w:szCs w:val="15"/>
          <w:color w:val="auto"/>
        </w:rPr>
      </w:pPr>
    </w:p>
    <w:p>
      <w:pPr>
        <w:ind w:left="487"/>
        <w:spacing w:after="0"/>
        <w:rPr>
          <w:rFonts w:ascii="Arial" w:cs="Arial" w:eastAsia="Arial" w:hAnsi="Arial"/>
          <w:sz w:val="15"/>
          <w:szCs w:val="15"/>
          <w:color w:val="auto"/>
        </w:rPr>
      </w:pPr>
      <w:r>
        <w:rPr>
          <w:rFonts w:ascii="Arial" w:cs="Arial" w:eastAsia="Arial" w:hAnsi="Arial"/>
          <w:sz w:val="15"/>
          <w:szCs w:val="15"/>
          <w:color w:val="auto"/>
        </w:rPr>
        <w:t>0.2687 –</w:t>
      </w:r>
    </w:p>
    <w:p>
      <w:pPr>
        <w:spacing w:after="0" w:line="43" w:lineRule="exact"/>
        <w:rPr>
          <w:rFonts w:ascii="Arial" w:cs="Arial" w:eastAsia="Arial" w:hAnsi="Arial"/>
          <w:sz w:val="15"/>
          <w:szCs w:val="15"/>
          <w:color w:val="auto"/>
        </w:rPr>
      </w:pPr>
    </w:p>
    <w:p>
      <w:pPr>
        <w:ind w:left="627" w:hanging="627"/>
        <w:spacing w:after="0"/>
        <w:tabs>
          <w:tab w:leader="none" w:pos="627" w:val="left"/>
        </w:tabs>
        <w:numPr>
          <w:ilvl w:val="0"/>
          <w:numId w:val="59"/>
        </w:numPr>
        <w:rPr>
          <w:rFonts w:ascii="Arial" w:cs="Arial" w:eastAsia="Arial" w:hAnsi="Arial"/>
          <w:sz w:val="15"/>
          <w:szCs w:val="15"/>
          <w:color w:val="auto"/>
        </w:rPr>
      </w:pPr>
      <w:r>
        <w:rPr>
          <w:rFonts w:ascii="Arial" w:cs="Arial" w:eastAsia="Arial" w:hAnsi="Arial"/>
          <w:sz w:val="15"/>
          <w:szCs w:val="15"/>
          <w:color w:val="auto"/>
        </w:rPr>
        <w:t>4.0304</w:t>
      </w:r>
    </w:p>
    <w:p>
      <w:pPr>
        <w:spacing w:after="0" w:line="43" w:lineRule="exact"/>
        <w:rPr>
          <w:rFonts w:ascii="Arial" w:cs="Arial" w:eastAsia="Arial" w:hAnsi="Arial"/>
          <w:sz w:val="15"/>
          <w:szCs w:val="15"/>
          <w:color w:val="auto"/>
        </w:rPr>
      </w:pPr>
    </w:p>
    <w:p>
      <w:pPr>
        <w:ind w:left="487"/>
        <w:spacing w:after="0"/>
        <w:rPr>
          <w:rFonts w:ascii="Arial" w:cs="Arial" w:eastAsia="Arial" w:hAnsi="Arial"/>
          <w:sz w:val="15"/>
          <w:szCs w:val="15"/>
          <w:color w:val="auto"/>
        </w:rPr>
      </w:pPr>
      <w:r>
        <w:rPr>
          <w:rFonts w:ascii="Arial" w:cs="Arial" w:eastAsia="Arial" w:hAnsi="Arial"/>
          <w:sz w:val="15"/>
          <w:szCs w:val="15"/>
          <w:color w:val="auto"/>
        </w:rPr>
        <w:t>8.1290 –</w:t>
      </w:r>
    </w:p>
    <w:p>
      <w:pPr>
        <w:spacing w:after="0" w:line="57" w:lineRule="exact"/>
        <w:rPr>
          <w:rFonts w:ascii="Arial" w:cs="Arial" w:eastAsia="Arial" w:hAnsi="Arial"/>
          <w:sz w:val="15"/>
          <w:szCs w:val="15"/>
          <w:color w:val="auto"/>
        </w:rPr>
      </w:pPr>
    </w:p>
    <w:p>
      <w:pPr>
        <w:ind w:left="627" w:hanging="627"/>
        <w:spacing w:after="0"/>
        <w:tabs>
          <w:tab w:leader="none" w:pos="627" w:val="left"/>
        </w:tabs>
        <w:numPr>
          <w:ilvl w:val="0"/>
          <w:numId w:val="59"/>
        </w:numPr>
        <w:rPr>
          <w:rFonts w:ascii="Arial" w:cs="Arial" w:eastAsia="Arial" w:hAnsi="Arial"/>
          <w:sz w:val="15"/>
          <w:szCs w:val="15"/>
          <w:color w:val="auto"/>
        </w:rPr>
      </w:pPr>
      <w:r>
        <w:rPr>
          <w:rFonts w:ascii="Arial" w:cs="Arial" w:eastAsia="Arial" w:hAnsi="Arial"/>
          <w:sz w:val="15"/>
          <w:szCs w:val="15"/>
          <w:color w:val="auto"/>
        </w:rPr>
        <w:t>8.1300</w:t>
      </w:r>
    </w:p>
    <w:p>
      <w:pPr>
        <w:spacing w:after="0" w:line="43" w:lineRule="exact"/>
        <w:rPr>
          <w:rFonts w:ascii="Arial" w:cs="Arial" w:eastAsia="Arial" w:hAnsi="Arial"/>
          <w:sz w:val="15"/>
          <w:szCs w:val="15"/>
          <w:color w:val="auto"/>
        </w:rPr>
      </w:pPr>
    </w:p>
    <w:p>
      <w:pPr>
        <w:ind w:left="487"/>
        <w:spacing w:after="0"/>
        <w:rPr>
          <w:rFonts w:ascii="Arial" w:cs="Arial" w:eastAsia="Arial" w:hAnsi="Arial"/>
          <w:sz w:val="15"/>
          <w:szCs w:val="15"/>
          <w:color w:val="auto"/>
        </w:rPr>
      </w:pPr>
      <w:r>
        <w:rPr>
          <w:rFonts w:ascii="Arial" w:cs="Arial" w:eastAsia="Arial" w:hAnsi="Arial"/>
          <w:sz w:val="15"/>
          <w:szCs w:val="15"/>
          <w:color w:val="auto"/>
        </w:rPr>
        <w:t>8.1290 –</w:t>
      </w:r>
    </w:p>
    <w:p>
      <w:pPr>
        <w:spacing w:after="0" w:line="57" w:lineRule="exact"/>
        <w:rPr>
          <w:rFonts w:ascii="Arial" w:cs="Arial" w:eastAsia="Arial" w:hAnsi="Arial"/>
          <w:sz w:val="15"/>
          <w:szCs w:val="15"/>
          <w:color w:val="auto"/>
        </w:rPr>
      </w:pPr>
    </w:p>
    <w:p>
      <w:pPr>
        <w:ind w:left="627" w:hanging="627"/>
        <w:spacing w:after="0"/>
        <w:tabs>
          <w:tab w:leader="none" w:pos="627" w:val="left"/>
        </w:tabs>
        <w:numPr>
          <w:ilvl w:val="0"/>
          <w:numId w:val="59"/>
        </w:numPr>
        <w:rPr>
          <w:rFonts w:ascii="Arial" w:cs="Arial" w:eastAsia="Arial" w:hAnsi="Arial"/>
          <w:sz w:val="15"/>
          <w:szCs w:val="15"/>
          <w:color w:val="auto"/>
        </w:rPr>
      </w:pPr>
      <w:r>
        <w:rPr>
          <w:rFonts w:ascii="Arial" w:cs="Arial" w:eastAsia="Arial" w:hAnsi="Arial"/>
          <w:sz w:val="15"/>
          <w:szCs w:val="15"/>
          <w:color w:val="auto"/>
        </w:rPr>
        <w:t>8.1300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-537845</wp:posOffset>
            </wp:positionV>
            <wp:extent cx="6663690" cy="283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63690" cy="283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June 21, 2013</w:t>
      </w:r>
    </w:p>
    <w:p>
      <w:pPr>
        <w:spacing w:after="0" w:line="22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August 1, 2015 January 1, 2015 to January 1, 2017 August 18, 2014 to January 1,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April 1, 2023</w:t>
      </w:r>
    </w:p>
    <w:p>
      <w:pPr>
        <w:spacing w:after="0" w:line="223" w:lineRule="exact"/>
        <w:rPr>
          <w:sz w:val="20"/>
          <w:szCs w:val="20"/>
          <w:color w:val="auto"/>
        </w:rPr>
      </w:pPr>
    </w:p>
    <w:p>
      <w:pPr>
        <w:ind w:right="460"/>
        <w:spacing w:after="0" w:line="297" w:lineRule="auto"/>
        <w:rPr>
          <w:sz w:val="20"/>
          <w:szCs w:val="20"/>
          <w:color w:val="auto"/>
        </w:rPr>
      </w:pPr>
      <w:r>
        <w:rPr>
          <w:rFonts w:ascii="Arial" w:cs="Arial" w:eastAsia="Arial" w:hAnsi="Arial"/>
          <w:sz w:val="16"/>
          <w:szCs w:val="16"/>
          <w:color w:val="auto"/>
        </w:rPr>
        <w:t>August 1, 2025 January 1, 2025 to January 1, 2027 July 1, 2024 to January 1, 2027</w:t>
      </w:r>
    </w:p>
    <w:p>
      <w:pPr>
        <w:spacing w:after="0" w:line="1" w:lineRule="exact"/>
        <w:rPr>
          <w:sz w:val="20"/>
          <w:szCs w:val="20"/>
          <w:color w:val="auto"/>
        </w:rPr>
      </w:pPr>
    </w:p>
    <w:p>
      <w:pPr>
        <w:sectPr>
          <w:pgSz w:w="11900" w:h="16838" w:orient="portrait"/>
          <w:cols w:equalWidth="0" w:num="4">
            <w:col w:w="6153" w:space="720"/>
            <w:col w:w="1107" w:space="160"/>
            <w:col w:w="1380" w:space="100"/>
            <w:col w:w="1800"/>
          </w:cols>
          <w:pgMar w:left="240" w:top="459" w:right="239" w:bottom="1440" w:gutter="0" w:footer="0" w:header="0"/>
          <w:type w:val="continuous"/>
        </w:sectPr>
      </w:pPr>
    </w:p>
    <w:tbl>
      <w:tblPr>
        <w:tblLayout w:type="fixed"/>
        <w:tblInd w:w="460" w:type="dxa"/>
        <w:tblCellMar>
          <w:top w:w="0" w:type="dxa"/>
          <w:left w:w="0" w:type="dxa"/>
          <w:bottom w:w="0" w:type="dxa"/>
          <w:right w:w="0" w:type="dxa"/>
        </w:tblCellMar>
      </w:tblPr>
      <w:tr>
        <w:trPr>
          <w:trHeight w:val="185"/>
        </w:trPr>
        <w:tc>
          <w:tcPr>
            <w:tcW w:w="6700" w:type="dxa"/>
            <w:vAlign w:val="bottom"/>
            <w:shd w:val="clear" w:color="auto" w:fill="CCEEFF"/>
          </w:tcPr>
          <w:p>
            <w:pPr>
              <w:jc w:val="right"/>
              <w:ind w:right="5550"/>
              <w:spacing w:after="0" w:line="185" w:lineRule="exact"/>
              <w:rPr>
                <w:sz w:val="20"/>
                <w:szCs w:val="20"/>
                <w:color w:val="auto"/>
              </w:rPr>
            </w:pPr>
            <w:r>
              <w:rPr>
                <w:rFonts w:ascii="Arial" w:cs="Arial" w:eastAsia="Arial" w:hAnsi="Arial"/>
                <w:sz w:val="18"/>
                <w:szCs w:val="18"/>
                <w:color w:val="auto"/>
                <w:w w:val="86"/>
              </w:rPr>
              <w:t>Other grantees</w:t>
            </w:r>
          </w:p>
        </w:tc>
        <w:tc>
          <w:tcPr>
            <w:tcW w:w="900" w:type="dxa"/>
            <w:vAlign w:val="bottom"/>
            <w:shd w:val="clear" w:color="auto" w:fill="CCEEFF"/>
          </w:tcPr>
          <w:p>
            <w:pPr>
              <w:jc w:val="right"/>
              <w:spacing w:after="0" w:line="185" w:lineRule="exact"/>
              <w:rPr>
                <w:sz w:val="20"/>
                <w:szCs w:val="20"/>
                <w:color w:val="auto"/>
              </w:rPr>
            </w:pPr>
            <w:r>
              <w:rPr>
                <w:rFonts w:ascii="Arial" w:cs="Arial" w:eastAsia="Arial" w:hAnsi="Arial"/>
                <w:sz w:val="18"/>
                <w:szCs w:val="18"/>
                <w:color w:val="auto"/>
              </w:rPr>
              <w:t>0.0100 –</w:t>
            </w:r>
          </w:p>
        </w:tc>
        <w:tc>
          <w:tcPr>
            <w:tcW w:w="1400" w:type="dxa"/>
            <w:vAlign w:val="bottom"/>
            <w:shd w:val="clear" w:color="auto" w:fill="CCEEFF"/>
          </w:tcPr>
          <w:p>
            <w:pPr>
              <w:ind w:left="80"/>
              <w:spacing w:after="0" w:line="185" w:lineRule="exact"/>
              <w:rPr>
                <w:sz w:val="20"/>
                <w:szCs w:val="20"/>
                <w:color w:val="auto"/>
              </w:rPr>
            </w:pPr>
            <w:r>
              <w:rPr>
                <w:rFonts w:ascii="Arial" w:cs="Arial" w:eastAsia="Arial" w:hAnsi="Arial"/>
                <w:sz w:val="18"/>
                <w:szCs w:val="18"/>
                <w:color w:val="auto"/>
              </w:rPr>
              <w:t>April 1, 2011 to</w:t>
            </w:r>
          </w:p>
        </w:tc>
        <w:tc>
          <w:tcPr>
            <w:tcW w:w="740" w:type="dxa"/>
            <w:vAlign w:val="bottom"/>
            <w:shd w:val="clear" w:color="auto" w:fill="CCEEFF"/>
          </w:tcPr>
          <w:p>
            <w:pPr>
              <w:ind w:left="160"/>
              <w:spacing w:after="0" w:line="185" w:lineRule="exact"/>
              <w:rPr>
                <w:sz w:val="20"/>
                <w:szCs w:val="20"/>
                <w:color w:val="auto"/>
              </w:rPr>
            </w:pPr>
            <w:r>
              <w:rPr>
                <w:rFonts w:ascii="Arial" w:cs="Arial" w:eastAsia="Arial" w:hAnsi="Arial"/>
                <w:sz w:val="18"/>
                <w:szCs w:val="18"/>
                <w:color w:val="auto"/>
                <w:w w:val="99"/>
              </w:rPr>
              <w:t>April 1,</w:t>
            </w:r>
          </w:p>
        </w:tc>
        <w:tc>
          <w:tcPr>
            <w:tcW w:w="76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2020 to</w:t>
            </w:r>
          </w:p>
        </w:tc>
      </w:tr>
      <w:tr>
        <w:trPr>
          <w:trHeight w:val="244"/>
        </w:trPr>
        <w:tc>
          <w:tcPr>
            <w:tcW w:w="6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1,232,036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40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July 1, 2017</w:t>
            </w:r>
          </w:p>
        </w:tc>
        <w:tc>
          <w:tcPr>
            <w:tcW w:w="7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April 1,</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our total outstanding ordinary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 The performance conditions were not fulfilled in 2017 and 1,068,114 ordinary shares were not issued to Jian Tang and certain other employees.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Share Incentive Plan</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Under our 2017 Plan, which became effective in December 2017, directors and consultants and promote the success of our business. The maximum aggregate number of shares which may be issued pursuant to all awards under the 2017 Plan shall initially be 1,000,000 Class A ordinary shares,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 Following the annual increase on January 1, 2018 of 106,194 Class A ordinary shares, the award pool under the 2017 Plan is 1,106,194 Class A ordinary shares as of the date of this annual report. As of March 31, 2018, we have not granted any awards under the 2017 Plan.</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paragraphs describe the principal terms of the 2017 Plan.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2017 Plan permits the awards of options, restricted shares and restricted share units.</w:t>
      </w:r>
    </w:p>
    <w:p>
      <w:pPr>
        <w:spacing w:after="0" w:line="144"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2017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1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2017 Plan are evidenced by an award agreement that sets forth terms, conditions and limitations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award, which may include the term of the award, the provisions applicable in the event of the grantee’s employment or service terminates, and our authority to unilaterally or bilaterally amend, modify, suspend, cancel or rescind the award.</w:t>
      </w:r>
    </w:p>
    <w:p>
      <w:pPr>
        <w:spacing w:after="0" w:line="114"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options that are intended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qualify as incentive share options only to our employees and employees of our parent companies and subsidiaries.</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169"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option will expire if not exercised prior to the time as the plan administrator determines at the time of its grant. However, the maximum exercisable term is ten years from the date of a grant.</w:t>
      </w:r>
    </w:p>
    <w:p>
      <w:pPr>
        <w:spacing w:after="0" w:line="114"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by the plan administrator.</w:t>
      </w:r>
    </w:p>
    <w:p>
      <w:pPr>
        <w:spacing w:after="0" w:line="89"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b w:val="1"/>
          <w:bCs w:val="1"/>
          <w:i w:val="1"/>
          <w:iCs w:val="1"/>
          <w:color w:val="auto"/>
        </w:rPr>
        <w:t xml:space="preserve">Termination and amendment of the 2017 Plan. </w:t>
      </w:r>
      <w:r>
        <w:rPr>
          <w:rFonts w:ascii="Arial" w:cs="Arial" w:eastAsia="Arial" w:hAnsi="Arial"/>
          <w:sz w:val="17"/>
          <w:szCs w:val="17"/>
          <w:color w:val="auto"/>
        </w:rPr>
        <w:t>Unless terminated earlier, the 2017 Plan has a term often years. Our board of directors has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authority to amend or terminate the plan subject to shareholder approval to the extent necessary to comply with applicable law. Shareholder approval is required for any amendment to the 2017 Plan that (i) increases the number of shares available under the 2017 Plan, or (ii) permits the plan administrator to extend the term of the 2017 Plan or the exercise period for an option beyond ten years from the date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Board Practices</w:t>
      </w:r>
    </w:p>
    <w:p>
      <w:pPr>
        <w:spacing w:after="0" w:line="117"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Our board of directors consists of eight directors, including executive directors and non-executive directors. Pursuant to our eighth amended and restated memorandum and articles of association, the size of our board of directors shall be limited to nine. Please refer to “Item 3. Key Information—D. Risk Factors — Risk Related to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“Item 3. Key Information — D. Risk Factors—Risk Related to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We have established an audit committee, a compensation committee, and a nominating and corporate governance committee under the board of directors. We have adopted a charter for each of the three committees. Each committee’s members and functions are described below.</w:t>
      </w:r>
    </w:p>
    <w:p>
      <w:pPr>
        <w:spacing w:after="0" w:line="166"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 Honnus Cheung, Scott Moore and Dylan Huang, and is chaired by Honnus Cheung. Honnus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Cheung, Scott Moore and Dylan Huang each satisfy the “independence” requirements of the Rule 5605(c)(2) of the Listing Rules of the NASDAQ Stock Market and meet the independence standards under Rule 10A-3 under the Exchange Act. We have determined that Honnus Cheung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94" w:lineRule="exact"/>
        <w:rPr>
          <w:sz w:val="20"/>
          <w:szCs w:val="20"/>
          <w:color w:val="auto"/>
        </w:rPr>
      </w:pPr>
    </w:p>
    <w:p>
      <w:pPr>
        <w:ind w:left="900" w:right="20" w:hanging="325"/>
        <w:spacing w:after="0" w:line="277"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Dylan Huang, Wing Hong Sammy Hsieh and Jian Tang, and will be chaired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Dylan Huang. Dylan Huang satisfies the “independence” requirements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94"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will consist of Scott Moore, 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Hong Sammy Hsieh, and Jian Tang, and will be chaired by Scott Moore. Scott Moore satisfies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94"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130"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 and</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76" w:lineRule="exact"/>
        <w:rPr>
          <w:sz w:val="20"/>
          <w:szCs w:val="20"/>
          <w:color w:val="auto"/>
        </w:rPr>
      </w:pPr>
    </w:p>
    <w:p>
      <w:pPr>
        <w:ind w:left="1480" w:hanging="446"/>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convening general meetings and reporting our board’s work at our shareholders’ meetings;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determining our business and investment plans;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preparing our annual financial budgets and financial reports;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formulating proposals for the increase or reduction of our authorized capital; and</w:t>
      </w:r>
    </w:p>
    <w:p>
      <w:pPr>
        <w:spacing w:after="0" w:line="130" w:lineRule="exact"/>
        <w:rPr>
          <w:rFonts w:ascii="Arial" w:cs="Arial" w:eastAsia="Arial" w:hAnsi="Arial"/>
          <w:sz w:val="18"/>
          <w:szCs w:val="18"/>
          <w:color w:val="auto"/>
        </w:rPr>
      </w:pPr>
    </w:p>
    <w:p>
      <w:pPr>
        <w:ind w:left="5580" w:right="3600" w:hanging="4546"/>
        <w:spacing w:after="0" w:line="449" w:lineRule="auto"/>
        <w:tabs>
          <w:tab w:leader="none" w:pos="1481"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exercising other powers, functions and duties as conferred by our articles of association. 108</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directors may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Pursuant to our eighth amended and restated memorandum and articles of association,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8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our eighth amended and restated memorandum and articles of association, any removal or appointment of chairman of the board is subject to shareholder approval by ordinary resolution.</w:t>
      </w:r>
    </w:p>
    <w:p>
      <w:pPr>
        <w:spacing w:after="0" w:line="279"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As of December 31, 2015, 2016 and 2017 we had a total of 596, 554 and 448 employees, respectively. The table below provides a breakdown of our employees by function as of December 31, 2017:</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14"/>
                <w:szCs w:val="14"/>
                <w:color w:val="auto"/>
              </w:rPr>
            </w:pPr>
          </w:p>
        </w:tc>
        <w:tc>
          <w:tcPr>
            <w:tcW w:w="520" w:type="dxa"/>
            <w:vAlign w:val="bottom"/>
            <w:gridSpan w:val="2"/>
          </w:tcPr>
          <w:p>
            <w:pPr>
              <w:ind w:left="80"/>
              <w:spacing w:after="0"/>
              <w:rPr>
                <w:sz w:val="20"/>
                <w:szCs w:val="20"/>
                <w:color w:val="auto"/>
              </w:rPr>
            </w:pPr>
            <w:r>
              <w:rPr>
                <w:rFonts w:ascii="Arial" w:cs="Arial" w:eastAsia="Arial" w:hAnsi="Arial"/>
                <w:sz w:val="14"/>
                <w:szCs w:val="14"/>
                <w:b w:val="1"/>
                <w:bCs w:val="1"/>
                <w:color w:val="auto"/>
              </w:rPr>
              <w:t>% of</w:t>
            </w:r>
          </w:p>
        </w:tc>
      </w:tr>
      <w:tr>
        <w:trPr>
          <w:trHeight w:val="185"/>
        </w:trPr>
        <w:tc>
          <w:tcPr>
            <w:tcW w:w="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8"/>
              </w:rPr>
              <w:t>employees</w:t>
            </w:r>
          </w:p>
        </w:tc>
        <w:tc>
          <w:tcPr>
            <w:tcW w:w="540" w:type="dxa"/>
            <w:vAlign w:val="bottom"/>
          </w:tcPr>
          <w:p>
            <w:pPr>
              <w:spacing w:after="0"/>
              <w:rPr>
                <w:sz w:val="16"/>
                <w:szCs w:val="16"/>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Product, technology and data engineering</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Operation support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Sales and business development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5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5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280" w:firstLine="913"/>
        <w:spacing w:after="0" w:line="302" w:lineRule="auto"/>
        <w:rPr>
          <w:sz w:val="20"/>
          <w:szCs w:val="20"/>
          <w:color w:val="auto"/>
        </w:rPr>
      </w:pPr>
      <w:r>
        <w:rPr>
          <w:rFonts w:ascii="Arial" w:cs="Arial" w:eastAsia="Arial" w:hAnsi="Arial"/>
          <w:sz w:val="16"/>
          <w:szCs w:val="16"/>
          <w:color w:val="auto"/>
        </w:rPr>
        <w:t>As of December 31, 2017, we had a total of 448 employees, decreasing by 19.1% from 554 as of the end of December 31, 2016. The decrease primarily resulted from the decrease in headcount for sales and business development functions as we continued to optimize our client base to focus on profitability and liquidity, and for general and administrative functions and product team as we further integrated OptAim’s operations, which had been completed by June 30, 2017. The decrease was partially offset by the expansion of operation support for mobile audience solutions business.</w:t>
      </w:r>
    </w:p>
    <w:p>
      <w:pPr>
        <w:spacing w:after="0" w:line="154"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93"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Share Ownership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March 31, 2018 by:</w:t>
      </w:r>
    </w:p>
    <w:p>
      <w:pPr>
        <w:spacing w:after="0" w:line="131" w:lineRule="exact"/>
        <w:rPr>
          <w:sz w:val="20"/>
          <w:szCs w:val="20"/>
          <w:color w:val="auto"/>
        </w:rPr>
      </w:pPr>
    </w:p>
    <w:p>
      <w:pPr>
        <w:ind w:left="1480" w:hanging="446"/>
        <w:spacing w:after="0"/>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total outstanding shares.</w:t>
      </w:r>
    </w:p>
    <w:p>
      <w:pPr>
        <w:spacing w:after="0" w:line="225" w:lineRule="exact"/>
        <w:rPr>
          <w:sz w:val="20"/>
          <w:szCs w:val="20"/>
          <w:color w:val="auto"/>
        </w:rPr>
      </w:pPr>
    </w:p>
    <w:p>
      <w:pPr>
        <w:jc w:val="both"/>
        <w:ind w:right="400" w:firstLine="913"/>
        <w:spacing w:after="0" w:line="286" w:lineRule="auto"/>
        <w:rPr>
          <w:sz w:val="20"/>
          <w:szCs w:val="20"/>
          <w:color w:val="auto"/>
        </w:rPr>
      </w:pPr>
      <w:r>
        <w:rPr>
          <w:rFonts w:ascii="Arial" w:cs="Arial" w:eastAsia="Arial" w:hAnsi="Arial"/>
          <w:sz w:val="17"/>
          <w:szCs w:val="17"/>
          <w:color w:val="auto"/>
        </w:rPr>
        <w:t>The calculations in the table below are based on 26,081,028 ordinary shares outstanding as of March 31, 2018, comprising of (i) 21,260,420 Class A ordinary shares, excluding the Class A ordinary shares underlying the options granted but not yet exercised (whether or not they are vested) and options reserved for issuance under our 2010 Plan, and (ii) 4,820,608 Class B ordinary shares outstanding.</w:t>
      </w:r>
    </w:p>
    <w:p>
      <w:pPr>
        <w:spacing w:after="0" w:line="166"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rPr>
              <w:t>Ordinary Shares Beneficially Owned</w:t>
            </w: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180" w:type="dxa"/>
            <w:vAlign w:val="bottom"/>
          </w:tcPr>
          <w:p>
            <w:pPr>
              <w:jc w:val="center"/>
              <w:ind w:left="652"/>
              <w:spacing w:after="0" w:line="158" w:lineRule="exact"/>
              <w:rPr>
                <w:sz w:val="20"/>
                <w:szCs w:val="20"/>
                <w:color w:val="auto"/>
              </w:rPr>
            </w:pPr>
            <w:r>
              <w:rPr>
                <w:rFonts w:ascii="Arial" w:cs="Arial" w:eastAsia="Arial" w:hAnsi="Arial"/>
                <w:sz w:val="14"/>
                <w:szCs w:val="14"/>
                <w:b w:val="1"/>
                <w:bCs w:val="1"/>
                <w:color w:val="auto"/>
                <w:w w:val="95"/>
              </w:rPr>
              <w:t>Class A Ordinary</w:t>
            </w:r>
          </w:p>
        </w:tc>
        <w:tc>
          <w:tcPr>
            <w:tcW w:w="140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Class B Ordinary</w:t>
            </w:r>
          </w:p>
        </w:tc>
        <w:tc>
          <w:tcPr>
            <w:tcW w:w="18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8"/>
              </w:rPr>
              <w:t>Total Ordinary</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2180" w:type="dxa"/>
            <w:vAlign w:val="bottom"/>
          </w:tcPr>
          <w:p>
            <w:pPr>
              <w:jc w:val="center"/>
              <w:ind w:left="632"/>
              <w:spacing w:after="0" w:line="153" w:lineRule="exact"/>
              <w:rPr>
                <w:sz w:val="20"/>
                <w:szCs w:val="20"/>
                <w:color w:val="auto"/>
              </w:rPr>
            </w:pPr>
            <w:r>
              <w:rPr>
                <w:rFonts w:ascii="Arial" w:cs="Arial" w:eastAsia="Arial" w:hAnsi="Arial"/>
                <w:sz w:val="14"/>
                <w:szCs w:val="14"/>
                <w:b w:val="1"/>
                <w:bCs w:val="1"/>
                <w:color w:val="auto"/>
                <w:w w:val="89"/>
              </w:rPr>
              <w:t>Shares</w:t>
            </w:r>
          </w:p>
        </w:tc>
        <w:tc>
          <w:tcPr>
            <w:tcW w:w="1400" w:type="dxa"/>
            <w:vAlign w:val="bottom"/>
          </w:tcPr>
          <w:p>
            <w:pPr>
              <w:ind w:left="480"/>
              <w:spacing w:after="0" w:line="153" w:lineRule="exact"/>
              <w:rPr>
                <w:sz w:val="20"/>
                <w:szCs w:val="20"/>
                <w:color w:val="auto"/>
              </w:rPr>
            </w:pPr>
            <w:r>
              <w:rPr>
                <w:rFonts w:ascii="Arial" w:cs="Arial" w:eastAsia="Arial" w:hAnsi="Arial"/>
                <w:sz w:val="14"/>
                <w:szCs w:val="14"/>
                <w:b w:val="1"/>
                <w:bCs w:val="1"/>
                <w:color w:val="auto"/>
              </w:rPr>
              <w:t>Shares</w:t>
            </w:r>
          </w:p>
        </w:tc>
        <w:tc>
          <w:tcPr>
            <w:tcW w:w="1240" w:type="dxa"/>
            <w:vAlign w:val="bottom"/>
          </w:tcPr>
          <w:p>
            <w:pPr>
              <w:jc w:val="center"/>
              <w:ind w:left="412"/>
              <w:spacing w:after="0" w:line="153" w:lineRule="exact"/>
              <w:rPr>
                <w:sz w:val="20"/>
                <w:szCs w:val="20"/>
                <w:color w:val="auto"/>
              </w:rPr>
            </w:pPr>
            <w:r>
              <w:rPr>
                <w:rFonts w:ascii="Arial" w:cs="Arial" w:eastAsia="Arial" w:hAnsi="Arial"/>
                <w:sz w:val="14"/>
                <w:szCs w:val="14"/>
                <w:b w:val="1"/>
                <w:bCs w:val="1"/>
                <w:color w:val="auto"/>
                <w:w w:val="89"/>
              </w:rPr>
              <w:t>Shares</w:t>
            </w:r>
          </w:p>
        </w:tc>
        <w:tc>
          <w:tcPr>
            <w:tcW w:w="5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 †</w:t>
            </w: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Voting Power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180" w:type="dxa"/>
            <w:vAlign w:val="bottom"/>
          </w:tcPr>
          <w:p>
            <w:pPr>
              <w:jc w:val="center"/>
              <w:ind w:left="652"/>
              <w:spacing w:after="0"/>
              <w:rPr>
                <w:sz w:val="20"/>
                <w:szCs w:val="20"/>
                <w:color w:val="auto"/>
              </w:rPr>
            </w:pPr>
            <w:r>
              <w:rPr>
                <w:rFonts w:ascii="Arial" w:cs="Arial" w:eastAsia="Arial" w:hAnsi="Arial"/>
                <w:sz w:val="14"/>
                <w:szCs w:val="14"/>
                <w:b w:val="1"/>
                <w:bCs w:val="1"/>
                <w:color w:val="auto"/>
                <w:w w:val="98"/>
              </w:rPr>
              <w:t>Number</w:t>
            </w:r>
          </w:p>
        </w:tc>
        <w:tc>
          <w:tcPr>
            <w:tcW w:w="1400" w:type="dxa"/>
            <w:vAlign w:val="bottom"/>
          </w:tcPr>
          <w:p>
            <w:pPr>
              <w:ind w:left="420"/>
              <w:spacing w:after="0"/>
              <w:rPr>
                <w:sz w:val="20"/>
                <w:szCs w:val="20"/>
                <w:color w:val="auto"/>
              </w:rPr>
            </w:pPr>
            <w:r>
              <w:rPr>
                <w:rFonts w:ascii="Arial" w:cs="Arial" w:eastAsia="Arial" w:hAnsi="Arial"/>
                <w:sz w:val="14"/>
                <w:szCs w:val="14"/>
                <w:b w:val="1"/>
                <w:bCs w:val="1"/>
                <w:color w:val="auto"/>
              </w:rPr>
              <w:t>Number</w:t>
            </w:r>
          </w:p>
        </w:tc>
        <w:tc>
          <w:tcPr>
            <w:tcW w:w="1240" w:type="dxa"/>
            <w:vAlign w:val="bottom"/>
          </w:tcPr>
          <w:p>
            <w:pPr>
              <w:jc w:val="right"/>
              <w:ind w:right="392"/>
              <w:spacing w:after="0"/>
              <w:rPr>
                <w:sz w:val="20"/>
                <w:szCs w:val="20"/>
                <w:color w:val="auto"/>
              </w:rPr>
            </w:pPr>
            <w:r>
              <w:rPr>
                <w:rFonts w:ascii="Arial" w:cs="Arial" w:eastAsia="Arial" w:hAnsi="Arial"/>
                <w:sz w:val="14"/>
                <w:szCs w:val="14"/>
                <w:b w:val="1"/>
                <w:bCs w:val="1"/>
                <w:color w:val="auto"/>
              </w:rPr>
              <w:t>Number</w:t>
            </w:r>
          </w:p>
        </w:tc>
        <w:tc>
          <w:tcPr>
            <w:tcW w:w="580" w:type="dxa"/>
            <w:vAlign w:val="bottom"/>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 †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2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2180" w:type="dxa"/>
            <w:vAlign w:val="bottom"/>
          </w:tcPr>
          <w:p>
            <w:pPr>
              <w:jc w:val="right"/>
              <w:ind w:right="92"/>
              <w:spacing w:after="0"/>
              <w:rPr>
                <w:sz w:val="20"/>
                <w:szCs w:val="20"/>
                <w:color w:val="auto"/>
              </w:rPr>
            </w:pPr>
            <w:r>
              <w:rPr>
                <w:rFonts w:ascii="Arial" w:cs="Arial" w:eastAsia="Arial" w:hAnsi="Arial"/>
                <w:sz w:val="18"/>
                <w:szCs w:val="18"/>
                <w:color w:val="auto"/>
              </w:rPr>
              <w:t>296,350</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2,500,580</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2,796,930</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10.7</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Jian Tang</w:t>
            </w:r>
            <w:r>
              <w:rPr>
                <w:rFonts w:ascii="Arial" w:cs="Arial" w:eastAsia="Arial" w:hAnsi="Arial"/>
                <w:sz w:val="15"/>
                <w:szCs w:val="15"/>
                <w:color w:val="auto"/>
              </w:rPr>
              <w:t>(2)</w:t>
            </w:r>
          </w:p>
        </w:tc>
        <w:tc>
          <w:tcPr>
            <w:tcW w:w="2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20,039</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2,320,028</w:t>
            </w:r>
          </w:p>
        </w:tc>
        <w:tc>
          <w:tcPr>
            <w:tcW w:w="12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2,340,067</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9.0</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Yau Ping Ricky Ng</w:t>
            </w:r>
            <w:r>
              <w:rPr>
                <w:rFonts w:ascii="Arial" w:cs="Arial" w:eastAsia="Arial" w:hAnsi="Arial"/>
                <w:sz w:val="15"/>
                <w:szCs w:val="15"/>
                <w:color w:val="auto"/>
              </w:rPr>
              <w:t>(3)</w:t>
            </w:r>
          </w:p>
        </w:tc>
        <w:tc>
          <w:tcPr>
            <w:tcW w:w="2180" w:type="dxa"/>
            <w:vAlign w:val="bottom"/>
          </w:tcPr>
          <w:p>
            <w:pPr>
              <w:jc w:val="right"/>
              <w:ind w:right="92"/>
              <w:spacing w:after="0"/>
              <w:rPr>
                <w:sz w:val="20"/>
                <w:szCs w:val="20"/>
                <w:color w:val="auto"/>
              </w:rPr>
            </w:pPr>
            <w:r>
              <w:rPr>
                <w:rFonts w:ascii="Arial" w:cs="Arial" w:eastAsia="Arial" w:hAnsi="Arial"/>
                <w:sz w:val="18"/>
                <w:szCs w:val="18"/>
                <w:color w:val="auto"/>
              </w:rPr>
              <w:t>954,653</w:t>
            </w:r>
          </w:p>
        </w:tc>
        <w:tc>
          <w:tcPr>
            <w:tcW w:w="14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954,653</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3.6</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Yu Long</w:t>
            </w:r>
          </w:p>
        </w:tc>
        <w:tc>
          <w:tcPr>
            <w:tcW w:w="2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Antares Au</w:t>
            </w:r>
          </w:p>
        </w:tc>
        <w:tc>
          <w:tcPr>
            <w:tcW w:w="21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Scott Moore</w:t>
            </w:r>
          </w:p>
        </w:tc>
        <w:tc>
          <w:tcPr>
            <w:tcW w:w="2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Dylan Huang</w:t>
            </w:r>
          </w:p>
        </w:tc>
        <w:tc>
          <w:tcPr>
            <w:tcW w:w="21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21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Honnus Cheung</w:t>
            </w:r>
          </w:p>
        </w:tc>
        <w:tc>
          <w:tcPr>
            <w:tcW w:w="2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Jie Jiao</w:t>
            </w:r>
          </w:p>
        </w:tc>
        <w:tc>
          <w:tcPr>
            <w:tcW w:w="2180" w:type="dxa"/>
            <w:vAlign w:val="bottom"/>
          </w:tcPr>
          <w:p>
            <w:pPr>
              <w:jc w:val="right"/>
              <w:ind w:right="32"/>
              <w:spacing w:after="0"/>
              <w:rPr>
                <w:sz w:val="20"/>
                <w:szCs w:val="20"/>
                <w:color w:val="auto"/>
              </w:rPr>
            </w:pPr>
            <w:r>
              <w:rPr>
                <w:rFonts w:ascii="Arial" w:cs="Arial" w:eastAsia="Arial" w:hAnsi="Arial"/>
                <w:sz w:val="18"/>
                <w:szCs w:val="18"/>
                <w:color w:val="auto"/>
              </w:rPr>
              <w:t>(i)</w:t>
            </w:r>
          </w:p>
        </w:tc>
        <w:tc>
          <w:tcPr>
            <w:tcW w:w="14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432"/>
              <w:spacing w:after="0"/>
              <w:rPr>
                <w:sz w:val="20"/>
                <w:szCs w:val="20"/>
                <w:color w:val="auto"/>
              </w:rPr>
            </w:pPr>
            <w:r>
              <w:rPr>
                <w:rFonts w:ascii="Arial" w:cs="Arial" w:eastAsia="Arial" w:hAnsi="Arial"/>
                <w:sz w:val="18"/>
                <w:szCs w:val="18"/>
                <w:color w:val="auto"/>
                <w:w w:val="99"/>
              </w:rPr>
              <w:t>(i)</w:t>
            </w:r>
          </w:p>
        </w:tc>
        <w:tc>
          <w:tcPr>
            <w:tcW w:w="580" w:type="dxa"/>
            <w:vAlign w:val="bottom"/>
          </w:tcPr>
          <w:p>
            <w:pPr>
              <w:jc w:val="right"/>
              <w:ind w:right="51"/>
              <w:spacing w:after="0"/>
              <w:rPr>
                <w:sz w:val="20"/>
                <w:szCs w:val="20"/>
                <w:color w:val="auto"/>
              </w:rPr>
            </w:pPr>
            <w:r>
              <w:rPr>
                <w:rFonts w:ascii="Arial" w:cs="Arial" w:eastAsia="Arial" w:hAnsi="Arial"/>
                <w:sz w:val="18"/>
                <w:szCs w:val="18"/>
                <w:color w:val="auto"/>
              </w:rPr>
              <w:t>(i)</w:t>
            </w:r>
          </w:p>
        </w:tc>
        <w:tc>
          <w:tcPr>
            <w:tcW w:w="108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Yan Lee</w:t>
            </w:r>
          </w:p>
        </w:tc>
        <w:tc>
          <w:tcPr>
            <w:tcW w:w="2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(i)</w:t>
            </w:r>
          </w:p>
        </w:tc>
        <w:tc>
          <w:tcPr>
            <w:tcW w:w="14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432"/>
              <w:spacing w:after="0"/>
              <w:rPr>
                <w:sz w:val="20"/>
                <w:szCs w:val="20"/>
                <w:color w:val="auto"/>
              </w:rPr>
            </w:pPr>
            <w:r>
              <w:rPr>
                <w:rFonts w:ascii="Arial" w:cs="Arial" w:eastAsia="Arial" w:hAnsi="Arial"/>
                <w:sz w:val="18"/>
                <w:szCs w:val="18"/>
                <w:color w:val="auto"/>
                <w:w w:val="99"/>
              </w:rPr>
              <w:t>(i)</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(i)</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2180" w:type="dxa"/>
            <w:vAlign w:val="bottom"/>
          </w:tcPr>
          <w:p>
            <w:pPr>
              <w:jc w:val="right"/>
              <w:ind w:right="92"/>
              <w:spacing w:after="0"/>
              <w:rPr>
                <w:sz w:val="20"/>
                <w:szCs w:val="20"/>
                <w:color w:val="auto"/>
              </w:rPr>
            </w:pPr>
            <w:r>
              <w:rPr>
                <w:rFonts w:ascii="Arial" w:cs="Arial" w:eastAsia="Arial" w:hAnsi="Arial"/>
                <w:sz w:val="18"/>
                <w:szCs w:val="18"/>
                <w:color w:val="auto"/>
              </w:rPr>
              <w:t>1,366,509</w:t>
            </w: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4,820,608</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6,187,117</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23.6</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Shareholders:</w:t>
            </w:r>
          </w:p>
        </w:tc>
        <w:tc>
          <w:tcPr>
            <w:tcW w:w="2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Bertelsmann Asia Investments AG and its affiliate</w:t>
            </w:r>
            <w:r>
              <w:rPr>
                <w:rFonts w:ascii="Arial" w:cs="Arial" w:eastAsia="Arial" w:hAnsi="Arial"/>
                <w:sz w:val="15"/>
                <w:szCs w:val="15"/>
                <w:color w:val="auto"/>
              </w:rPr>
              <w:t>(4)</w:t>
            </w:r>
          </w:p>
        </w:tc>
        <w:tc>
          <w:tcPr>
            <w:tcW w:w="2180" w:type="dxa"/>
            <w:vAlign w:val="bottom"/>
          </w:tcPr>
          <w:p>
            <w:pPr>
              <w:jc w:val="right"/>
              <w:ind w:right="92"/>
              <w:spacing w:after="0"/>
              <w:rPr>
                <w:sz w:val="20"/>
                <w:szCs w:val="20"/>
                <w:color w:val="auto"/>
              </w:rPr>
            </w:pPr>
            <w:r>
              <w:rPr>
                <w:rFonts w:ascii="Arial" w:cs="Arial" w:eastAsia="Arial" w:hAnsi="Arial"/>
                <w:sz w:val="18"/>
                <w:szCs w:val="18"/>
                <w:color w:val="auto"/>
              </w:rPr>
              <w:t>3,281,417</w:t>
            </w:r>
          </w:p>
        </w:tc>
        <w:tc>
          <w:tcPr>
            <w:tcW w:w="14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3,281,417</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12.6</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Blue Focus International Limited</w:t>
            </w:r>
            <w:r>
              <w:rPr>
                <w:rFonts w:ascii="Arial" w:cs="Arial" w:eastAsia="Arial" w:hAnsi="Arial"/>
                <w:sz w:val="15"/>
                <w:szCs w:val="15"/>
                <w:color w:val="auto"/>
              </w:rPr>
              <w:t>(5)</w:t>
            </w:r>
          </w:p>
        </w:tc>
        <w:tc>
          <w:tcPr>
            <w:tcW w:w="2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3,235,338</w:t>
            </w:r>
          </w:p>
        </w:tc>
        <w:tc>
          <w:tcPr>
            <w:tcW w:w="14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3,235,338</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12.4</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Sumitomo Corporation Equity Asia Limited</w:t>
            </w:r>
            <w:r>
              <w:rPr>
                <w:rFonts w:ascii="Arial" w:cs="Arial" w:eastAsia="Arial" w:hAnsi="Arial"/>
                <w:sz w:val="15"/>
                <w:szCs w:val="15"/>
                <w:color w:val="auto"/>
              </w:rPr>
              <w:t>(6)</w:t>
            </w:r>
          </w:p>
        </w:tc>
        <w:tc>
          <w:tcPr>
            <w:tcW w:w="2180" w:type="dxa"/>
            <w:vAlign w:val="bottom"/>
          </w:tcPr>
          <w:p>
            <w:pPr>
              <w:jc w:val="right"/>
              <w:ind w:right="92"/>
              <w:spacing w:after="0"/>
              <w:rPr>
                <w:sz w:val="20"/>
                <w:szCs w:val="20"/>
                <w:color w:val="auto"/>
              </w:rPr>
            </w:pPr>
            <w:r>
              <w:rPr>
                <w:rFonts w:ascii="Arial" w:cs="Arial" w:eastAsia="Arial" w:hAnsi="Arial"/>
                <w:sz w:val="18"/>
                <w:szCs w:val="18"/>
                <w:color w:val="auto"/>
              </w:rPr>
              <w:t>2,881,030</w:t>
            </w:r>
          </w:p>
        </w:tc>
        <w:tc>
          <w:tcPr>
            <w:tcW w:w="14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2,881,030</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11.0</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Wing Hong Sammy Hsieh</w:t>
            </w:r>
            <w:r>
              <w:rPr>
                <w:rFonts w:ascii="Arial" w:cs="Arial" w:eastAsia="Arial" w:hAnsi="Arial"/>
                <w:sz w:val="15"/>
                <w:szCs w:val="15"/>
                <w:color w:val="auto"/>
              </w:rPr>
              <w:t>(1)</w:t>
            </w:r>
          </w:p>
        </w:tc>
        <w:tc>
          <w:tcPr>
            <w:tcW w:w="2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296,350</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2,500,580</w:t>
            </w:r>
          </w:p>
        </w:tc>
        <w:tc>
          <w:tcPr>
            <w:tcW w:w="12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2,796,930</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10.7</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Czerny Holdings Limited and Cervetto Holdings Limited</w:t>
            </w:r>
            <w:r>
              <w:rPr>
                <w:rFonts w:ascii="Arial" w:cs="Arial" w:eastAsia="Arial" w:hAnsi="Arial"/>
                <w:sz w:val="15"/>
                <w:szCs w:val="15"/>
                <w:color w:val="auto"/>
              </w:rPr>
              <w:t>(7)</w:t>
            </w:r>
          </w:p>
        </w:tc>
        <w:tc>
          <w:tcPr>
            <w:tcW w:w="2180" w:type="dxa"/>
            <w:vAlign w:val="bottom"/>
          </w:tcPr>
          <w:p>
            <w:pPr>
              <w:jc w:val="right"/>
              <w:ind w:right="92"/>
              <w:spacing w:after="0"/>
              <w:rPr>
                <w:sz w:val="20"/>
                <w:szCs w:val="20"/>
                <w:color w:val="auto"/>
              </w:rPr>
            </w:pPr>
            <w:r>
              <w:rPr>
                <w:rFonts w:ascii="Arial" w:cs="Arial" w:eastAsia="Arial" w:hAnsi="Arial"/>
                <w:sz w:val="18"/>
                <w:szCs w:val="18"/>
                <w:color w:val="auto"/>
              </w:rPr>
              <w:t>2,486,802</w:t>
            </w:r>
          </w:p>
        </w:tc>
        <w:tc>
          <w:tcPr>
            <w:tcW w:w="14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2,486,802</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9.5</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Igomax Inc.</w:t>
            </w:r>
            <w:r>
              <w:rPr>
                <w:rFonts w:ascii="Arial" w:cs="Arial" w:eastAsia="Arial" w:hAnsi="Arial"/>
                <w:sz w:val="15"/>
                <w:szCs w:val="15"/>
                <w:color w:val="auto"/>
              </w:rPr>
              <w:t>(8)</w:t>
            </w:r>
          </w:p>
        </w:tc>
        <w:tc>
          <w:tcPr>
            <w:tcW w:w="21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2,320,028</w:t>
            </w:r>
          </w:p>
        </w:tc>
        <w:tc>
          <w:tcPr>
            <w:tcW w:w="12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2,320,028</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8.9</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Maestro Investment Holdings Limited</w:t>
            </w:r>
            <w:r>
              <w:rPr>
                <w:rFonts w:ascii="Arial" w:cs="Arial" w:eastAsia="Arial" w:hAnsi="Arial"/>
                <w:sz w:val="15"/>
                <w:szCs w:val="15"/>
                <w:color w:val="auto"/>
              </w:rPr>
              <w:t>(9)</w:t>
            </w:r>
          </w:p>
        </w:tc>
        <w:tc>
          <w:tcPr>
            <w:tcW w:w="2180" w:type="dxa"/>
            <w:vAlign w:val="bottom"/>
          </w:tcPr>
          <w:p>
            <w:pPr>
              <w:jc w:val="right"/>
              <w:ind w:right="92"/>
              <w:spacing w:after="0"/>
              <w:rPr>
                <w:sz w:val="20"/>
                <w:szCs w:val="20"/>
                <w:color w:val="auto"/>
              </w:rPr>
            </w:pPr>
            <w:r>
              <w:rPr>
                <w:rFonts w:ascii="Arial" w:cs="Arial" w:eastAsia="Arial" w:hAnsi="Arial"/>
                <w:sz w:val="18"/>
                <w:szCs w:val="18"/>
                <w:color w:val="auto"/>
              </w:rPr>
              <w:t>2,011,997</w:t>
            </w:r>
          </w:p>
        </w:tc>
        <w:tc>
          <w:tcPr>
            <w:tcW w:w="1400" w:type="dxa"/>
            <w:vAlign w:val="bottom"/>
          </w:tcPr>
          <w:p>
            <w:pPr>
              <w:ind w:left="9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2"/>
              <w:spacing w:after="0"/>
              <w:rPr>
                <w:sz w:val="20"/>
                <w:szCs w:val="20"/>
                <w:color w:val="auto"/>
              </w:rPr>
            </w:pPr>
            <w:r>
              <w:rPr>
                <w:rFonts w:ascii="Arial" w:cs="Arial" w:eastAsia="Arial" w:hAnsi="Arial"/>
                <w:sz w:val="18"/>
                <w:szCs w:val="18"/>
                <w:color w:val="auto"/>
              </w:rPr>
              <w:t>2,011,997</w:t>
            </w:r>
          </w:p>
        </w:tc>
        <w:tc>
          <w:tcPr>
            <w:tcW w:w="580" w:type="dxa"/>
            <w:vAlign w:val="bottom"/>
          </w:tcPr>
          <w:p>
            <w:pPr>
              <w:jc w:val="right"/>
              <w:ind w:right="111"/>
              <w:spacing w:after="0"/>
              <w:rPr>
                <w:sz w:val="20"/>
                <w:szCs w:val="20"/>
                <w:color w:val="auto"/>
              </w:rPr>
            </w:pPr>
            <w:r>
              <w:rPr>
                <w:rFonts w:ascii="Arial" w:cs="Arial" w:eastAsia="Arial" w:hAnsi="Arial"/>
                <w:sz w:val="18"/>
                <w:szCs w:val="18"/>
                <w:color w:val="auto"/>
              </w:rPr>
              <w:t>7.7</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 &amp; K Investment Limited</w:t>
            </w:r>
            <w:r>
              <w:rPr>
                <w:rFonts w:ascii="Arial" w:cs="Arial" w:eastAsia="Arial" w:hAnsi="Arial"/>
                <w:sz w:val="15"/>
                <w:szCs w:val="15"/>
                <w:color w:val="auto"/>
              </w:rPr>
              <w:t>(10)</w:t>
            </w:r>
          </w:p>
        </w:tc>
        <w:tc>
          <w:tcPr>
            <w:tcW w:w="2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1,532,955</w:t>
            </w:r>
          </w:p>
        </w:tc>
        <w:tc>
          <w:tcPr>
            <w:tcW w:w="1400" w:type="dxa"/>
            <w:vAlign w:val="bottom"/>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1,532,955</w:t>
            </w:r>
          </w:p>
        </w:tc>
        <w:tc>
          <w:tcPr>
            <w:tcW w:w="5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5.9</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180" w:type="dxa"/>
            <w:vAlign w:val="bottom"/>
          </w:tcPr>
          <w:p>
            <w:pPr>
              <w:jc w:val="right"/>
              <w:ind w:right="1192"/>
              <w:spacing w:after="0"/>
              <w:rPr>
                <w:sz w:val="20"/>
                <w:szCs w:val="20"/>
                <w:color w:val="auto"/>
              </w:rPr>
            </w:pPr>
            <w:r>
              <w:rPr>
                <w:rFonts w:ascii="Arial" w:cs="Arial" w:eastAsia="Arial" w:hAnsi="Arial"/>
                <w:sz w:val="18"/>
                <w:szCs w:val="18"/>
                <w:color w:val="auto"/>
              </w:rPr>
              <w:t>110</w:t>
            </w:r>
          </w:p>
        </w:tc>
        <w:tc>
          <w:tcPr>
            <w:tcW w:w="1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Less than 1% of our total outstanding shares.</w:t>
      </w:r>
    </w:p>
    <w:p>
      <w:pPr>
        <w:spacing w:after="0" w:line="23" w:lineRule="exact"/>
        <w:rPr>
          <w:sz w:val="20"/>
          <w:szCs w:val="20"/>
          <w:color w:val="auto"/>
        </w:rPr>
      </w:pPr>
    </w:p>
    <w:p>
      <w:pPr>
        <w:ind w:left="460" w:right="200" w:hanging="452"/>
        <w:spacing w:after="0" w:line="281" w:lineRule="auto"/>
        <w:tabs>
          <w:tab w:leader="none" w:pos="46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March 31, 2018, by the sum of (1)</w:t>
      </w:r>
    </w:p>
    <w:p>
      <w:pPr>
        <w:spacing w:after="0" w:line="1" w:lineRule="exact"/>
        <w:rPr>
          <w:sz w:val="20"/>
          <w:szCs w:val="20"/>
          <w:color w:val="auto"/>
        </w:rPr>
      </w:pPr>
    </w:p>
    <w:p>
      <w:pPr>
        <w:ind w:left="460" w:right="200"/>
        <w:spacing w:after="0" w:line="250" w:lineRule="auto"/>
        <w:rPr>
          <w:sz w:val="20"/>
          <w:szCs w:val="20"/>
          <w:color w:val="auto"/>
        </w:rPr>
      </w:pPr>
      <w:r>
        <w:rPr>
          <w:rFonts w:ascii="Arial" w:cs="Arial" w:eastAsia="Arial" w:hAnsi="Arial"/>
          <w:sz w:val="18"/>
          <w:szCs w:val="18"/>
          <w:color w:val="auto"/>
        </w:rPr>
        <w:t>26,081,028, which is the total number of ordinary shares outstanding as of March 31, 2018; and (2) the number of ordinary shares that such person or group has the right to acquire within 60 days of March 31, 2018.</w:t>
      </w:r>
    </w:p>
    <w:p>
      <w:pPr>
        <w:spacing w:after="0" w:line="1" w:lineRule="exact"/>
        <w:rPr>
          <w:sz w:val="20"/>
          <w:szCs w:val="20"/>
          <w:color w:val="auto"/>
        </w:rPr>
      </w:pPr>
    </w:p>
    <w:p>
      <w:pPr>
        <w:ind w:left="460" w:right="40" w:hanging="445"/>
        <w:spacing w:after="0" w:line="250" w:lineRule="auto"/>
        <w:tabs>
          <w:tab w:leader="none" w:pos="4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20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3" w:lineRule="exact"/>
        <w:rPr>
          <w:sz w:val="20"/>
          <w:szCs w:val="20"/>
          <w:color w:val="auto"/>
        </w:rPr>
      </w:pPr>
    </w:p>
    <w:p>
      <w:pPr>
        <w:ind w:left="460" w:right="2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(a) 2,500,580 Class B ordinary shares held by Wing Hong Sammy Hsieh; and (b) 296,350 Class A ordinary shares held by Arda Holdings from the exercise of options under our 2010 Plan. These ordinary shares held by Arda Holdings will be transferred to the relevant beneficiaries of the 2010 Plan. Mr. Hsieh through Arda upon trust serves as the trustee to the beneficiaries of the 2010 Plan (the trustee shall only deal with the trust properties in such manner as our board from time to time directs in writing).</w:t>
      </w:r>
    </w:p>
    <w:p>
      <w:pPr>
        <w:spacing w:after="0" w:line="1"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(a) 2,320,028 Class B ordinary shares held by Igomax Inc., a British Virgin Islands company wholly owned by Jian Tang, and (b) 20,039 Class A ordinary shares that are issuable upon exercise of options held in trust by Mr. Tang on behalf of certain consultants of OptAim.</w:t>
      </w:r>
    </w:p>
    <w:p>
      <w:pPr>
        <w:spacing w:after="0" w:line="1"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(a) 880,653 Class A ordinary shares held by Yau Ping Ricky Ng and (b) 74,000 Class A ordinary shares that are issuable upon exercise of options held by Mr. Ng.</w:t>
      </w:r>
    </w:p>
    <w:p>
      <w:pPr>
        <w:ind w:left="460" w:right="24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(a) 2,689,329 Class A ordinary shares held by Bertelsmann Asia Investments AG, and (b) 592,088 Class A ordinary shares held by BAI GmbH. Bertelsmann Asia Investments AG is a Swiss company and BAI GmbH is a Germany company. Both Bertelsmann Asia Investments AG and BAI GmbH are controlled by Bertelsmann SE &amp; Co. KGaA.</w:t>
      </w:r>
    </w:p>
    <w:p>
      <w:pPr>
        <w:spacing w:after="0" w:line="1" w:lineRule="exact"/>
        <w:rPr>
          <w:rFonts w:ascii="Arial" w:cs="Arial" w:eastAsia="Arial" w:hAnsi="Arial"/>
          <w:sz w:val="18"/>
          <w:szCs w:val="18"/>
          <w:color w:val="auto"/>
        </w:rPr>
      </w:pPr>
    </w:p>
    <w:p>
      <w:pPr>
        <w:ind w:left="460" w:right="840" w:hanging="452"/>
        <w:spacing w:after="0" w:line="28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3,235,338 Class A ordinary shares held by Blue Focus International Limited, a company incorporated in Hong Kong. Blue Focus International Limited is wholly owned by BlueFocus Communication Group Co. Ltd., a company listed on Shenzhen Stock Exchange.</w:t>
      </w:r>
    </w:p>
    <w:p>
      <w:pPr>
        <w:spacing w:after="0" w:line="1" w:lineRule="exact"/>
        <w:rPr>
          <w:rFonts w:ascii="Arial" w:cs="Arial" w:eastAsia="Arial" w:hAnsi="Arial"/>
          <w:sz w:val="16"/>
          <w:szCs w:val="16"/>
          <w:color w:val="auto"/>
        </w:rPr>
      </w:pPr>
    </w:p>
    <w:p>
      <w:pPr>
        <w:ind w:left="460" w:right="40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2,881,030 Class A ordinary shares held by Sumitomo Corporation Equity Asia Limited, a company incorporated in Hong Kong wholly owned by Sumitomo.</w:t>
      </w:r>
    </w:p>
    <w:p>
      <w:pPr>
        <w:ind w:left="460" w:hanging="452"/>
        <w:spacing w:after="0" w:line="265"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(a) 887,616 Class A ordinary shares held by Czerny Holdings Limited and (b) 1,599,186 Class A ordinary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which is the sole shareholder of SSG Capital Partners I GPGP, Ltd and SSG Capital Partners II GPGP, Ltd. The registered office address of Czerny Holdings Limited and Cervetto Holdings Limited is P.O. Box 957, Offshore Incorporations Center, Road Town, Tortola, British Virgin Islands.</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2,320,028 Class B ordinary shares held by Igomax Inc, a British Virgin Islands company wholly owned by Jian Tang.</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2,011,997 Class A ordinary shares held by Maestro Investment Holdings Limited, a company incorporated in British Virgin Islands. Jiping Liu is the sole shareholder of Maestro Investment Holdings Limited.</w:t>
      </w:r>
    </w:p>
    <w:p>
      <w:pPr>
        <w:ind w:left="460" w:right="20" w:hanging="452"/>
        <w:spacing w:after="0" w:line="290"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1,532,955 Class A ordinary shares held by O &amp; K Investment Limited, a company incorporated in Hong Kong. Sunee Chiraseivinupraphand is the sole shareholder of O &amp; K Investment Limited. Sunee Chiraseivinupraphand is spouse of Wing Hong Sammy Hsieh.</w:t>
      </w:r>
    </w:p>
    <w:p>
      <w:pPr>
        <w:spacing w:after="0" w:line="13"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To our knowledge, as of March 31, 2018, 2,156,250, or 8.3% of our ordinary shares were held by one record holder in the United States, which was JPMorgan Chase Bank, N.A., the depositary of our ADS program. The number of beneficial owners of our ADSs in the United States is likely to be much larger than the number of record holders of our ordinary shares in the United States.</w:t>
      </w:r>
    </w:p>
    <w:p>
      <w:pPr>
        <w:spacing w:after="0" w:line="1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Major Shareholders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refer to “Item 6. Directors, Senior Management and Employees—E. Share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Related Party Transactions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Variable Interest Entity and its Shareholders</w:t>
      </w:r>
    </w:p>
    <w:p>
      <w:pPr>
        <w:spacing w:after="0" w:line="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4. Information on the Company—C. Organizational Structure.”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24"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automatically terminated upon completion of our initial public offering.</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Holders of at least 25% of the registrable securities, which include our ordinary shares issued or issuable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83" w:lineRule="exact"/>
        <w:rPr>
          <w:sz w:val="20"/>
          <w:szCs w:val="20"/>
          <w:color w:val="auto"/>
        </w:rPr>
      </w:pPr>
    </w:p>
    <w:p>
      <w:pPr>
        <w:ind w:right="300" w:firstLine="913"/>
        <w:spacing w:after="0" w:line="302" w:lineRule="auto"/>
        <w:rPr>
          <w:sz w:val="20"/>
          <w:szCs w:val="20"/>
          <w:color w:val="auto"/>
        </w:rPr>
      </w:pPr>
      <w:r>
        <w:rPr>
          <w:rFonts w:ascii="Arial" w:cs="Arial" w:eastAsia="Arial" w:hAnsi="Arial"/>
          <w:sz w:val="16"/>
          <w:szCs w:val="16"/>
          <w:i w:val="1"/>
          <w:iCs w:val="1"/>
          <w:color w:val="auto"/>
        </w:rPr>
        <w:t xml:space="preserve">Form F-3 Registration Rights. </w:t>
      </w:r>
      <w:r>
        <w:rPr>
          <w:rFonts w:ascii="Arial" w:cs="Arial" w:eastAsia="Arial" w:hAnsi="Arial"/>
          <w:sz w:val="16"/>
          <w:szCs w:val="16"/>
          <w:color w:val="auto"/>
        </w:rPr>
        <w:t>When we are eligible for registration on Form F-3, upon a written request from any holder of the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54"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i w:val="1"/>
          <w:iCs w:val="1"/>
          <w:color w:val="auto"/>
        </w:rPr>
        <w:t>Piggyback Registration Rights</w:t>
      </w:r>
      <w:r>
        <w:rPr>
          <w:rFonts w:ascii="Arial" w:cs="Arial" w:eastAsia="Arial" w:hAnsi="Arial"/>
          <w:sz w:val="17"/>
          <w:szCs w:val="17"/>
          <w:color w:val="auto"/>
        </w:rPr>
        <w:t>. If we propose to file a registration statement for a public offering for our own account or for the account of holder</w:t>
      </w:r>
      <w:r>
        <w:rPr>
          <w:rFonts w:ascii="Arial" w:cs="Arial" w:eastAsia="Arial" w:hAnsi="Arial"/>
          <w:sz w:val="17"/>
          <w:szCs w:val="17"/>
          <w:i w:val="1"/>
          <w:iCs w:val="1"/>
          <w:color w:val="auto"/>
        </w:rPr>
        <w:t xml:space="preserve"> </w:t>
      </w:r>
      <w:r>
        <w:rPr>
          <w:rFonts w:ascii="Arial" w:cs="Arial" w:eastAsia="Arial" w:hAnsi="Arial"/>
          <w:sz w:val="17"/>
          <w:szCs w:val="17"/>
          <w:color w:val="auto"/>
        </w:rPr>
        <w:t>of 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78"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i w:val="1"/>
          <w:iCs w:val="1"/>
          <w:color w:val="auto"/>
        </w:rPr>
        <w:t xml:space="preserve">Underwritten Offering. </w:t>
      </w:r>
      <w:r>
        <w:rPr>
          <w:rFonts w:ascii="Arial" w:cs="Arial" w:eastAsia="Arial" w:hAnsi="Arial"/>
          <w:sz w:val="16"/>
          <w:szCs w:val="16"/>
          <w:color w:val="auto"/>
        </w:rPr>
        <w:t>The underwriters of any underwritten offering may in good faith request a reduction in the number of shares offered by</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i w:val="1"/>
          <w:iCs w:val="1"/>
          <w:color w:val="auto"/>
        </w:rPr>
        <w:t xml:space="preserve">Expenses of Registration. </w:t>
      </w:r>
      <w:r>
        <w:rPr>
          <w:rFonts w:ascii="Arial" w:cs="Arial" w:eastAsia="Arial" w:hAnsi="Arial"/>
          <w:sz w:val="16"/>
          <w:szCs w:val="16"/>
          <w:color w:val="auto"/>
        </w:rPr>
        <w:t>We will pay all expenses incurred in complying with the terms of the registration rights provisions,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i w:val="1"/>
          <w:iCs w:val="1"/>
          <w:color w:val="auto"/>
        </w:rPr>
        <w:t xml:space="preserve">Termination of Obligations. </w:t>
      </w:r>
      <w:r>
        <w:rPr>
          <w:rFonts w:ascii="Arial" w:cs="Arial" w:eastAsia="Arial" w:hAnsi="Arial"/>
          <w:sz w:val="18"/>
          <w:szCs w:val="18"/>
          <w:color w:val="auto"/>
        </w:rPr>
        <w:t>The registration rights set forth above shall terminate on the later of (i) the date that is five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a qualified initial public offering and (ii) with respect to any holder, the date on which such holder may sell all of their registrable securities under Rule 144 of the Securities Act in any ninety-day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right="820" w:firstLine="913"/>
        <w:spacing w:after="0" w:line="277" w:lineRule="auto"/>
        <w:rPr>
          <w:sz w:val="20"/>
          <w:szCs w:val="20"/>
          <w:color w:val="auto"/>
        </w:rPr>
      </w:pPr>
      <w:r>
        <w:rPr>
          <w:rFonts w:ascii="Arial" w:cs="Arial" w:eastAsia="Arial" w:hAnsi="Arial"/>
          <w:sz w:val="18"/>
          <w:szCs w:val="18"/>
          <w:color w:val="auto"/>
        </w:rPr>
        <w:t>See “Item 6. Directors, Senior Management and Employees — A. Directors and Senior Management — Employment Agreements and Indemnification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See “Item 6. Directors, Senior Management and Employees — B. Compensation of Directors and Executive Officers — Share Incentive Plan.”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right="220" w:firstLine="913"/>
        <w:spacing w:after="0" w:line="312" w:lineRule="auto"/>
        <w:rPr>
          <w:sz w:val="20"/>
          <w:szCs w:val="20"/>
          <w:color w:val="auto"/>
        </w:rPr>
      </w:pPr>
      <w:r>
        <w:rPr>
          <w:rFonts w:ascii="Arial" w:cs="Arial" w:eastAsia="Arial" w:hAnsi="Arial"/>
          <w:sz w:val="16"/>
          <w:szCs w:val="16"/>
          <w:color w:val="auto"/>
        </w:rPr>
        <w:t>On December 31, 2015, we borrowed interest-free short-term loans from Mr. Jian Tang, our director, chief operating officer, chief technology officer, and co-founder in the aggregate principal amount of RMB300,000. We used the proceeds of these loans for capital injection into OptAim Network, our VIE, when we were unable to obtain foreign currency in a timely manner. The entire principal amounts of these loans were repaid on January 19,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Interests of Experts and Counsel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Consolidated Statements and Other Financial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12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 and Dividend Distribution</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78"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“Item 4. Information on the Company — Business Overview — Regulation — Regulations on Dividend Distribution.”</w:t>
      </w:r>
    </w:p>
    <w:p>
      <w:pPr>
        <w:spacing w:after="0" w:line="187"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Significant Changes</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Offering and Listing Details</w:t>
      </w:r>
    </w:p>
    <w:p>
      <w:pPr>
        <w:spacing w:after="0" w:line="117"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Our ADSs, each representing four ordinary shares, have been listed on the Nasdaq Global Market since December 21, 2017. Our ADSs trade under the symbol “ICLK.” The following table provides the high and low market prices for our ADSs on the Nasdaq Global Market for each period indicated.</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Price per ADS</w:t>
            </w:r>
          </w:p>
        </w:tc>
      </w:tr>
      <w:tr>
        <w:trPr>
          <w:trHeight w:val="142"/>
        </w:trPr>
        <w:tc>
          <w:tcPr>
            <w:tcW w:w="74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High</w:t>
            </w: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2"/>
                <w:szCs w:val="12"/>
                <w:color w:val="auto"/>
              </w:rPr>
            </w:pPr>
          </w:p>
        </w:tc>
      </w:tr>
      <w:tr>
        <w:trPr>
          <w:trHeight w:val="142"/>
        </w:trPr>
        <w:tc>
          <w:tcPr>
            <w:tcW w:w="74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(US$)</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highs and lows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2017 (from December 21, 2017)</w:t>
            </w:r>
          </w:p>
        </w:tc>
        <w:tc>
          <w:tcPr>
            <w:tcW w:w="780" w:type="dxa"/>
            <w:vAlign w:val="bottom"/>
          </w:tcPr>
          <w:p>
            <w:pPr>
              <w:jc w:val="right"/>
              <w:ind w:right="255"/>
              <w:spacing w:after="0"/>
              <w:rPr>
                <w:sz w:val="20"/>
                <w:szCs w:val="20"/>
                <w:color w:val="auto"/>
              </w:rPr>
            </w:pPr>
            <w:r>
              <w:rPr>
                <w:rFonts w:ascii="Arial" w:cs="Arial" w:eastAsia="Arial" w:hAnsi="Arial"/>
                <w:sz w:val="18"/>
                <w:szCs w:val="18"/>
                <w:color w:val="auto"/>
                <w:w w:val="93"/>
              </w:rPr>
              <w:t>11.40</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8.00</w:t>
            </w:r>
          </w:p>
        </w:tc>
        <w:tc>
          <w:tcPr>
            <w:tcW w:w="6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Quarterly highs and lows</w:t>
            </w: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Fourth Quarter 2017 (from December 21, 2017)</w:t>
            </w:r>
          </w:p>
        </w:tc>
        <w:tc>
          <w:tcPr>
            <w:tcW w:w="780" w:type="dxa"/>
            <w:vAlign w:val="bottom"/>
          </w:tcPr>
          <w:p>
            <w:pPr>
              <w:jc w:val="right"/>
              <w:ind w:right="255"/>
              <w:spacing w:after="0"/>
              <w:rPr>
                <w:sz w:val="20"/>
                <w:szCs w:val="20"/>
                <w:color w:val="auto"/>
              </w:rPr>
            </w:pPr>
            <w:r>
              <w:rPr>
                <w:rFonts w:ascii="Arial" w:cs="Arial" w:eastAsia="Arial" w:hAnsi="Arial"/>
                <w:sz w:val="18"/>
                <w:szCs w:val="18"/>
                <w:color w:val="auto"/>
                <w:w w:val="93"/>
              </w:rPr>
              <w:t>11.40</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8.00</w:t>
            </w:r>
          </w:p>
        </w:tc>
        <w:tc>
          <w:tcPr>
            <w:tcW w:w="6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2018</w:t>
            </w:r>
          </w:p>
        </w:tc>
        <w:tc>
          <w:tcPr>
            <w:tcW w:w="7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93"/>
              </w:rPr>
              <w:t>10.44</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5.05</w:t>
            </w:r>
          </w:p>
        </w:tc>
        <w:tc>
          <w:tcPr>
            <w:tcW w:w="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b w:val="1"/>
                <w:bCs w:val="1"/>
                <w:color w:val="auto"/>
              </w:rPr>
              <w:t>Monthly highs and lows</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December 2017 (from December 21, 2017)</w:t>
            </w:r>
          </w:p>
        </w:tc>
        <w:tc>
          <w:tcPr>
            <w:tcW w:w="7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w w:val="93"/>
              </w:rPr>
              <w:t>11.40</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8.00</w:t>
            </w:r>
          </w:p>
        </w:tc>
        <w:tc>
          <w:tcPr>
            <w:tcW w:w="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January 2018</w:t>
            </w:r>
          </w:p>
        </w:tc>
        <w:tc>
          <w:tcPr>
            <w:tcW w:w="780" w:type="dxa"/>
            <w:vAlign w:val="bottom"/>
          </w:tcPr>
          <w:p>
            <w:pPr>
              <w:jc w:val="right"/>
              <w:ind w:right="255"/>
              <w:spacing w:after="0"/>
              <w:rPr>
                <w:sz w:val="20"/>
                <w:szCs w:val="20"/>
                <w:color w:val="auto"/>
              </w:rPr>
            </w:pPr>
            <w:r>
              <w:rPr>
                <w:rFonts w:ascii="Arial" w:cs="Arial" w:eastAsia="Arial" w:hAnsi="Arial"/>
                <w:sz w:val="18"/>
                <w:szCs w:val="18"/>
                <w:color w:val="auto"/>
                <w:w w:val="93"/>
              </w:rPr>
              <w:t>10.44</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6.55</w:t>
            </w:r>
          </w:p>
        </w:tc>
        <w:tc>
          <w:tcPr>
            <w:tcW w:w="6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February 2018</w:t>
            </w:r>
          </w:p>
        </w:tc>
        <w:tc>
          <w:tcPr>
            <w:tcW w:w="7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8.21</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5.05</w:t>
            </w:r>
          </w:p>
        </w:tc>
        <w:tc>
          <w:tcPr>
            <w:tcW w:w="60" w:type="dxa"/>
            <w:vAlign w:val="bottom"/>
            <w:shd w:val="clear" w:color="auto" w:fill="CCEEFF"/>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March 2018</w:t>
            </w:r>
          </w:p>
        </w:tc>
        <w:tc>
          <w:tcPr>
            <w:tcW w:w="780" w:type="dxa"/>
            <w:vAlign w:val="bottom"/>
          </w:tcPr>
          <w:p>
            <w:pPr>
              <w:jc w:val="right"/>
              <w:ind w:right="255"/>
              <w:spacing w:after="0"/>
              <w:rPr>
                <w:sz w:val="20"/>
                <w:szCs w:val="20"/>
                <w:color w:val="auto"/>
              </w:rPr>
            </w:pPr>
            <w:r>
              <w:rPr>
                <w:rFonts w:ascii="Arial" w:cs="Arial" w:eastAsia="Arial" w:hAnsi="Arial"/>
                <w:sz w:val="18"/>
                <w:szCs w:val="18"/>
                <w:color w:val="auto"/>
              </w:rPr>
              <w:t>8.69</w:t>
            </w:r>
          </w:p>
        </w:tc>
        <w:tc>
          <w:tcPr>
            <w:tcW w:w="360" w:type="dxa"/>
            <w:vAlign w:val="bottom"/>
          </w:tcPr>
          <w:p>
            <w:pPr>
              <w:ind w:left="40"/>
              <w:spacing w:after="0"/>
              <w:rPr>
                <w:sz w:val="20"/>
                <w:szCs w:val="20"/>
                <w:color w:val="auto"/>
              </w:rPr>
            </w:pPr>
            <w:r>
              <w:rPr>
                <w:rFonts w:ascii="Arial" w:cs="Arial" w:eastAsia="Arial" w:hAnsi="Arial"/>
                <w:sz w:val="18"/>
                <w:szCs w:val="18"/>
                <w:color w:val="auto"/>
                <w:w w:val="85"/>
              </w:rPr>
              <w:t>6.52</w:t>
            </w:r>
          </w:p>
        </w:tc>
        <w:tc>
          <w:tcPr>
            <w:tcW w:w="60" w:type="dxa"/>
            <w:vAlign w:val="bottom"/>
          </w:tcPr>
          <w:p>
            <w:pPr>
              <w:spacing w:after="0"/>
              <w:rPr>
                <w:sz w:val="18"/>
                <w:szCs w:val="18"/>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April 2018 (through April 13, 2018)</w:t>
            </w:r>
          </w:p>
        </w:tc>
        <w:tc>
          <w:tcPr>
            <w:tcW w:w="78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8.25</w:t>
            </w:r>
          </w:p>
        </w:tc>
        <w:tc>
          <w:tcPr>
            <w:tcW w:w="360" w:type="dxa"/>
            <w:vAlign w:val="bottom"/>
            <w:shd w:val="clear" w:color="auto" w:fill="CCEEFF"/>
          </w:tcPr>
          <w:p>
            <w:pPr>
              <w:ind w:left="40"/>
              <w:spacing w:after="0"/>
              <w:rPr>
                <w:sz w:val="20"/>
                <w:szCs w:val="20"/>
                <w:color w:val="auto"/>
              </w:rPr>
            </w:pPr>
            <w:r>
              <w:rPr>
                <w:rFonts w:ascii="Arial" w:cs="Arial" w:eastAsia="Arial" w:hAnsi="Arial"/>
                <w:sz w:val="18"/>
                <w:szCs w:val="18"/>
                <w:color w:val="auto"/>
                <w:w w:val="85"/>
              </w:rPr>
              <w:t>7.08</w:t>
            </w:r>
          </w:p>
        </w:tc>
        <w:tc>
          <w:tcPr>
            <w:tcW w:w="6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Plan of Distribution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220" w:hanging="212"/>
        <w:spacing w:after="0"/>
        <w:tabs>
          <w:tab w:leader="none" w:pos="22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Markets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ADSs, each representing four ordinary shares, have been listed on the Nasdaq Global Market since December 21, 2017.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Selling Shareholders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ind w:left="200" w:hanging="192"/>
        <w:spacing w:after="0"/>
        <w:tabs>
          <w:tab w:leader="none" w:pos="20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Dilution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Expenses of the Issue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Share Capital</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Memorandum and Articles of Association</w:t>
      </w:r>
    </w:p>
    <w:p>
      <w:pPr>
        <w:spacing w:after="0" w:line="11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following are summaries of material provisions of our eighth amended and restated memorandum and articles of association, as well as the Companies Law (2018 Revision) insofar as they relate to the material terms of our ordinary shares.</w:t>
      </w:r>
    </w:p>
    <w:p>
      <w:pPr>
        <w:spacing w:after="0" w:line="170"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are issued in registered form and are issued when registered in our register of members. Our shareholders</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non-residents of the Cayman Islands may freely hold and vote their shares.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117" w:lineRule="exact"/>
        <w:rPr>
          <w:sz w:val="20"/>
          <w:szCs w:val="20"/>
          <w:color w:val="auto"/>
        </w:rPr>
      </w:pPr>
    </w:p>
    <w:p>
      <w:pPr>
        <w:ind w:right="180" w:firstLine="921"/>
        <w:spacing w:after="0" w:line="277" w:lineRule="auto"/>
        <w:tabs>
          <w:tab w:leader="none" w:pos="115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62" w:lineRule="exact"/>
        <w:rPr>
          <w:rFonts w:ascii="Arial" w:cs="Arial" w:eastAsia="Arial" w:hAnsi="Arial"/>
          <w:sz w:val="18"/>
          <w:szCs w:val="18"/>
          <w:color w:val="auto"/>
        </w:rPr>
      </w:pPr>
    </w:p>
    <w:p>
      <w:pPr>
        <w:ind w:left="1180" w:hanging="259"/>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In addition,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Our share capital is currently divided into Class A ordinary shares and Class B ordinary shares. On a show of hands each</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4"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Class B ordinary shares are convertible into Class A ordinary shares. All Class B ordinary shares are subject to automatic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58"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by an instrument of transfer in the usual or common form or any other form approved by our board of directors.</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480" w:right="440" w:hanging="446"/>
        <w:spacing w:after="0" w:line="308" w:lineRule="auto"/>
        <w:tabs>
          <w:tab w:leader="none" w:pos="14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ordinary share is to be transferred does not exceed four; and</w:t>
      </w:r>
    </w:p>
    <w:p>
      <w:pPr>
        <w:spacing w:after="0" w:line="75" w:lineRule="exact"/>
        <w:rPr>
          <w:rFonts w:ascii="Arial" w:cs="Arial" w:eastAsia="Arial" w:hAnsi="Arial"/>
          <w:sz w:val="18"/>
          <w:szCs w:val="18"/>
          <w:color w:val="auto"/>
        </w:rPr>
      </w:pPr>
    </w:p>
    <w:p>
      <w:pPr>
        <w:ind w:left="1480" w:right="320" w:hanging="446"/>
        <w:spacing w:after="0" w:line="277" w:lineRule="auto"/>
        <w:tabs>
          <w:tab w:leader="none" w:pos="14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jc w:val="both"/>
        <w:ind w:right="120" w:firstLine="913"/>
        <w:spacing w:after="0" w:line="312"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The rights attached to any class or series of shares (unless otherwise provided by the terms of issue of the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8" w:lineRule="exact"/>
        <w:rPr>
          <w:sz w:val="20"/>
          <w:szCs w:val="20"/>
          <w:color w:val="auto"/>
        </w:rPr>
      </w:pPr>
    </w:p>
    <w:p>
      <w:pPr>
        <w:ind w:right="40" w:firstLine="913"/>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to 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29" w:lineRule="exact"/>
        <w:rPr>
          <w:sz w:val="20"/>
          <w:szCs w:val="20"/>
          <w:color w:val="auto"/>
        </w:rPr>
      </w:pPr>
    </w:p>
    <w:p>
      <w:pPr>
        <w:ind w:left="1480" w:hanging="446"/>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i w:val="1"/>
          <w:iCs w:val="1"/>
          <w:color w:val="auto"/>
        </w:rPr>
        <w:t xml:space="preserve">Inspection of Books and Records. </w:t>
      </w:r>
      <w:r>
        <w:rPr>
          <w:rFonts w:ascii="Arial" w:cs="Arial" w:eastAsia="Arial" w:hAnsi="Arial"/>
          <w:sz w:val="17"/>
          <w:szCs w:val="17"/>
          <w:color w:val="auto"/>
        </w:rPr>
        <w:t>Holders of our ordinary shares will have no general right under Cayman Islands law to inspect or obtain copies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list of shareholders or our corporate records. However, we will provide our shareholders with annual audited financial statements.</w:t>
      </w:r>
    </w:p>
    <w:p>
      <w:pPr>
        <w:spacing w:after="0" w:line="147"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i w:val="1"/>
          <w:iCs w:val="1"/>
          <w:color w:val="auto"/>
        </w:rPr>
        <w:t>Anti-Takeover Provisions</w:t>
      </w:r>
      <w:r>
        <w:rPr>
          <w:rFonts w:ascii="Arial" w:cs="Arial" w:eastAsia="Arial" w:hAnsi="Arial"/>
          <w:sz w:val="17"/>
          <w:szCs w:val="17"/>
          <w:color w:val="auto"/>
        </w:rPr>
        <w:t>. Some provisions of our post-offering amended and restated memorandum and articles of association may discourage,</w:t>
      </w:r>
      <w:r>
        <w:rPr>
          <w:rFonts w:ascii="Arial" w:cs="Arial" w:eastAsia="Arial" w:hAnsi="Arial"/>
          <w:sz w:val="17"/>
          <w:szCs w:val="17"/>
          <w:i w:val="1"/>
          <w:iCs w:val="1"/>
          <w:color w:val="auto"/>
        </w:rPr>
        <w:t xml:space="preserve"> </w:t>
      </w:r>
      <w:r>
        <w:rPr>
          <w:rFonts w:ascii="Arial" w:cs="Arial" w:eastAsia="Arial" w:hAnsi="Arial"/>
          <w:sz w:val="17"/>
          <w:szCs w:val="17"/>
          <w:color w:val="auto"/>
        </w:rPr>
        <w:t>delay or prevent a change of control of our company or management that shareholders may consider favorable, including provisions that:</w:t>
      </w:r>
    </w:p>
    <w:p>
      <w:pPr>
        <w:spacing w:after="0" w:line="52" w:lineRule="exact"/>
        <w:rPr>
          <w:sz w:val="20"/>
          <w:szCs w:val="20"/>
          <w:color w:val="auto"/>
        </w:rPr>
      </w:pPr>
    </w:p>
    <w:p>
      <w:pPr>
        <w:ind w:left="1480" w:right="120" w:hanging="446"/>
        <w:spacing w:after="0" w:line="308" w:lineRule="auto"/>
        <w:tabs>
          <w:tab w:leader="none" w:pos="14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i w:val="1"/>
          <w:iCs w:val="1"/>
          <w:color w:val="auto"/>
        </w:rPr>
        <w:t>General Meetings of Shareholders and Shareholder Proposals</w:t>
      </w:r>
      <w:r>
        <w:rPr>
          <w:rFonts w:ascii="Arial" w:cs="Arial" w:eastAsia="Arial" w:hAnsi="Arial"/>
          <w:sz w:val="18"/>
          <w:szCs w:val="18"/>
          <w:color w:val="auto"/>
        </w:rPr>
        <w:t>. Our shareholders’ general meetings may be held in such place within or outside</w:t>
      </w:r>
      <w:r>
        <w:rPr>
          <w:rFonts w:ascii="Arial" w:cs="Arial" w:eastAsia="Arial" w:hAnsi="Arial"/>
          <w:sz w:val="18"/>
          <w:szCs w:val="18"/>
          <w:i w:val="1"/>
          <w:iCs w:val="1"/>
          <w:color w:val="auto"/>
        </w:rPr>
        <w:t xml:space="preserve"> </w:t>
      </w:r>
      <w:r>
        <w:rPr>
          <w:rFonts w:ascii="Arial" w:cs="Arial" w:eastAsia="Arial" w:hAnsi="Arial"/>
          <w:sz w:val="18"/>
          <w:szCs w:val="18"/>
          <w:color w:val="auto"/>
        </w:rPr>
        <w:t>the Cayman Islands as our board of directors considers appropriate.</w:t>
      </w:r>
    </w:p>
    <w:p>
      <w:pPr>
        <w:spacing w:after="0" w:line="170"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2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7"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480" w:hanging="446"/>
        <w:spacing w:after="0"/>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right="6500" w:firstLine="1034"/>
        <w:spacing w:after="0" w:line="501" w:lineRule="auto"/>
        <w:tabs>
          <w:tab w:leader="none" w:pos="1472"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may register as a segregated portfolio company. C. </w:t>
      </w:r>
      <w:r>
        <w:rPr>
          <w:rFonts w:ascii="Arial" w:cs="Arial" w:eastAsia="Arial" w:hAnsi="Arial"/>
          <w:sz w:val="18"/>
          <w:szCs w:val="18"/>
          <w:u w:val="single" w:color="auto"/>
          <w:color w:val="auto"/>
        </w:rPr>
        <w:t>Material Contracts</w:t>
      </w:r>
    </w:p>
    <w:p>
      <w:pPr>
        <w:ind w:right="380" w:firstLine="913"/>
        <w:spacing w:after="0" w:line="264"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“Item 7. Major Shareholders and Related Party Transactions—B. Related Party Transactions,” in this “Item 10. Additional Information—C. Material Contracts” or elsewhere in this annual report.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Exchange Controls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See “Item 4. Information on the Company—B. Business Overview—Regulation—Foreign Currency Exchange” and “—Dividend Distribution.”</w:t>
      </w:r>
    </w:p>
    <w:p>
      <w:pPr>
        <w:spacing w:after="0" w:line="356" w:lineRule="exact"/>
        <w:rPr>
          <w:sz w:val="20"/>
          <w:szCs w:val="20"/>
          <w:color w:val="auto"/>
        </w:rPr>
      </w:pPr>
    </w:p>
    <w:p>
      <w:pPr>
        <w:ind w:left="200" w:hanging="192"/>
        <w:spacing w:after="0"/>
        <w:tabs>
          <w:tab w:leader="none" w:pos="20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Taxation</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following summary of the material Cayman Islands, Hong Kong, the PRC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United States state or local tax laws, or tax laws of jurisdictions other than the Cayman Islands, Hong Kong, the PRC and the United States.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right="260" w:firstLine="913"/>
        <w:spacing w:after="0" w:line="276" w:lineRule="auto"/>
        <w:rPr>
          <w:sz w:val="20"/>
          <w:szCs w:val="20"/>
          <w:color w:val="auto"/>
        </w:rPr>
      </w:pPr>
      <w:r>
        <w:rPr>
          <w:rFonts w:ascii="Arial" w:cs="Arial" w:eastAsia="Arial" w:hAnsi="Arial"/>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w:t>
      </w:r>
    </w:p>
    <w:p>
      <w:pPr>
        <w:spacing w:after="0" w:line="7" w:lineRule="exact"/>
        <w:rPr>
          <w:sz w:val="20"/>
          <w:szCs w:val="20"/>
          <w:color w:val="auto"/>
        </w:rPr>
      </w:pPr>
    </w:p>
    <w:p>
      <w:pPr>
        <w:ind w:right="420" w:firstLine="8"/>
        <w:spacing w:after="0" w:line="254" w:lineRule="auto"/>
        <w:tabs>
          <w:tab w:leader="none" w:pos="21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90"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 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2"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jc w:val="both"/>
        <w:ind w:right="440" w:firstLine="913"/>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jc w:val="both"/>
        <w:ind w:right="460" w:firstLine="913"/>
        <w:spacing w:after="0" w:line="264"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2" w:lineRule="exact"/>
        <w:rPr>
          <w:sz w:val="20"/>
          <w:szCs w:val="20"/>
          <w:color w:val="auto"/>
        </w:rPr>
      </w:pPr>
    </w:p>
    <w:p>
      <w:pPr>
        <w:jc w:val="both"/>
        <w:ind w:right="140" w:firstLine="913"/>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0" w:firstLine="913"/>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87" w:lineRule="exact"/>
        <w:rPr>
          <w:sz w:val="20"/>
          <w:szCs w:val="20"/>
          <w:color w:val="auto"/>
        </w:rPr>
      </w:pPr>
    </w:p>
    <w:p>
      <w:pPr>
        <w:ind w:left="1480" w:hanging="446"/>
        <w:spacing w:after="0" w:line="264"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we were not, in the year prior to the year in which the dividend was paid, and are not, in the year in which the dividend is paid, a PFIC.</w:t>
      </w:r>
    </w:p>
    <w:p>
      <w:pPr>
        <w:spacing w:after="0" w:line="24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ADSs will be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2017 taxable year. In addition, based on our audited financial statements and our current expectations regarding the value and nature of our assets, the sources and nature of our income, and our market capitalization,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7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In the event that we are deemed to be a PRC resident enterprise under the PRC Enterprise Income Tax Law (see “Item 10. Additional Information —E.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7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Deposits and withdrawals of ordinary shares by U.S. Holders in exchange for ADSs will not result in the realization of gain or loss for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purposes.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Special U.S. tax rules apply to companies that are considered to be PFICs. We will be classified as a PFIC in a particular taxable year if either</w:t>
      </w:r>
    </w:p>
    <w:p>
      <w:pPr>
        <w:spacing w:after="0" w:line="154" w:lineRule="exact"/>
        <w:rPr>
          <w:sz w:val="20"/>
          <w:szCs w:val="20"/>
          <w:color w:val="auto"/>
        </w:rPr>
      </w:pPr>
    </w:p>
    <w:p>
      <w:pPr>
        <w:ind w:left="1480" w:hanging="446"/>
        <w:spacing w:after="0"/>
        <w:tabs>
          <w:tab w:leader="none" w:pos="14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130" w:lineRule="exact"/>
        <w:rPr>
          <w:rFonts w:ascii="Arial" w:cs="Arial" w:eastAsia="Arial" w:hAnsi="Arial"/>
          <w:sz w:val="18"/>
          <w:szCs w:val="18"/>
          <w:color w:val="auto"/>
        </w:rPr>
      </w:pPr>
    </w:p>
    <w:p>
      <w:pPr>
        <w:ind w:left="1480" w:right="220" w:hanging="446"/>
        <w:spacing w:after="0" w:line="302" w:lineRule="auto"/>
        <w:tabs>
          <w:tab w:leader="none" w:pos="14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jc w:val="both"/>
        <w:ind w:right="140" w:firstLine="913"/>
        <w:spacing w:after="0" w:line="312"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7" w:lineRule="exact"/>
        <w:rPr>
          <w:sz w:val="20"/>
          <w:szCs w:val="20"/>
          <w:color w:val="auto"/>
        </w:rPr>
      </w:pPr>
    </w:p>
    <w:p>
      <w:pPr>
        <w:jc w:val="both"/>
        <w:ind w:right="160" w:firstLine="913"/>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73"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Dividends and Paying Agents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Statement by Experts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Documents on Display</w:t>
      </w:r>
    </w:p>
    <w:p>
      <w:pPr>
        <w:spacing w:after="0" w:line="117"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16"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will furnish JPMorgan Chase 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Subsidiary Information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280" w:firstLine="913"/>
        <w:spacing w:after="0" w:line="308" w:lineRule="auto"/>
        <w:rPr>
          <w:sz w:val="20"/>
          <w:szCs w:val="20"/>
          <w:color w:val="auto"/>
        </w:rPr>
      </w:pPr>
      <w:r>
        <w:rPr>
          <w:rFonts w:ascii="Arial" w:cs="Arial" w:eastAsia="Arial" w:hAnsi="Arial"/>
          <w:sz w:val="17"/>
          <w:szCs w:val="17"/>
          <w:color w:val="auto"/>
        </w:rPr>
        <w:t>Since our inception, inflation in China has not materially impacted our results of operations. According to the National Bureau of Statistics of China, inflation as measured by the consumer price index in China was 1.4%, 2.0% and 1.6% in 2015, 2016 and 2017,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19"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 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0" w:firstLine="913"/>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As of December 31, 2017, we had Renminbi-denominated cash and cash equivalents, accounts receivable, prepaid cost and deferred revenue of RMB50.6 million, RMB233.9 million, RMB248.5 million and RMB204.7 million, respectively. We estimate that a 10% depreciation of Renminbi against the U.S. dollar based on the foreign exchange rate on December 31, 2017 would result in a change of our holding U.S. dollar equivalents of US$(0.7) million, US$(3.2) million, US$(3.4) million and US$2.8 million for cash and cash equivalents, accounts receivable, prepaid cost and deferred revenue, respectively.</w:t>
      </w:r>
    </w:p>
    <w:p>
      <w:pPr>
        <w:spacing w:after="0" w:line="154"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addition, we estimate that a 10% depreciation of Renminbi against the U.S. dollar based on the foreign exchange rate on December 31, 2015 would result in a decrease of US$3.1 million and US$1.9 million in our net revenues and cost of revenues in 2015, respectively, a 10% depreciation of Renminbi against the U.S. dollar based on the foreign exchange rate on December 31, 2016 would result in a decrease of US$6.7 million and US$5.3 million in our net revenues and cost of revenues in 2016, respectively, and a 10% depreciation of Renminbi against the U.S. dollar based on the foreign exchange rate on December 31, 2017 would result in a decrease of US$10.4 million and US$9.4 million in our net revenues and cost of revenues in 2017, respectively.</w:t>
      </w:r>
    </w:p>
    <w:p>
      <w:pPr>
        <w:spacing w:after="0" w:line="15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December 31, 2017 was at floating rates.</w:t>
      </w:r>
    </w:p>
    <w:p>
      <w:pPr>
        <w:spacing w:after="0" w:line="166" w:lineRule="exact"/>
        <w:rPr>
          <w:sz w:val="20"/>
          <w:szCs w:val="20"/>
          <w:color w:val="auto"/>
        </w:rPr>
      </w:pPr>
    </w:p>
    <w:p>
      <w:pPr>
        <w:ind w:right="260" w:firstLine="913"/>
        <w:spacing w:after="0" w:line="276" w:lineRule="auto"/>
        <w:rPr>
          <w:sz w:val="20"/>
          <w:szCs w:val="20"/>
          <w:color w:val="auto"/>
        </w:rPr>
      </w:pPr>
      <w:r>
        <w:rPr>
          <w:rFonts w:ascii="Arial" w:cs="Arial" w:eastAsia="Arial" w:hAnsi="Arial"/>
          <w:sz w:val="17"/>
          <w:szCs w:val="17"/>
          <w:color w:val="auto"/>
        </w:rPr>
        <w:t>As of December 31, 2017, if interest rates increased/decreased by 1%, with all other variables having remained constant, and assuming the amount of bank borrowings outstanding at the end of the year was outstanding for the entire year, our net loss would have been US$104,864 higher/lower, respectively. As of December 31, 2016, if interest rates increased/decreased by 1%, with all other variables having remained constant, and assuming the amount of bank borrowings outstanding at the end of the year was outstanding for the entire year, our net loss would have been US$129,818 higher/lower, respectively. These were mainly as a result of higher/lower interest expense for our bank borrowings at floating rates.</w:t>
      </w:r>
    </w:p>
    <w:p>
      <w:pPr>
        <w:spacing w:after="0" w:line="3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Debt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Warrants and Rights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Other Securities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American Depositary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12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78" w:lineRule="exact"/>
        <w:rPr>
          <w:sz w:val="20"/>
          <w:szCs w:val="20"/>
          <w:color w:val="auto"/>
        </w:rPr>
      </w:pPr>
    </w:p>
    <w:p>
      <w:pPr>
        <w:ind w:right="200" w:firstLine="913"/>
        <w:spacing w:after="0" w:line="264"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87" w:lineRule="exact"/>
        <w:rPr>
          <w:sz w:val="20"/>
          <w:szCs w:val="20"/>
          <w:color w:val="auto"/>
        </w:rPr>
      </w:pPr>
    </w:p>
    <w:p>
      <w:pPr>
        <w:ind w:left="1480" w:hanging="446"/>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130" w:lineRule="exact"/>
        <w:rPr>
          <w:rFonts w:ascii="Arial" w:cs="Arial" w:eastAsia="Arial" w:hAnsi="Arial"/>
          <w:sz w:val="18"/>
          <w:szCs w:val="18"/>
          <w:color w:val="auto"/>
        </w:rPr>
      </w:pPr>
    </w:p>
    <w:p>
      <w:pPr>
        <w:ind w:left="1480" w:right="20" w:hanging="446"/>
        <w:spacing w:after="0" w:line="259"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92" w:lineRule="exact"/>
        <w:rPr>
          <w:rFonts w:ascii="Arial" w:cs="Arial" w:eastAsia="Arial" w:hAnsi="Arial"/>
          <w:sz w:val="18"/>
          <w:szCs w:val="18"/>
          <w:color w:val="auto"/>
        </w:rPr>
      </w:pPr>
    </w:p>
    <w:p>
      <w:pPr>
        <w:ind w:left="1480" w:right="40" w:hanging="446"/>
        <w:spacing w:after="0" w:line="254"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97" w:lineRule="exact"/>
        <w:rPr>
          <w:rFonts w:ascii="Arial" w:cs="Arial" w:eastAsia="Arial" w:hAnsi="Arial"/>
          <w:sz w:val="18"/>
          <w:szCs w:val="18"/>
          <w:color w:val="auto"/>
        </w:rPr>
      </w:pPr>
    </w:p>
    <w:p>
      <w:pPr>
        <w:ind w:left="1480" w:hanging="446"/>
        <w:spacing w:after="0" w:line="259"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92" w:lineRule="exact"/>
        <w:rPr>
          <w:rFonts w:ascii="Arial" w:cs="Arial" w:eastAsia="Arial" w:hAnsi="Arial"/>
          <w:sz w:val="18"/>
          <w:szCs w:val="18"/>
          <w:color w:val="auto"/>
        </w:rPr>
      </w:pPr>
    </w:p>
    <w:p>
      <w:pPr>
        <w:ind w:left="1480" w:hanging="446"/>
        <w:spacing w:after="0"/>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40" w:hanging="446"/>
        <w:spacing w:after="0" w:line="277" w:lineRule="auto"/>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75" w:lineRule="exact"/>
        <w:rPr>
          <w:rFonts w:ascii="Arial" w:cs="Arial" w:eastAsia="Arial" w:hAnsi="Arial"/>
          <w:sz w:val="18"/>
          <w:szCs w:val="18"/>
          <w:color w:val="auto"/>
        </w:rPr>
      </w:pPr>
    </w:p>
    <w:p>
      <w:pPr>
        <w:ind w:left="1480" w:right="60" w:hanging="446"/>
        <w:spacing w:after="0" w:line="264" w:lineRule="auto"/>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JPMorgan and/or its agent may act as principal for such conversion of foreign currency.</w:t>
      </w:r>
    </w:p>
    <w:p>
      <w:pPr>
        <w:spacing w:after="0" w:line="225"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12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 For the year ended December 31, 2017, we did not receive such reimbursement from the depositary.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 </w:t>
      </w:r>
      <w:r>
        <w:rPr>
          <w:rFonts w:ascii="Arial" w:cs="Arial" w:eastAsia="Arial" w:hAnsi="Arial"/>
          <w:sz w:val="18"/>
          <w:szCs w:val="18"/>
          <w:u w:val="single" w:color="auto"/>
          <w:color w:val="auto"/>
        </w:rPr>
        <w:t>Material Modifications to the Rights of Security Holders</w:t>
      </w:r>
    </w:p>
    <w:p>
      <w:pPr>
        <w:spacing w:after="0" w:line="11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See “Item 10. Additional Information—B. Memorandum and Articles of Association—Ordinary Shares” for a description of the rights of securities holders, which remain unchanged.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Use of Proceeds</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following “Use of Proceeds” information relates to the registration statement on Form F-1, as amended (File Number 333-221034 ) (the “F-1 Registration Statement”) in relation to our initial public offering of 3,750,000 ADSs representing 1,875,000 Class A ordinary shares, at an initial offering price of US$8.00 per ADS. Our initial public offering closed in December 2017. Roth Capital Partners, LLC was the representative of the underwriters for our initial public offering.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F-1 Registration Statement was declared effective by the SEC on December 21, 2017. For the period from the effective date of the F-1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to December 21, 2017. The total expenses incurred for our company’s account in connection with our initial public offering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underwriters’ exercise of over-allotment option was approximately US$7.0 million, which included US$2.2 million in underwriting discounts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commissions for the initial public offering and approximately US$4.8 million in other costs and expenses. We received net proceeds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US$23.0 million from our initial public offering and underwriters’ exercise of over-allotment option. None of the transaction expenses included payments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directors or officers of our company or their associates, persons owning more than 10% or more of our equity securities or our affiliates. None of the net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initial public offering or the underwriters’ exercise of over-allotment option were paid, directly or indirectly, to any of our directors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officers or their associates, persons owning 10% or more of our equity securities or our affiliates.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For the period from December 21, 2017, the date that the Form F-1 was declared effective by the SEC, to December 31, 2017, we had not used the net proceeds from our initial public offering.</w:t>
      </w:r>
    </w:p>
    <w:p>
      <w:pPr>
        <w:spacing w:after="0" w:line="170"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We intend to use the proceeds from our initial public offering and the underwriters’ exercise of over-allotment option, as disclosed in our registration statements on Form F-1, for</w:t>
      </w:r>
    </w:p>
    <w:p>
      <w:pPr>
        <w:spacing w:after="0" w:line="76" w:lineRule="exact"/>
        <w:rPr>
          <w:sz w:val="20"/>
          <w:szCs w:val="20"/>
          <w:color w:val="auto"/>
        </w:rPr>
      </w:pPr>
    </w:p>
    <w:p>
      <w:pPr>
        <w:ind w:left="900" w:right="22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approximately US$11.0 million of the net proceeds for research and development and expansion of our suite of solutions and service offerings;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approximately US$5.0 million of the net proceeds for sales and marketing.</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260" w:firstLine="913"/>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as of December 31, 2017. Based upon that evaluation, our management, with the participation of our chief executive officer and chief financial officer, has concluded that, as of the end of the period covered by this annual report,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by our independent registered public accounting firm due to a transition period established by rules of the SEC for newly listed public companies. See “Item 3. Key Information—D. Risk Factors—Risks Related to Our Business —If we fail to implement and maintain an effective system of internal controls, we may be unable to accurately report our results of operations, meet our reporting obligations or prevent fraud. Investor confidence and market price of our ADSs may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12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Since we are an “emerging growth company” as defined under the JOBS Act, our independent registered public accounting firm has not conducted an audit of our internal control over financial reporting as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Prior to our initial public offering, we were a private company with limited accounting personnel and other resources with which to address our internal control and procedures over financial reporting. In the course of auditing our consolidated financial statements for the year ended December 31, 2017, we and our independent registered public accounting firm identified two material weaknesses in our internal control over financial reporting, as well as other control deficiencies. As defined in the standards established by the PCAOB, a “material weakness” is a deficiency, or combination of deficiencies, in internal control over financial reporting, such that there is a reasonable possibility that a material misstatement of our company’s annual or interim financial statements will not be prevented or detected on a timely basis.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To remedy our identified material weaknesses, we have adopted a few measures to improve our internal control over financial reporting. In particular, we are in the process of hiring additional accounting staff with an appropriate understanding of U.S. GAAP and SEC reporting requirements. We also plan to establish a comprehensive accounting policies and procedures manual and provide internal training to accounting and operation staff in relation to these policies and procedures.</w:t>
      </w:r>
    </w:p>
    <w:p>
      <w:pPr>
        <w:spacing w:after="0" w:line="187" w:lineRule="exact"/>
        <w:rPr>
          <w:sz w:val="20"/>
          <w:szCs w:val="20"/>
          <w:color w:val="auto"/>
        </w:rPr>
      </w:pPr>
    </w:p>
    <w:p>
      <w:pPr>
        <w:ind w:right="60" w:firstLine="913"/>
        <w:spacing w:after="0" w:line="308" w:lineRule="auto"/>
        <w:rPr>
          <w:sz w:val="20"/>
          <w:szCs w:val="20"/>
          <w:color w:val="auto"/>
        </w:rPr>
      </w:pPr>
      <w:r>
        <w:rPr>
          <w:rFonts w:ascii="Arial" w:cs="Arial" w:eastAsia="Arial" w:hAnsi="Arial"/>
          <w:sz w:val="17"/>
          <w:szCs w:val="17"/>
          <w:color w:val="auto"/>
        </w:rPr>
        <w:t>Other than as described above, there were no changes in our internal controls over financial reporting that occurred during the period covered by this annual report that have materially affected, or are reasonably likely to materially affect, our internal control over financial reporting.</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Our board of directors has determined that Honnus Cheung, an independent director, is our audit committee financial expert. Honnus Cheung satisfies the independent requirements of the Rule 5605(c)(2) of the Listing Rules of the NASDAQ Stock Market and meet the independence standards under Rule 10A-3 under the Exchange Act.</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16B.</w:t>
        <w:tab/>
        <w:t>CODE OF ETHICS</w:t>
      </w:r>
    </w:p>
    <w:p>
      <w:pPr>
        <w:spacing w:after="0" w:line="121"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Our board of directors adopted a code of business conduct and ethics that applies to our directors, officers and employees in December 2017. We have posted a copy of our code of business conduct and ethics on our website at http://ir.i-click.com.</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jc w:val="both"/>
        <w:ind w:right="440" w:firstLine="913"/>
        <w:spacing w:after="0" w:line="264"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PricewaterhouseCoopers, our independent registered public accounting firm, for the periods indicated. We did not pay any other fees to our independent registered public accounting firm during the periods indicated below.</w:t>
      </w:r>
    </w:p>
    <w:p>
      <w:pPr>
        <w:spacing w:after="0" w:line="200" w:lineRule="exact"/>
        <w:rPr>
          <w:sz w:val="20"/>
          <w:szCs w:val="20"/>
          <w:color w:val="auto"/>
        </w:rPr>
      </w:pPr>
    </w:p>
    <w:p>
      <w:pPr>
        <w:ind w:left="8920"/>
        <w:spacing w:after="0"/>
        <w:tabs>
          <w:tab w:leader="none" w:pos="96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6350</wp:posOffset>
            </wp:positionV>
            <wp:extent cx="6946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jc w:val="center"/>
        <w:ind w:left="7480"/>
        <w:spacing w:after="0"/>
        <w:rPr>
          <w:sz w:val="20"/>
          <w:szCs w:val="20"/>
          <w:color w:val="auto"/>
        </w:rPr>
      </w:pPr>
      <w:r>
        <w:rPr>
          <w:rFonts w:ascii="Arial" w:cs="Arial" w:eastAsia="Arial" w:hAnsi="Arial"/>
          <w:sz w:val="14"/>
          <w:szCs w:val="14"/>
          <w:b w:val="1"/>
          <w:bCs w:val="1"/>
          <w:color w:val="auto"/>
        </w:rPr>
        <w:t>(US$)</w:t>
      </w:r>
    </w:p>
    <w:p>
      <w:pPr>
        <w:jc w:val="center"/>
        <w:ind w:left="7480"/>
        <w:spacing w:after="0" w:line="229" w:lineRule="auto"/>
        <w:rPr>
          <w:sz w:val="20"/>
          <w:szCs w:val="20"/>
          <w:color w:val="auto"/>
        </w:rPr>
      </w:pPr>
      <w:r>
        <w:rPr>
          <w:rFonts w:ascii="Arial" w:cs="Arial" w:eastAsia="Arial" w:hAnsi="Arial"/>
          <w:sz w:val="14"/>
          <w:szCs w:val="14"/>
          <w:b w:val="1"/>
          <w:bCs w:val="1"/>
          <w:color w:val="auto"/>
        </w:rPr>
        <w:t>(in thousands)</w:t>
      </w:r>
    </w:p>
    <w:tbl>
      <w:tblPr>
        <w:tblLayout w:type="fixed"/>
        <w:tblInd w:w="1380" w:type="dxa"/>
        <w:tblCellMar>
          <w:top w:w="0" w:type="dxa"/>
          <w:left w:w="0" w:type="dxa"/>
          <w:bottom w:w="0" w:type="dxa"/>
          <w:right w:w="0" w:type="dxa"/>
        </w:tblCellMar>
      </w:tblPr>
      <w:tr>
        <w:trPr>
          <w:trHeight w:val="217"/>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7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(2)</w:t>
            </w:r>
          </w:p>
        </w:tc>
        <w:tc>
          <w:tcPr>
            <w:tcW w:w="3780" w:type="dxa"/>
            <w:vAlign w:val="bottom"/>
          </w:tcPr>
          <w:p>
            <w:pPr>
              <w:jc w:val="right"/>
              <w:ind w:right="90"/>
              <w:spacing w:after="0"/>
              <w:rPr>
                <w:sz w:val="20"/>
                <w:szCs w:val="20"/>
                <w:color w:val="auto"/>
              </w:rPr>
            </w:pPr>
            <w:r>
              <w:rPr>
                <w:rFonts w:ascii="Arial" w:cs="Arial" w:eastAsia="Arial" w:hAnsi="Arial"/>
                <w:sz w:val="18"/>
                <w:szCs w:val="18"/>
                <w:color w:val="auto"/>
              </w:rPr>
              <w:t>17</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0" w:hanging="452"/>
        <w:spacing w:after="0" w:line="274" w:lineRule="auto"/>
        <w:tabs>
          <w:tab w:leader="none" w:pos="4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“Audit fees” means the aggregate fees billed for professional services rendered by our principal auditors for the audit of our annual financial statements and the review of our comparative interim financial statements, including audit fees relating to our initial public offering in 2017.</w:t>
      </w: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“Tax fees” include fees billed for tax compliance and tax consultations.</w:t>
      </w:r>
    </w:p>
    <w:p>
      <w:pPr>
        <w:spacing w:after="0" w:line="21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The policy of our audit committee is to pre-approve all audit and other service provided by PricewaterhouseCoopers as described above, other than those for de minimis services which are approved by the Audit Committee prior to the completion of the audit.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16D.</w:t>
        <w:tab/>
        <w:t>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16F.</w:t>
        <w:tab/>
        <w:t>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12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94" w:lineRule="exact"/>
        <w:rPr>
          <w:sz w:val="20"/>
          <w:szCs w:val="20"/>
          <w:color w:val="auto"/>
        </w:rPr>
      </w:pPr>
    </w:p>
    <w:p>
      <w:pPr>
        <w:ind w:left="1480" w:hanging="446"/>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only independent directors being involved in the selection of director nominees and determination of executive officer compensation;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 See “Item 3. Key Information — D. Risk Factors —Risk Factors—Risks Related to Our ADSs—We are a foreign private issuer within the meaning of the rules under the Exchange Act, and as such we are exempt from certain provisions applicable to U.S. domestic public companies.”</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16H.</w:t>
        <w:tab/>
        <w:t>MINE SAFETY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pages beginning on page F-1 in this annual report.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10460" w:type="dxa"/>
            <w:vAlign w:val="bottom"/>
            <w:gridSpan w:val="28"/>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80" w:type="dxa"/>
            <w:vAlign w:val="bottom"/>
            <w:gridSpan w:val="23"/>
            <w:vMerge w:val="restart"/>
          </w:tcPr>
          <w:p>
            <w:pPr>
              <w:ind w:left="13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180" w:type="dxa"/>
            <w:vAlign w:val="bottom"/>
            <w:tcBorders>
              <w:bottom w:val="single" w:sz="8" w:color="auto"/>
            </w:tcBorders>
            <w:gridSpan w:val="2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160" w:type="dxa"/>
            <w:vAlign w:val="bottom"/>
            <w:gridSpan w:val="27"/>
          </w:tcPr>
          <w:p>
            <w:pPr>
              <w:spacing w:after="0"/>
              <w:rPr>
                <w:rFonts w:ascii="Arial" w:cs="Arial" w:eastAsia="Arial" w:hAnsi="Arial"/>
                <w:sz w:val="18"/>
                <w:szCs w:val="18"/>
                <w:color w:val="0000EE"/>
                <w:w w:val="92"/>
              </w:rPr>
            </w:pPr>
            <w:hyperlink r:id="rId164">
              <w:r>
                <w:rPr>
                  <w:rFonts w:ascii="Arial" w:cs="Arial" w:eastAsia="Arial" w:hAnsi="Arial"/>
                  <w:sz w:val="18"/>
                  <w:szCs w:val="18"/>
                  <w:color w:val="0000EE"/>
                  <w:w w:val="92"/>
                </w:rPr>
                <w:t>Eighth Amended and Restated Memorandum and Articles of Association, as currently in effect (incorporated by reference to Exhibit 3.2 of</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r:id="rId164">
              <w:r>
                <w:rPr>
                  <w:rFonts w:ascii="Arial" w:cs="Arial" w:eastAsia="Arial" w:hAnsi="Arial"/>
                  <w:sz w:val="18"/>
                  <w:szCs w:val="18"/>
                  <w:color w:val="0000EE"/>
                  <w:w w:val="91"/>
                </w:rPr>
                <w:t>our Registration Statement on Form F-1 (File No. 333-221034) filed with the Securities and Exchange Commission on October 20, 2017)</w:t>
              </w:r>
            </w:hyperlink>
          </w:p>
        </w:tc>
        <w:tc>
          <w:tcPr>
            <w:tcW w:w="100" w:type="dxa"/>
            <w:vAlign w:val="bottom"/>
            <w:tcBorders>
              <w:top w:val="single" w:sz="8" w:color="0000EE"/>
            </w:tcBorders>
            <w:gridSpan w:val="2"/>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20" w:type="dxa"/>
            <w:vAlign w:val="bottom"/>
            <w:tcBorders>
              <w:bottom w:val="single" w:sz="8" w:color="0000EE"/>
            </w:tcBorders>
            <w:gridSpan w:val="6"/>
          </w:tcPr>
          <w:p>
            <w:pPr>
              <w:spacing w:after="0"/>
              <w:rPr>
                <w:rFonts w:ascii="Arial" w:cs="Arial" w:eastAsia="Arial" w:hAnsi="Arial"/>
                <w:sz w:val="18"/>
                <w:szCs w:val="18"/>
                <w:color w:val="0000EE"/>
                <w:w w:val="91"/>
              </w:rPr>
            </w:pPr>
            <w:hyperlink r:id="rId165">
              <w:r>
                <w:rPr>
                  <w:rFonts w:ascii="Arial" w:cs="Arial" w:eastAsia="Arial" w:hAnsi="Arial"/>
                  <w:sz w:val="18"/>
                  <w:szCs w:val="18"/>
                  <w:color w:val="0000EE"/>
                  <w:w w:val="91"/>
                </w:rPr>
                <w:t>Registrant’s Specimen American Depositary Receipt (included in Exhibit 2.3)</w:t>
              </w:r>
            </w:hyperlink>
          </w:p>
        </w:tc>
        <w:tc>
          <w:tcPr>
            <w:tcW w:w="454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3"/>
              </w:rPr>
            </w:pPr>
            <w:hyperlink r:id="rId166">
              <w:r>
                <w:rPr>
                  <w:rFonts w:ascii="Arial" w:cs="Arial" w:eastAsia="Arial" w:hAnsi="Arial"/>
                  <w:sz w:val="18"/>
                  <w:szCs w:val="18"/>
                  <w:color w:val="0000EE"/>
                  <w:w w:val="93"/>
                </w:rPr>
                <w:t>Registrant’s Specimen Certificate for Class A Ordinary Shares (incorporated by reference to Exhibit 4.2 of our Registration Statement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66">
              <w:r>
                <w:rPr>
                  <w:rFonts w:ascii="Arial" w:cs="Arial" w:eastAsia="Arial" w:hAnsi="Arial"/>
                  <w:sz w:val="18"/>
                  <w:szCs w:val="18"/>
                  <w:color w:val="0000EE"/>
                </w:rPr>
                <w:t>Form F-1 (file No. 333-221034) filed with the Securities and Exchange Commission on October 20, 2017)</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Form of Deposit Agreement among the Registrant, the depositary and holder of the American Depositary Receipts (incorporated by</w:t>
              </w:r>
            </w:hyperlink>
          </w:p>
        </w:tc>
        <w:tc>
          <w:tcPr>
            <w:tcW w:w="6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65">
              <w:r>
                <w:rPr>
                  <w:rFonts w:ascii="Arial" w:cs="Arial" w:eastAsia="Arial" w:hAnsi="Arial"/>
                  <w:sz w:val="18"/>
                  <w:szCs w:val="18"/>
                  <w:color w:val="0000EE"/>
                  <w:w w:val="91"/>
                </w:rPr>
                <w:t>reference to Exhibit 4.3 of our Registration Statement on Form F-1/A (file No. 333-221034) filed with the Securities and Exchange</w:t>
              </w:r>
            </w:hyperlink>
          </w:p>
        </w:tc>
        <w:tc>
          <w:tcPr>
            <w:tcW w:w="7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Commission on December 1, 2017)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00" w:type="dxa"/>
            <w:vAlign w:val="bottom"/>
            <w:tcBorders>
              <w:bottom w:val="single" w:sz="8" w:color="0000EE"/>
            </w:tcBorders>
            <w:gridSpan w:val="26"/>
          </w:tcPr>
          <w:p>
            <w:pPr>
              <w:spacing w:after="0"/>
              <w:rPr>
                <w:rFonts w:ascii="Arial" w:cs="Arial" w:eastAsia="Arial" w:hAnsi="Arial"/>
                <w:sz w:val="18"/>
                <w:szCs w:val="18"/>
                <w:color w:val="0000EE"/>
                <w:w w:val="90"/>
              </w:rPr>
            </w:pPr>
            <w:hyperlink r:id="rId167">
              <w:r>
                <w:rPr>
                  <w:rFonts w:ascii="Arial" w:cs="Arial" w:eastAsia="Arial" w:hAnsi="Arial"/>
                  <w:sz w:val="18"/>
                  <w:szCs w:val="18"/>
                  <w:color w:val="0000EE"/>
                  <w:w w:val="90"/>
                </w:rPr>
                <w:t>Series E Share Subscription Agreement dated December 19, 2016 (incorporated herein by reference to Exhibit 10.1 to the Form F-1 filed on</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October 20, 2017 (File No. 333-221034))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00" w:type="dxa"/>
            <w:vAlign w:val="bottom"/>
            <w:tcBorders>
              <w:bottom w:val="single" w:sz="8" w:color="0000EE"/>
            </w:tcBorders>
            <w:gridSpan w:val="11"/>
          </w:tcPr>
          <w:p>
            <w:pPr>
              <w:spacing w:after="0"/>
              <w:rPr>
                <w:rFonts w:ascii="Arial" w:cs="Arial" w:eastAsia="Arial" w:hAnsi="Arial"/>
                <w:sz w:val="18"/>
                <w:szCs w:val="18"/>
                <w:color w:val="0000EE"/>
                <w:w w:val="89"/>
              </w:rPr>
            </w:pPr>
            <w:hyperlink r:id="rId168">
              <w:r>
                <w:rPr>
                  <w:rFonts w:ascii="Arial" w:cs="Arial" w:eastAsia="Arial" w:hAnsi="Arial"/>
                  <w:sz w:val="18"/>
                  <w:szCs w:val="18"/>
                  <w:color w:val="0000EE"/>
                  <w:w w:val="89"/>
                </w:rPr>
                <w:t>Fourth Amended and Restated Shareholders Agreement dated December 28, 2016 (incorporated by reference to</w:t>
              </w:r>
            </w:hyperlink>
          </w:p>
        </w:tc>
        <w:tc>
          <w:tcPr>
            <w:tcW w:w="20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68">
              <w:r>
                <w:rPr>
                  <w:rFonts w:ascii="Arial" w:cs="Arial" w:eastAsia="Arial" w:hAnsi="Arial"/>
                  <w:sz w:val="18"/>
                  <w:szCs w:val="18"/>
                  <w:color w:val="0000EE"/>
                  <w:w w:val="92"/>
                </w:rPr>
                <w:t>Exhibit 10.2 of our Registration Statement on Form F-1 (file No. 333-221034) filed with the Securities and Exchange Commission on</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68">
              <w:r>
                <w:rPr>
                  <w:rFonts w:ascii="Arial" w:cs="Arial" w:eastAsia="Arial" w:hAnsi="Arial"/>
                  <w:sz w:val="18"/>
                  <w:szCs w:val="18"/>
                  <w:color w:val="0000EE"/>
                  <w:w w:val="89"/>
                </w:rPr>
                <w:t>October 20, 2017)</w:t>
              </w:r>
            </w:hyperlink>
          </w:p>
        </w:tc>
        <w:tc>
          <w:tcPr>
            <w:tcW w:w="8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6"/>
              </w:rPr>
            </w:pPr>
            <w:hyperlink r:id="rId169">
              <w:r>
                <w:rPr>
                  <w:rFonts w:ascii="Arial" w:cs="Arial" w:eastAsia="Arial" w:hAnsi="Arial"/>
                  <w:sz w:val="18"/>
                  <w:szCs w:val="18"/>
                  <w:color w:val="0000EE"/>
                  <w:w w:val="96"/>
                </w:rPr>
                <w:t>English translation of Exclusive Business Cooperation Agreement between OptAim Beijing, OptAim Network and Zhiyunzhong dated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580" w:type="dxa"/>
            <w:vAlign w:val="bottom"/>
            <w:gridSpan w:val="5"/>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9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169">
              <w:r>
                <w:rPr>
                  <w:rFonts w:ascii="Arial" w:cs="Arial" w:eastAsia="Arial" w:hAnsi="Arial"/>
                  <w:sz w:val="18"/>
                  <w:szCs w:val="18"/>
                  <w:color w:val="0000EE"/>
                  <w:w w:val="92"/>
                </w:rPr>
                <w:t>January 16, 2015 (incorporated by reference to Exhibit 10.3 of our Registration Statement on Form F-1 (file No. 333-221034) filed with</w:t>
              </w:r>
            </w:hyperlink>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69">
              <w:r>
                <w:rPr>
                  <w:rFonts w:ascii="Arial" w:cs="Arial" w:eastAsia="Arial" w:hAnsi="Arial"/>
                  <w:sz w:val="18"/>
                  <w:szCs w:val="18"/>
                  <w:color w:val="0000EE"/>
                  <w:w w:val="89"/>
                </w:rPr>
                <w:t>the Securities and Exchange Commission on October 20, 2017)</w:t>
              </w:r>
            </w:hyperlink>
          </w:p>
        </w:tc>
        <w:tc>
          <w:tcPr>
            <w:tcW w:w="55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60" w:type="dxa"/>
            <w:vAlign w:val="bottom"/>
            <w:gridSpan w:val="27"/>
          </w:tcPr>
          <w:p>
            <w:pPr>
              <w:spacing w:after="0"/>
              <w:rPr>
                <w:rFonts w:ascii="Arial" w:cs="Arial" w:eastAsia="Arial" w:hAnsi="Arial"/>
                <w:sz w:val="18"/>
                <w:szCs w:val="18"/>
                <w:color w:val="0000EE"/>
                <w:w w:val="93"/>
              </w:rPr>
            </w:pPr>
            <w:hyperlink r:id="rId170">
              <w:r>
                <w:rPr>
                  <w:rFonts w:ascii="Arial" w:cs="Arial" w:eastAsia="Arial" w:hAnsi="Arial"/>
                  <w:sz w:val="18"/>
                  <w:szCs w:val="18"/>
                  <w:color w:val="0000EE"/>
                  <w:w w:val="93"/>
                </w:rPr>
                <w:t>English translation of Second Amended and Restated Exclusive Call Option Agreement among OptAim Beijing, OptAim Network and the</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70">
              <w:r>
                <w:rPr>
                  <w:rFonts w:ascii="Arial" w:cs="Arial" w:eastAsia="Arial" w:hAnsi="Arial"/>
                  <w:sz w:val="18"/>
                  <w:szCs w:val="18"/>
                  <w:color w:val="0000EE"/>
                  <w:w w:val="91"/>
                </w:rPr>
                <w:t>shareholders of OptAim Network dated May 26, 2017 (incorporated by reference to</w:t>
              </w:r>
            </w:hyperlink>
          </w:p>
        </w:tc>
        <w:tc>
          <w:tcPr>
            <w:tcW w:w="3920" w:type="dxa"/>
            <w:vAlign w:val="bottom"/>
            <w:tcBorders>
              <w:top w:val="single" w:sz="8" w:color="0000EE"/>
            </w:tcBorders>
            <w:gridSpan w:val="15"/>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6"/>
              </w:rPr>
            </w:pPr>
            <w:hyperlink r:id="rId170">
              <w:r>
                <w:rPr>
                  <w:rFonts w:ascii="Arial" w:cs="Arial" w:eastAsia="Arial" w:hAnsi="Arial"/>
                  <w:sz w:val="18"/>
                  <w:szCs w:val="18"/>
                  <w:color w:val="0000EE"/>
                  <w:w w:val="96"/>
                </w:rPr>
                <w:t>Exhibit 10.4 of our Registration Statement on Form F-1 (file No. 333-221034) filed with the Securities and Exchange Commission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70">
              <w:r>
                <w:rPr>
                  <w:rFonts w:ascii="Arial" w:cs="Arial" w:eastAsia="Arial" w:hAnsi="Arial"/>
                  <w:sz w:val="18"/>
                  <w:szCs w:val="18"/>
                  <w:color w:val="0000EE"/>
                  <w:w w:val="89"/>
                </w:rPr>
                <w:t>October 20, 2017)</w:t>
              </w:r>
            </w:hyperlink>
          </w:p>
        </w:tc>
        <w:tc>
          <w:tcPr>
            <w:tcW w:w="8320" w:type="dxa"/>
            <w:vAlign w:val="bottom"/>
            <w:tcBorders>
              <w:top w:val="single" w:sz="8" w:color="0000EE"/>
            </w:tcBorders>
            <w:gridSpan w:val="15"/>
          </w:tcPr>
          <w:p>
            <w:pPr>
              <w:spacing w:after="0"/>
              <w:rPr>
                <w:sz w:val="17"/>
                <w:szCs w:val="17"/>
                <w:color w:val="auto"/>
              </w:rPr>
            </w:pPr>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91"/>
              </w:rPr>
            </w:pPr>
            <w:hyperlink r:id="rId171">
              <w:r>
                <w:rPr>
                  <w:rFonts w:ascii="Arial" w:cs="Arial" w:eastAsia="Arial" w:hAnsi="Arial"/>
                  <w:sz w:val="18"/>
                  <w:szCs w:val="18"/>
                  <w:color w:val="0000EE"/>
                  <w:w w:val="91"/>
                </w:rPr>
                <w:t>English translation of Second Amended and Restated Equity Pledge Agreement among OptAim Beijing, OptAim Network and the</w:t>
              </w:r>
            </w:hyperlink>
          </w:p>
        </w:tc>
        <w:tc>
          <w:tcPr>
            <w:tcW w:w="7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shareholders of OptAim Network dated May 26, 2017 (incorporated by reference to</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40" w:type="dxa"/>
            <w:vAlign w:val="bottom"/>
            <w:gridSpan w:val="7"/>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w w:val="96"/>
              </w:rPr>
            </w:pPr>
            <w:hyperlink r:id="rId171">
              <w:r>
                <w:rPr>
                  <w:rFonts w:ascii="Arial" w:cs="Arial" w:eastAsia="Arial" w:hAnsi="Arial"/>
                  <w:sz w:val="18"/>
                  <w:szCs w:val="18"/>
                  <w:color w:val="0000EE"/>
                  <w:w w:val="96"/>
                </w:rPr>
                <w:t>Exhibit 10.5 of our Registration Statement on Form F-1 (file No. 333-221034) filed with the Securities and Exchange Commission on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71">
              <w:r>
                <w:rPr>
                  <w:rFonts w:ascii="Arial" w:cs="Arial" w:eastAsia="Arial" w:hAnsi="Arial"/>
                  <w:sz w:val="18"/>
                  <w:szCs w:val="18"/>
                  <w:color w:val="0000EE"/>
                  <w:w w:val="89"/>
                </w:rPr>
                <w:t>October 20, 2017)</w:t>
              </w:r>
            </w:hyperlink>
          </w:p>
        </w:tc>
        <w:tc>
          <w:tcPr>
            <w:tcW w:w="8320" w:type="dxa"/>
            <w:vAlign w:val="bottom"/>
            <w:tcBorders>
              <w:top w:val="single" w:sz="8" w:color="0000EE"/>
            </w:tcBorders>
            <w:gridSpan w:val="15"/>
          </w:tcPr>
          <w:p>
            <w:pPr>
              <w:spacing w:after="0"/>
              <w:rPr>
                <w:sz w:val="17"/>
                <w:szCs w:val="17"/>
                <w:color w:val="auto"/>
              </w:rPr>
            </w:pPr>
          </w:p>
        </w:tc>
        <w:tc>
          <w:tcPr>
            <w:tcW w:w="5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60" w:type="dxa"/>
            <w:vAlign w:val="bottom"/>
            <w:tcBorders>
              <w:bottom w:val="single" w:sz="8" w:color="0000EE"/>
            </w:tcBorders>
            <w:gridSpan w:val="25"/>
          </w:tcPr>
          <w:p>
            <w:pPr>
              <w:spacing w:after="0"/>
              <w:rPr>
                <w:rFonts w:ascii="Arial" w:cs="Arial" w:eastAsia="Arial" w:hAnsi="Arial"/>
                <w:sz w:val="18"/>
                <w:szCs w:val="18"/>
                <w:color w:val="0000EE"/>
                <w:w w:val="90"/>
              </w:rPr>
            </w:pPr>
            <w:hyperlink r:id="rId172">
              <w:r>
                <w:rPr>
                  <w:rFonts w:ascii="Arial" w:cs="Arial" w:eastAsia="Arial" w:hAnsi="Arial"/>
                  <w:sz w:val="18"/>
                  <w:szCs w:val="18"/>
                  <w:color w:val="0000EE"/>
                  <w:w w:val="90"/>
                </w:rPr>
                <w:t>English translation of Irrevocable Powers of Attorney granted by the Jian Tang and Jie Jiao dated May 26, 2017 (incorporated by reference</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80" w:type="dxa"/>
            <w:vAlign w:val="bottom"/>
            <w:tcBorders>
              <w:bottom w:val="single" w:sz="8" w:color="0000EE"/>
            </w:tcBorders>
            <w:gridSpan w:val="20"/>
          </w:tcPr>
          <w:p>
            <w:pPr>
              <w:spacing w:after="0" w:line="196" w:lineRule="exact"/>
              <w:rPr>
                <w:rFonts w:ascii="Arial" w:cs="Arial" w:eastAsia="Arial" w:hAnsi="Arial"/>
                <w:sz w:val="18"/>
                <w:szCs w:val="18"/>
                <w:color w:val="0000EE"/>
                <w:w w:val="92"/>
              </w:rPr>
            </w:pPr>
            <w:hyperlink r:id="rId172">
              <w:r>
                <w:rPr>
                  <w:rFonts w:ascii="Arial" w:cs="Arial" w:eastAsia="Arial" w:hAnsi="Arial"/>
                  <w:sz w:val="18"/>
                  <w:szCs w:val="18"/>
                  <w:color w:val="0000EE"/>
                  <w:w w:val="92"/>
                </w:rPr>
                <w:t>to Exhibit 10.6 of our Registration Statement on Form F-1 (file No. 333-221034) filed with the Securities and Exchange Commission on</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October 20, 2017)</w:t>
              </w:r>
            </w:hyperlink>
          </w:p>
        </w:tc>
        <w:tc>
          <w:tcPr>
            <w:tcW w:w="8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160" w:type="dxa"/>
            <w:vAlign w:val="bottom"/>
            <w:tcBorders>
              <w:bottom w:val="single" w:sz="8" w:color="0000EE"/>
            </w:tcBorders>
            <w:gridSpan w:val="12"/>
          </w:tcPr>
          <w:p>
            <w:pPr>
              <w:spacing w:after="0"/>
              <w:rPr>
                <w:rFonts w:ascii="Arial" w:cs="Arial" w:eastAsia="Arial" w:hAnsi="Arial"/>
                <w:sz w:val="18"/>
                <w:szCs w:val="18"/>
                <w:color w:val="0000EE"/>
                <w:w w:val="90"/>
              </w:rPr>
            </w:pPr>
            <w:hyperlink r:id="rId173">
              <w:r>
                <w:rPr>
                  <w:rFonts w:ascii="Arial" w:cs="Arial" w:eastAsia="Arial" w:hAnsi="Arial"/>
                  <w:sz w:val="18"/>
                  <w:szCs w:val="18"/>
                  <w:color w:val="0000EE"/>
                  <w:w w:val="90"/>
                </w:rPr>
                <w:t>English translation of Spousal Consents granted by Xinyu Fan dated May 26, 2017 (incorporated by reference to</w:t>
              </w:r>
            </w:hyperlink>
          </w:p>
        </w:tc>
        <w:tc>
          <w:tcPr>
            <w:tcW w:w="20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7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73">
              <w:r>
                <w:rPr>
                  <w:rFonts w:ascii="Arial" w:cs="Arial" w:eastAsia="Arial" w:hAnsi="Arial"/>
                  <w:sz w:val="18"/>
                  <w:szCs w:val="18"/>
                  <w:color w:val="0000EE"/>
                  <w:w w:val="92"/>
                </w:rPr>
                <w:t>Exhibit 10.7 of our Registration Statement on Form F-1 (file No. 333-221034) filed with the Securities and Exchange Commission on</w:t>
              </w:r>
            </w:hyperlink>
          </w:p>
        </w:tc>
        <w:tc>
          <w:tcPr>
            <w:tcW w:w="4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October 20, 2017)</w:t>
              </w:r>
            </w:hyperlink>
          </w:p>
        </w:tc>
        <w:tc>
          <w:tcPr>
            <w:tcW w:w="88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40" w:type="dxa"/>
            <w:vAlign w:val="bottom"/>
            <w:tcBorders>
              <w:bottom w:val="single" w:sz="8" w:color="0000EE"/>
            </w:tcBorders>
            <w:gridSpan w:val="13"/>
          </w:tcPr>
          <w:p>
            <w:pPr>
              <w:spacing w:after="0"/>
              <w:rPr>
                <w:rFonts w:ascii="Arial" w:cs="Arial" w:eastAsia="Arial" w:hAnsi="Arial"/>
                <w:sz w:val="18"/>
                <w:szCs w:val="18"/>
                <w:color w:val="0000EE"/>
                <w:w w:val="91"/>
              </w:rPr>
            </w:pPr>
            <w:hyperlink r:id="rId174">
              <w:r>
                <w:rPr>
                  <w:rFonts w:ascii="Arial" w:cs="Arial" w:eastAsia="Arial" w:hAnsi="Arial"/>
                  <w:sz w:val="18"/>
                  <w:szCs w:val="18"/>
                  <w:color w:val="0000EE"/>
                  <w:w w:val="91"/>
                </w:rPr>
                <w:t>2010 Share Option Incentive Scheme (incorporated by reference to Exhibit 10.8 of our Registration Statement on Form F-1 (file</w:t>
              </w:r>
            </w:hyperlink>
          </w:p>
        </w:tc>
        <w:tc>
          <w:tcPr>
            <w:tcW w:w="9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160" w:type="dxa"/>
            <w:vAlign w:val="bottom"/>
            <w:gridSpan w:val="27"/>
          </w:tcPr>
          <w:p>
            <w:pPr>
              <w:spacing w:after="0" w:line="196" w:lineRule="exact"/>
              <w:rPr>
                <w:rFonts w:ascii="Arial" w:cs="Arial" w:eastAsia="Arial" w:hAnsi="Arial"/>
                <w:sz w:val="18"/>
                <w:szCs w:val="18"/>
                <w:color w:val="0000EE"/>
              </w:rPr>
            </w:pPr>
            <w:hyperlink r:id="rId174">
              <w:r>
                <w:rPr>
                  <w:rFonts w:ascii="Arial" w:cs="Arial" w:eastAsia="Arial" w:hAnsi="Arial"/>
                  <w:sz w:val="18"/>
                  <w:szCs w:val="18"/>
                  <w:color w:val="0000EE"/>
                </w:rPr>
                <w:t>No. 333-221034) filed with the Securities and Exchange Commission on October 20, 2017)</w:t>
              </w:r>
            </w:hyperlink>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5600" w:type="dxa"/>
            <w:vAlign w:val="bottom"/>
            <w:tcBorders>
              <w:top w:val="single" w:sz="8" w:color="0000EE"/>
            </w:tcBorders>
            <w:gridSpan w:val="5"/>
          </w:tcPr>
          <w:p>
            <w:pPr>
              <w:ind w:left="4300"/>
              <w:spacing w:after="0"/>
              <w:rPr>
                <w:sz w:val="20"/>
                <w:szCs w:val="20"/>
                <w:color w:val="auto"/>
              </w:rPr>
            </w:pPr>
            <w:r>
              <w:rPr>
                <w:rFonts w:ascii="Arial" w:cs="Arial" w:eastAsia="Arial" w:hAnsi="Arial"/>
                <w:sz w:val="18"/>
                <w:szCs w:val="18"/>
                <w:color w:val="auto"/>
              </w:rPr>
              <w:t>131</w:t>
            </w: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740" w:type="dxa"/>
            <w:vAlign w:val="bottom"/>
          </w:tcPr>
          <w:p>
            <w:pPr>
              <w:spacing w:after="0"/>
              <w:rPr>
                <w:sz w:val="17"/>
                <w:szCs w:val="17"/>
                <w:color w:val="auto"/>
              </w:rPr>
            </w:pPr>
          </w:p>
        </w:tc>
        <w:tc>
          <w:tcPr>
            <w:tcW w:w="10160" w:type="dxa"/>
            <w:vAlign w:val="bottom"/>
            <w:gridSpan w:val="18"/>
          </w:tcPr>
          <w:p>
            <w:pPr>
              <w:spacing w:after="0"/>
              <w:rPr>
                <w:rFonts w:ascii="Arial" w:cs="Arial" w:eastAsia="Arial" w:hAnsi="Arial"/>
                <w:sz w:val="18"/>
                <w:szCs w:val="18"/>
                <w:color w:val="0000EE"/>
                <w:w w:val="94"/>
              </w:rPr>
            </w:pPr>
            <w:hyperlink r:id="rId176">
              <w:r>
                <w:rPr>
                  <w:rFonts w:ascii="Arial" w:cs="Arial" w:eastAsia="Arial" w:hAnsi="Arial"/>
                  <w:sz w:val="18"/>
                  <w:szCs w:val="18"/>
                  <w:color w:val="0000EE"/>
                  <w:w w:val="94"/>
                </w:rPr>
                <w:t>Form of Indemnification Agreement with Executive Officers and Directors (incorporated by reference to Exhibit 10.9 of our Registration</w:t>
              </w:r>
            </w:hyperlink>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Statement on Form F-1 (file No. 333-221034) filed with the Securities and Exchange Commission on October 20, 2017)</w:t>
              </w:r>
            </w:hyperlink>
          </w:p>
        </w:tc>
        <w:tc>
          <w:tcPr>
            <w:tcW w:w="280" w:type="dxa"/>
            <w:vAlign w:val="bottom"/>
            <w:gridSpan w:val="3"/>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2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740" w:type="dxa"/>
            <w:vAlign w:val="bottom"/>
          </w:tcPr>
          <w:p>
            <w:pPr>
              <w:spacing w:after="0"/>
              <w:rPr>
                <w:sz w:val="24"/>
                <w:szCs w:val="24"/>
                <w:color w:val="auto"/>
              </w:rPr>
            </w:pPr>
          </w:p>
        </w:tc>
        <w:tc>
          <w:tcPr>
            <w:tcW w:w="9900" w:type="dxa"/>
            <w:vAlign w:val="bottom"/>
            <w:tcBorders>
              <w:bottom w:val="single" w:sz="8" w:color="0000EE"/>
            </w:tcBorders>
            <w:gridSpan w:val="16"/>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Form of Employment Agreement and One Way Non-disclosure Agreement with Executive Officers (incorporated by reference to Exhibit</w:t>
              </w:r>
            </w:hyperlink>
          </w:p>
        </w:tc>
        <w:tc>
          <w:tcPr>
            <w:tcW w:w="260" w:type="dxa"/>
            <w:vAlign w:val="bottom"/>
            <w:gridSpan w:val="2"/>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w w:val="92"/>
              </w:rPr>
            </w:pPr>
            <w:hyperlink r:id="rId177">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10</w:t>
              </w:r>
              <w:r>
                <w:rPr>
                  <w:rFonts w:ascii="Arial" w:cs="Arial" w:eastAsia="Arial" w:hAnsi="Arial"/>
                  <w:sz w:val="18"/>
                  <w:szCs w:val="18"/>
                  <w:color w:val="0000EE"/>
                  <w:w w:val="92"/>
                </w:rPr>
                <w:t xml:space="preserve"> of our Registration Statement on Form F-1 (file No. 333-221034) filed with the Securities and Exchange Commission on October 20,</w:t>
              </w:r>
            </w:hyperlink>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77">
              <w:r>
                <w:rPr>
                  <w:rFonts w:ascii="Arial" w:cs="Arial" w:eastAsia="Arial" w:hAnsi="Arial"/>
                  <w:sz w:val="18"/>
                  <w:szCs w:val="18"/>
                  <w:color w:val="0000EE"/>
                  <w:w w:val="86"/>
                </w:rPr>
                <w:t>2017)</w:t>
              </w:r>
            </w:hyperlink>
          </w:p>
        </w:tc>
        <w:tc>
          <w:tcPr>
            <w:tcW w:w="17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142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r>
      <w:tr>
        <w:trPr>
          <w:trHeight w:val="304"/>
        </w:trPr>
        <w:tc>
          <w:tcPr>
            <w:tcW w:w="5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740" w:type="dxa"/>
            <w:vAlign w:val="bottom"/>
          </w:tcPr>
          <w:p>
            <w:pPr>
              <w:spacing w:after="0"/>
              <w:rPr>
                <w:sz w:val="24"/>
                <w:szCs w:val="24"/>
                <w:color w:val="auto"/>
              </w:rPr>
            </w:pPr>
          </w:p>
        </w:tc>
        <w:tc>
          <w:tcPr>
            <w:tcW w:w="9820" w:type="dxa"/>
            <w:vAlign w:val="bottom"/>
            <w:tcBorders>
              <w:bottom w:val="single" w:sz="8" w:color="0000EE"/>
            </w:tcBorders>
            <w:gridSpan w:val="13"/>
          </w:tcPr>
          <w:p>
            <w:pPr>
              <w:spacing w:after="0"/>
              <w:rPr>
                <w:rFonts w:ascii="Arial" w:cs="Arial" w:eastAsia="Arial" w:hAnsi="Arial"/>
                <w:sz w:val="18"/>
                <w:szCs w:val="18"/>
                <w:color w:val="0000EE"/>
                <w:w w:val="91"/>
              </w:rPr>
            </w:pPr>
            <w:hyperlink r:id="rId178">
              <w:r>
                <w:rPr>
                  <w:rFonts w:ascii="Arial" w:cs="Arial" w:eastAsia="Arial" w:hAnsi="Arial"/>
                  <w:sz w:val="18"/>
                  <w:szCs w:val="18"/>
                  <w:color w:val="0000EE"/>
                  <w:w w:val="91"/>
                </w:rPr>
                <w:t>2017 Share Incentive Plan (incorporated by reference to Exhibit 10.11 of our Registration Statement on Form F-1 (file No. 333-221034)</w:t>
              </w:r>
            </w:hyperlink>
          </w:p>
        </w:tc>
        <w:tc>
          <w:tcPr>
            <w:tcW w:w="340" w:type="dxa"/>
            <w:vAlign w:val="bottom"/>
            <w:gridSpan w:val="5"/>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filed with the Securities and Exchange Commission on October 20, 2017)</w:t>
              </w:r>
            </w:hyperlink>
          </w:p>
        </w:tc>
        <w:tc>
          <w:tcPr>
            <w:tcW w:w="4840" w:type="dxa"/>
            <w:vAlign w:val="bottom"/>
            <w:gridSpan w:val="13"/>
          </w:tcPr>
          <w:p>
            <w:pPr>
              <w:spacing w:after="0"/>
              <w:rPr>
                <w:sz w:val="17"/>
                <w:szCs w:val="17"/>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4.10</w:t>
            </w:r>
          </w:p>
        </w:tc>
        <w:tc>
          <w:tcPr>
            <w:tcW w:w="740" w:type="dxa"/>
            <w:vAlign w:val="bottom"/>
          </w:tcPr>
          <w:p>
            <w:pPr>
              <w:spacing w:after="0"/>
              <w:rPr>
                <w:sz w:val="24"/>
                <w:szCs w:val="24"/>
                <w:color w:val="auto"/>
              </w:rPr>
            </w:pPr>
          </w:p>
        </w:tc>
        <w:tc>
          <w:tcPr>
            <w:tcW w:w="9800" w:type="dxa"/>
            <w:vAlign w:val="bottom"/>
            <w:tcBorders>
              <w:bottom w:val="single" w:sz="8" w:color="0000EE"/>
            </w:tcBorders>
            <w:gridSpan w:val="12"/>
          </w:tcPr>
          <w:p>
            <w:pPr>
              <w:spacing w:after="0"/>
              <w:rPr>
                <w:rFonts w:ascii="Arial" w:cs="Arial" w:eastAsia="Arial" w:hAnsi="Arial"/>
                <w:sz w:val="18"/>
                <w:szCs w:val="18"/>
                <w:color w:val="0000EE"/>
                <w:w w:val="91"/>
              </w:rPr>
            </w:pPr>
            <w:hyperlink r:id="rId179">
              <w:r>
                <w:rPr>
                  <w:rFonts w:ascii="Arial" w:cs="Arial" w:eastAsia="Arial" w:hAnsi="Arial"/>
                  <w:sz w:val="18"/>
                  <w:szCs w:val="18"/>
                  <w:color w:val="0000EE"/>
                  <w:w w:val="91"/>
                </w:rPr>
                <w:t>English Translation of Tencent Advertising Agency Agreement for 2017 (incorporated by reference to Exhibit 10.12 of our Registration</w:t>
              </w:r>
            </w:hyperlink>
          </w:p>
        </w:tc>
        <w:tc>
          <w:tcPr>
            <w:tcW w:w="360" w:type="dxa"/>
            <w:vAlign w:val="bottom"/>
            <w:gridSpan w:val="6"/>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160" w:type="dxa"/>
            <w:vAlign w:val="bottom"/>
            <w:gridSpan w:val="18"/>
          </w:tcPr>
          <w:p>
            <w:pPr>
              <w:spacing w:after="0" w:line="196" w:lineRule="exact"/>
              <w:rPr>
                <w:rFonts w:ascii="Arial" w:cs="Arial" w:eastAsia="Arial" w:hAnsi="Arial"/>
                <w:sz w:val="18"/>
                <w:szCs w:val="18"/>
                <w:color w:val="0000EE"/>
              </w:rPr>
            </w:pPr>
            <w:hyperlink r:id="rId179">
              <w:r>
                <w:rPr>
                  <w:rFonts w:ascii="Arial" w:cs="Arial" w:eastAsia="Arial" w:hAnsi="Arial"/>
                  <w:sz w:val="18"/>
                  <w:szCs w:val="18"/>
                  <w:color w:val="0000EE"/>
                </w:rPr>
                <w:t>Statement on Form F-1 (file No. 333-221034) filed with the Securities and Exchange Commission on October 20, 2017)</w:t>
              </w:r>
            </w:hyperlink>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4.11</w:t>
            </w:r>
          </w:p>
        </w:tc>
        <w:tc>
          <w:tcPr>
            <w:tcW w:w="74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w w:val="94"/>
              </w:rPr>
            </w:pPr>
            <w:hyperlink r:id="rId180">
              <w:r>
                <w:rPr>
                  <w:rFonts w:ascii="Arial" w:cs="Arial" w:eastAsia="Arial" w:hAnsi="Arial"/>
                  <w:sz w:val="18"/>
                  <w:szCs w:val="18"/>
                  <w:color w:val="0000EE"/>
                  <w:w w:val="94"/>
                </w:rPr>
                <w:t>English Translation of Tencent Advertising Placement Contract for 2017 (incorporated by reference to Exhibit 10.13 of our Registration</w:t>
              </w:r>
            </w:hyperlink>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80">
              <w:r>
                <w:rPr>
                  <w:rFonts w:ascii="Arial" w:cs="Arial" w:eastAsia="Arial" w:hAnsi="Arial"/>
                  <w:sz w:val="18"/>
                  <w:szCs w:val="18"/>
                  <w:color w:val="0000EE"/>
                </w:rPr>
                <w:t>Statement on Form F-1 (file No. 333-221034) filed with the Securities and Exchange Commission on October 20, 2017)</w:t>
              </w:r>
            </w:hyperlink>
          </w:p>
        </w:tc>
        <w:tc>
          <w:tcPr>
            <w:tcW w:w="360" w:type="dxa"/>
            <w:vAlign w:val="bottom"/>
            <w:gridSpan w:val="6"/>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4.12</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160" w:type="dxa"/>
            <w:vAlign w:val="bottom"/>
            <w:gridSpan w:val="18"/>
          </w:tcPr>
          <w:p>
            <w:pPr>
              <w:spacing w:after="0"/>
              <w:rPr>
                <w:sz w:val="20"/>
                <w:szCs w:val="20"/>
                <w:color w:val="auto"/>
              </w:rPr>
            </w:pPr>
            <w:r>
              <w:rPr>
                <w:rFonts w:ascii="Arial" w:cs="Arial" w:eastAsia="Arial" w:hAnsi="Arial"/>
                <w:sz w:val="18"/>
                <w:szCs w:val="18"/>
                <w:color w:val="0000EE"/>
                <w:w w:val="92"/>
              </w:rPr>
              <w:t>English Translation of the Baidu Distributor Cooperation Agreement, dated as of February 9, 2018, by and between Baidu Online Network</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6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Technology (Beijing) Co., Ltd. and Search Asia Technology (Shenzhen) Co., Ltd</w:t>
            </w:r>
          </w:p>
        </w:tc>
        <w:tc>
          <w:tcPr>
            <w:tcW w:w="10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4.13</w:t>
            </w:r>
          </w:p>
        </w:tc>
        <w:tc>
          <w:tcPr>
            <w:tcW w:w="7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1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2"/>
              </w:rPr>
              <w:t>English Translation of the Baidu Distributor Cooperation Agreement, dated as of February 9, 2018, by and between BAIDU (HONGKONG)</w:t>
            </w:r>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3"/>
              </w:rPr>
              <w:t>LIMITED and China Search (Asia) Ltd.</w:t>
            </w:r>
          </w:p>
        </w:tc>
        <w:tc>
          <w:tcPr>
            <w:tcW w:w="7260" w:type="dxa"/>
            <w:vAlign w:val="bottom"/>
            <w:gridSpan w:val="14"/>
          </w:tcPr>
          <w:p>
            <w:pPr>
              <w:spacing w:after="0"/>
              <w:rPr>
                <w:sz w:val="17"/>
                <w:szCs w:val="17"/>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740" w:type="dxa"/>
            <w:vAlign w:val="bottom"/>
          </w:tcPr>
          <w:p>
            <w:pPr>
              <w:spacing w:after="0"/>
              <w:rPr>
                <w:sz w:val="24"/>
                <w:szCs w:val="24"/>
                <w:color w:val="auto"/>
              </w:rPr>
            </w:pPr>
          </w:p>
        </w:tc>
        <w:tc>
          <w:tcPr>
            <w:tcW w:w="10160" w:type="dxa"/>
            <w:vAlign w:val="bottom"/>
            <w:gridSpan w:val="18"/>
          </w:tcPr>
          <w:p>
            <w:pPr>
              <w:spacing w:after="0"/>
              <w:rPr>
                <w:sz w:val="20"/>
                <w:szCs w:val="20"/>
                <w:color w:val="auto"/>
              </w:rPr>
            </w:pPr>
            <w:r>
              <w:rPr>
                <w:rFonts w:ascii="Arial" w:cs="Arial" w:eastAsia="Arial" w:hAnsi="Arial"/>
                <w:sz w:val="18"/>
                <w:szCs w:val="18"/>
                <w:color w:val="0000EE"/>
              </w:rPr>
              <w:t>Subsidiaries of the Registrant</w:t>
            </w:r>
          </w:p>
        </w:tc>
      </w:tr>
      <w:tr>
        <w:trPr>
          <w:trHeight w:val="20"/>
        </w:trPr>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r>
      <w:tr>
        <w:trPr>
          <w:trHeight w:val="304"/>
        </w:trPr>
        <w:tc>
          <w:tcPr>
            <w:tcW w:w="52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740" w:type="dxa"/>
            <w:vAlign w:val="bottom"/>
          </w:tcPr>
          <w:p>
            <w:pPr>
              <w:spacing w:after="0"/>
              <w:rPr>
                <w:sz w:val="24"/>
                <w:szCs w:val="24"/>
                <w:color w:val="auto"/>
              </w:rPr>
            </w:pPr>
          </w:p>
        </w:tc>
        <w:tc>
          <w:tcPr>
            <w:tcW w:w="10160" w:type="dxa"/>
            <w:vAlign w:val="bottom"/>
            <w:gridSpan w:val="18"/>
          </w:tcPr>
          <w:p>
            <w:pPr>
              <w:spacing w:after="0"/>
              <w:rPr>
                <w:rFonts w:ascii="Arial" w:cs="Arial" w:eastAsia="Arial" w:hAnsi="Arial"/>
                <w:sz w:val="18"/>
                <w:szCs w:val="18"/>
                <w:color w:val="0000EE"/>
                <w:w w:val="93"/>
              </w:rPr>
            </w:pPr>
            <w:hyperlink r:id="rId181">
              <w:r>
                <w:rPr>
                  <w:rFonts w:ascii="Arial" w:cs="Arial" w:eastAsia="Arial" w:hAnsi="Arial"/>
                  <w:sz w:val="18"/>
                  <w:szCs w:val="18"/>
                  <w:color w:val="0000EE"/>
                  <w:w w:val="93"/>
                </w:rPr>
                <w:t>Code of Business Conduct and Ethics of the Registrant (incorporated by reference to Exhibit 99.1 of our Registration Statement on Form</w:t>
              </w:r>
            </w:hyperlink>
          </w:p>
        </w:tc>
      </w:tr>
      <w:tr>
        <w:trPr>
          <w:trHeight w:val="196"/>
        </w:trPr>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81">
              <w:r>
                <w:rPr>
                  <w:rFonts w:ascii="Arial" w:cs="Arial" w:eastAsia="Arial" w:hAnsi="Arial"/>
                  <w:sz w:val="18"/>
                  <w:szCs w:val="18"/>
                  <w:color w:val="0000EE"/>
                </w:rPr>
                <w:t>F-1 (file No. 333-221034) filed with the Securities and Exchange Commission on October 20, 2017)</w:t>
              </w:r>
            </w:hyperlink>
          </w:p>
        </w:tc>
        <w:tc>
          <w:tcPr>
            <w:tcW w:w="300" w:type="dxa"/>
            <w:vAlign w:val="bottom"/>
            <w:gridSpan w:val="4"/>
          </w:tcPr>
          <w:p>
            <w:pPr>
              <w:spacing w:after="0"/>
              <w:rPr>
                <w:sz w:val="17"/>
                <w:szCs w:val="17"/>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12.1*</w:t>
            </w:r>
          </w:p>
        </w:tc>
        <w:tc>
          <w:tcPr>
            <w:tcW w:w="740" w:type="dxa"/>
            <w:vAlign w:val="bottom"/>
          </w:tcPr>
          <w:p>
            <w:pPr>
              <w:spacing w:after="0"/>
              <w:rPr>
                <w:sz w:val="24"/>
                <w:szCs w:val="24"/>
                <w:color w:val="auto"/>
              </w:rPr>
            </w:pPr>
          </w:p>
        </w:tc>
        <w:tc>
          <w:tcPr>
            <w:tcW w:w="566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1"/>
              </w:rPr>
              <w:t>CEO Certification Pursuant to Section 302 of the Sarbanes-Oxley Act of 2002</w:t>
            </w:r>
          </w:p>
        </w:tc>
        <w:tc>
          <w:tcPr>
            <w:tcW w:w="1580" w:type="dxa"/>
            <w:vAlign w:val="bottom"/>
            <w:tcBorders>
              <w:top w:val="single" w:sz="8" w:color="0000EE"/>
            </w:tcBorders>
            <w:gridSpan w:val="2"/>
          </w:tcPr>
          <w:p>
            <w:pPr>
              <w:spacing w:after="0"/>
              <w:rPr>
                <w:sz w:val="24"/>
                <w:szCs w:val="24"/>
                <w:color w:val="auto"/>
              </w:rPr>
            </w:pPr>
          </w:p>
        </w:tc>
        <w:tc>
          <w:tcPr>
            <w:tcW w:w="2920" w:type="dxa"/>
            <w:vAlign w:val="bottom"/>
            <w:gridSpan w:val="8"/>
          </w:tcPr>
          <w:p>
            <w:pPr>
              <w:spacing w:after="0"/>
              <w:rPr>
                <w:sz w:val="24"/>
                <w:szCs w:val="24"/>
                <w:color w:val="auto"/>
              </w:rPr>
            </w:pP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740" w:type="dxa"/>
            <w:vAlign w:val="bottom"/>
          </w:tcPr>
          <w:p>
            <w:pPr>
              <w:spacing w:after="0"/>
              <w:rPr>
                <w:sz w:val="24"/>
                <w:szCs w:val="24"/>
                <w:color w:val="auto"/>
              </w:rPr>
            </w:pPr>
          </w:p>
        </w:tc>
        <w:tc>
          <w:tcPr>
            <w:tcW w:w="56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CFO Certification Pursuant to Section 302 of the Sarbanes-Oxley Act of 2002</w:t>
            </w:r>
          </w:p>
        </w:tc>
        <w:tc>
          <w:tcPr>
            <w:tcW w:w="4520" w:type="dxa"/>
            <w:vAlign w:val="bottom"/>
            <w:gridSpan w:val="11"/>
          </w:tcPr>
          <w:p>
            <w:pPr>
              <w:spacing w:after="0"/>
              <w:rPr>
                <w:sz w:val="24"/>
                <w:szCs w:val="24"/>
                <w:color w:val="auto"/>
              </w:rPr>
            </w:pPr>
          </w:p>
        </w:tc>
      </w:tr>
      <w:tr>
        <w:trPr>
          <w:trHeight w:val="304"/>
        </w:trPr>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13.1**</w:t>
            </w:r>
          </w:p>
        </w:tc>
        <w:tc>
          <w:tcPr>
            <w:tcW w:w="56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CEO Certification Pursuant to Section 906 of the Sarbanes-Oxley Act of 2002</w:t>
            </w:r>
          </w:p>
        </w:tc>
        <w:tc>
          <w:tcPr>
            <w:tcW w:w="4500" w:type="dxa"/>
            <w:vAlign w:val="bottom"/>
            <w:gridSpan w:val="10"/>
          </w:tcPr>
          <w:p>
            <w:pPr>
              <w:spacing w:after="0"/>
              <w:rPr>
                <w:sz w:val="24"/>
                <w:szCs w:val="24"/>
                <w:color w:val="auto"/>
              </w:rPr>
            </w:pPr>
          </w:p>
        </w:tc>
      </w:tr>
      <w:tr>
        <w:trPr>
          <w:trHeight w:val="304"/>
        </w:trPr>
        <w:tc>
          <w:tcPr>
            <w:tcW w:w="1260" w:type="dxa"/>
            <w:vAlign w:val="bottom"/>
            <w:gridSpan w:val="2"/>
          </w:tcPr>
          <w:p>
            <w:pPr>
              <w:jc w:val="right"/>
              <w:ind w:right="570"/>
              <w:spacing w:after="0"/>
              <w:rPr>
                <w:sz w:val="20"/>
                <w:szCs w:val="20"/>
                <w:color w:val="auto"/>
              </w:rPr>
            </w:pPr>
            <w:r>
              <w:rPr>
                <w:rFonts w:ascii="Arial" w:cs="Arial" w:eastAsia="Arial" w:hAnsi="Arial"/>
                <w:sz w:val="18"/>
                <w:szCs w:val="18"/>
                <w:color w:val="auto"/>
              </w:rPr>
              <w:t>13.2**</w:t>
            </w:r>
          </w:p>
        </w:tc>
        <w:tc>
          <w:tcPr>
            <w:tcW w:w="10160" w:type="dxa"/>
            <w:vAlign w:val="bottom"/>
            <w:gridSpan w:val="18"/>
          </w:tcPr>
          <w:p>
            <w:pPr>
              <w:spacing w:after="0"/>
              <w:rPr>
                <w:sz w:val="20"/>
                <w:szCs w:val="20"/>
                <w:color w:val="auto"/>
              </w:rPr>
            </w:pPr>
            <w:r>
              <w:rPr>
                <w:rFonts w:ascii="Arial" w:cs="Arial" w:eastAsia="Arial" w:hAnsi="Arial"/>
                <w:sz w:val="18"/>
                <w:szCs w:val="18"/>
                <w:color w:val="0000EE"/>
              </w:rPr>
              <w:t>CFO Certification Pursuant to Section 906 of the Sarbanes-Oxley Act of 2002</w:t>
            </w:r>
          </w:p>
        </w:tc>
      </w:tr>
      <w:tr>
        <w:trPr>
          <w:trHeight w:val="304"/>
        </w:trPr>
        <w:tc>
          <w:tcPr>
            <w:tcW w:w="520" w:type="dxa"/>
            <w:vAlign w:val="bottom"/>
          </w:tcPr>
          <w:p>
            <w:pPr>
              <w:jc w:val="right"/>
              <w:spacing w:after="0"/>
              <w:rPr>
                <w:sz w:val="20"/>
                <w:szCs w:val="20"/>
                <w:color w:val="auto"/>
              </w:rPr>
            </w:pPr>
            <w:r>
              <w:rPr>
                <w:rFonts w:ascii="Arial" w:cs="Arial" w:eastAsia="Arial" w:hAnsi="Arial"/>
                <w:sz w:val="18"/>
                <w:szCs w:val="18"/>
                <w:color w:val="auto"/>
              </w:rPr>
              <w:t>15.1*</w:t>
            </w:r>
          </w:p>
        </w:tc>
        <w:tc>
          <w:tcPr>
            <w:tcW w:w="740" w:type="dxa"/>
            <w:vAlign w:val="bottom"/>
          </w:tcPr>
          <w:p>
            <w:pPr>
              <w:spacing w:after="0"/>
              <w:rPr>
                <w:sz w:val="24"/>
                <w:szCs w:val="24"/>
                <w:color w:val="auto"/>
              </w:rPr>
            </w:pPr>
          </w:p>
        </w:tc>
        <w:tc>
          <w:tcPr>
            <w:tcW w:w="56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Consent of Jingtian &amp; Gongcheng</w:t>
            </w:r>
          </w:p>
        </w:tc>
        <w:tc>
          <w:tcPr>
            <w:tcW w:w="4540" w:type="dxa"/>
            <w:vAlign w:val="bottom"/>
            <w:gridSpan w:val="12"/>
          </w:tcPr>
          <w:p>
            <w:pPr>
              <w:spacing w:after="0"/>
              <w:rPr>
                <w:sz w:val="24"/>
                <w:szCs w:val="24"/>
                <w:color w:val="auto"/>
              </w:rPr>
            </w:pPr>
          </w:p>
        </w:tc>
      </w:tr>
      <w:tr>
        <w:trPr>
          <w:trHeight w:val="345"/>
        </w:trPr>
        <w:tc>
          <w:tcPr>
            <w:tcW w:w="12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4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XBRL Instance Document</w:t>
            </w:r>
          </w:p>
        </w:tc>
        <w:tc>
          <w:tcPr>
            <w:tcW w:w="7700" w:type="dxa"/>
            <w:vAlign w:val="bottom"/>
            <w:gridSpan w:val="15"/>
          </w:tcPr>
          <w:p>
            <w:pPr>
              <w:spacing w:after="0"/>
              <w:rPr>
                <w:sz w:val="24"/>
                <w:szCs w:val="24"/>
                <w:color w:val="auto"/>
              </w:rPr>
            </w:pP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2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320" w:type="dxa"/>
            <w:vAlign w:val="bottom"/>
            <w:gridSpan w:val="5"/>
          </w:tcPr>
          <w:p>
            <w:pPr>
              <w:ind w:left="4320"/>
              <w:spacing w:after="0"/>
              <w:rPr>
                <w:sz w:val="20"/>
                <w:szCs w:val="20"/>
                <w:color w:val="auto"/>
              </w:rPr>
            </w:pPr>
            <w:r>
              <w:rPr>
                <w:rFonts w:ascii="Arial" w:cs="Arial" w:eastAsia="Arial" w:hAnsi="Arial"/>
                <w:sz w:val="18"/>
                <w:szCs w:val="18"/>
                <w:color w:val="auto"/>
              </w:rPr>
              <w:t>132</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Filed with this annual report on Form 20-F</w:t>
      </w:r>
    </w:p>
    <w:p>
      <w:pPr>
        <w:spacing w:after="0" w:line="23"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Furnished with this annual report on Form 20-F</w:t>
      </w:r>
    </w:p>
    <w:p>
      <w:pPr>
        <w:spacing w:after="0" w:line="9" w:lineRule="exact"/>
        <w:rPr>
          <w:sz w:val="20"/>
          <w:szCs w:val="20"/>
          <w:color w:val="auto"/>
        </w:rPr>
      </w:pPr>
    </w:p>
    <w:p>
      <w:pPr>
        <w:ind w:left="5580" w:right="4039" w:hanging="5572"/>
        <w:spacing w:after="0" w:line="517" w:lineRule="auto"/>
        <w:tabs>
          <w:tab w:leader="none" w:pos="455"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Confidential treatment requested for certain confidential portions of this exhibit 133</w:t>
      </w:r>
    </w:p>
    <w:p>
      <w:pPr>
        <w:sectPr>
          <w:pgSz w:w="11900" w:h="16838" w:orient="portrait"/>
          <w:cols w:equalWidth="0" w:num="1">
            <w:col w:w="10219"/>
          </w:cols>
          <w:pgMar w:left="240" w:top="459" w:right="1440"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913"/>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this Form 20-F on its behalf.</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Wing Hong Sammy Hsieh</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Wing Hong Sammy Hsieh</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2018</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2240" w:type="dxa"/>
            <w:vAlign w:val="bottom"/>
          </w:tcPr>
          <w:p>
            <w:pPr>
              <w:jc w:val="right"/>
              <w:ind w:right="172"/>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87"/>
        </w:trPr>
        <w:tc>
          <w:tcPr>
            <w:tcW w:w="9120" w:type="dxa"/>
            <w:vAlign w:val="bottom"/>
            <w:gridSpan w:val="6"/>
            <w:vMerge w:val="continue"/>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120" w:type="dxa"/>
            <w:vAlign w:val="bottom"/>
            <w:gridSpan w:val="6"/>
          </w:tcPr>
          <w:p>
            <w:pPr>
              <w:spacing w:after="0" w:line="190" w:lineRule="exact"/>
              <w:rPr>
                <w:rFonts w:ascii="Arial" w:cs="Arial" w:eastAsia="Arial" w:hAnsi="Arial"/>
                <w:sz w:val="18"/>
                <w:szCs w:val="18"/>
                <w:color w:val="0000EE"/>
              </w:rPr>
            </w:pPr>
            <w:hyperlink w:anchor="page138">
              <w:r>
                <w:rPr>
                  <w:rFonts w:ascii="Arial" w:cs="Arial" w:eastAsia="Arial" w:hAnsi="Arial"/>
                  <w:sz w:val="18"/>
                  <w:szCs w:val="18"/>
                  <w:color w:val="0000EE"/>
                </w:rPr>
                <w:t>Report of Independent Registered Public Accounting Firm</w:t>
              </w:r>
            </w:hyperlink>
          </w:p>
        </w:tc>
        <w:tc>
          <w:tcPr>
            <w:tcW w:w="22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39">
              <w:r>
                <w:rPr>
                  <w:rFonts w:ascii="Arial" w:cs="Arial" w:eastAsia="Arial" w:hAnsi="Arial"/>
                  <w:sz w:val="18"/>
                  <w:szCs w:val="18"/>
                  <w:color w:val="0000EE"/>
                  <w:w w:val="88"/>
                </w:rPr>
                <w:t>Consolidated Balance Sheets as of December 31, 2016 and 2017</w:t>
              </w:r>
            </w:hyperlink>
          </w:p>
        </w:tc>
        <w:tc>
          <w:tcPr>
            <w:tcW w:w="4460" w:type="dxa"/>
            <w:vAlign w:val="bottom"/>
            <w:gridSpan w:val="3"/>
          </w:tcPr>
          <w:p>
            <w:pPr>
              <w:spacing w:after="0"/>
              <w:rPr>
                <w:sz w:val="17"/>
                <w:szCs w:val="17"/>
                <w:color w:val="auto"/>
              </w:rPr>
            </w:pPr>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F-3 – F-6</w:t>
            </w:r>
          </w:p>
        </w:tc>
        <w:tc>
          <w:tcPr>
            <w:tcW w:w="0" w:type="dxa"/>
            <w:vAlign w:val="bottom"/>
          </w:tcPr>
          <w:p>
            <w:pPr>
              <w:spacing w:after="0"/>
              <w:rPr>
                <w:sz w:val="1"/>
                <w:szCs w:val="1"/>
                <w:color w:val="auto"/>
              </w:rPr>
            </w:pPr>
          </w:p>
        </w:tc>
      </w:tr>
      <w:tr>
        <w:trPr>
          <w:trHeight w:val="196"/>
        </w:trPr>
        <w:tc>
          <w:tcPr>
            <w:tcW w:w="9120" w:type="dxa"/>
            <w:vAlign w:val="bottom"/>
            <w:gridSpan w:val="6"/>
          </w:tcPr>
          <w:p>
            <w:pPr>
              <w:spacing w:after="0" w:line="196" w:lineRule="exact"/>
              <w:rPr>
                <w:rFonts w:ascii="Arial" w:cs="Arial" w:eastAsia="Arial" w:hAnsi="Arial"/>
                <w:sz w:val="18"/>
                <w:szCs w:val="18"/>
                <w:color w:val="0000EE"/>
              </w:rPr>
            </w:pPr>
            <w:hyperlink w:anchor="page143">
              <w:r>
                <w:rPr>
                  <w:rFonts w:ascii="Arial" w:cs="Arial" w:eastAsia="Arial" w:hAnsi="Arial"/>
                  <w:sz w:val="18"/>
                  <w:szCs w:val="18"/>
                  <w:color w:val="0000EE"/>
                </w:rPr>
                <w:t>Consolidated Statements of Comprehensive Loss for the years ended December 31, 2015, 2016 and 2017</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354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4">
              <w:r>
                <w:rPr>
                  <w:rFonts w:ascii="Arial" w:cs="Arial" w:eastAsia="Arial" w:hAnsi="Arial"/>
                  <w:sz w:val="18"/>
                  <w:szCs w:val="18"/>
                  <w:color w:val="0000EE"/>
                  <w:w w:val="90"/>
                </w:rPr>
                <w:t>Consolidated Statements of Changes in Shareholders’ (Deficit)/Equity for the years ended December 31, 2015, 2016 and 2017</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F-8 – F-10</w:t>
            </w:r>
          </w:p>
        </w:tc>
        <w:tc>
          <w:tcPr>
            <w:tcW w:w="0" w:type="dxa"/>
            <w:vAlign w:val="bottom"/>
          </w:tcPr>
          <w:p>
            <w:pPr>
              <w:spacing w:after="0"/>
              <w:rPr>
                <w:sz w:val="1"/>
                <w:szCs w:val="1"/>
                <w:color w:val="auto"/>
              </w:rPr>
            </w:pPr>
          </w:p>
        </w:tc>
      </w:tr>
      <w:tr>
        <w:trPr>
          <w:trHeight w:val="196"/>
        </w:trPr>
        <w:tc>
          <w:tcPr>
            <w:tcW w:w="9120" w:type="dxa"/>
            <w:vAlign w:val="bottom"/>
            <w:gridSpan w:val="6"/>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Consolidated Statements of Cash Flows for the years ended December 31, 2015, 2016 and 2017</w:t>
              </w:r>
            </w:hyperlink>
          </w:p>
        </w:tc>
        <w:tc>
          <w:tcPr>
            <w:tcW w:w="2240" w:type="dxa"/>
            <w:vAlign w:val="bottom"/>
          </w:tcPr>
          <w:p>
            <w:pPr>
              <w:jc w:val="right"/>
              <w:spacing w:after="0" w:line="196" w:lineRule="exact"/>
              <w:rPr>
                <w:sz w:val="20"/>
                <w:szCs w:val="20"/>
                <w:color w:val="auto"/>
              </w:rPr>
            </w:pPr>
            <w:r>
              <w:rPr>
                <w:rFonts w:ascii="Arial" w:cs="Arial" w:eastAsia="Arial" w:hAnsi="Arial"/>
                <w:sz w:val="18"/>
                <w:szCs w:val="18"/>
                <w:color w:val="auto"/>
              </w:rPr>
              <w:t>F-11 – F-</w:t>
            </w:r>
          </w:p>
        </w:tc>
        <w:tc>
          <w:tcPr>
            <w:tcW w:w="0" w:type="dxa"/>
            <w:vAlign w:val="bottom"/>
          </w:tcPr>
          <w:p>
            <w:pPr>
              <w:spacing w:after="0"/>
              <w:rPr>
                <w:sz w:val="1"/>
                <w:szCs w:val="1"/>
                <w:color w:val="auto"/>
              </w:rPr>
            </w:pPr>
          </w:p>
        </w:tc>
      </w:tr>
      <w:tr>
        <w:trPr>
          <w:trHeight w:val="222"/>
        </w:trPr>
        <w:tc>
          <w:tcPr>
            <w:tcW w:w="342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300" w:type="dxa"/>
            <w:vAlign w:val="bottom"/>
            <w:tcBorders>
              <w:top w:val="single" w:sz="8" w:color="0000EE"/>
            </w:tcBorders>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0"/>
        </w:trPr>
        <w:tc>
          <w:tcPr>
            <w:tcW w:w="9120" w:type="dxa"/>
            <w:vAlign w:val="bottom"/>
            <w:gridSpan w:val="6"/>
          </w:tcPr>
          <w:p>
            <w:pPr>
              <w:spacing w:after="0" w:line="190" w:lineRule="exact"/>
              <w:rPr>
                <w:rFonts w:ascii="Arial" w:cs="Arial" w:eastAsia="Arial" w:hAnsi="Arial"/>
                <w:sz w:val="18"/>
                <w:szCs w:val="18"/>
                <w:color w:val="0000EE"/>
              </w:rPr>
            </w:pPr>
            <w:hyperlink w:anchor="page149">
              <w:r>
                <w:rPr>
                  <w:rFonts w:ascii="Arial" w:cs="Arial" w:eastAsia="Arial" w:hAnsi="Arial"/>
                  <w:sz w:val="18"/>
                  <w:szCs w:val="18"/>
                  <w:color w:val="0000EE"/>
                </w:rPr>
                <w:t>Notes to the Consolidated Financial Statements</w:t>
              </w:r>
            </w:hyperlink>
          </w:p>
        </w:tc>
        <w:tc>
          <w:tcPr>
            <w:tcW w:w="2240" w:type="dxa"/>
            <w:vAlign w:val="bottom"/>
          </w:tcPr>
          <w:p>
            <w:pPr>
              <w:jc w:val="right"/>
              <w:spacing w:after="0" w:line="190" w:lineRule="exact"/>
              <w:rPr>
                <w:sz w:val="20"/>
                <w:szCs w:val="20"/>
                <w:color w:val="auto"/>
              </w:rPr>
            </w:pPr>
            <w:r>
              <w:rPr>
                <w:rFonts w:ascii="Arial" w:cs="Arial" w:eastAsia="Arial" w:hAnsi="Arial"/>
                <w:sz w:val="18"/>
                <w:szCs w:val="18"/>
                <w:color w:val="auto"/>
              </w:rPr>
              <w:t>F-13 – F-</w:t>
            </w:r>
          </w:p>
        </w:tc>
        <w:tc>
          <w:tcPr>
            <w:tcW w:w="0" w:type="dxa"/>
            <w:vAlign w:val="bottom"/>
          </w:tcPr>
          <w:p>
            <w:pPr>
              <w:spacing w:after="0"/>
              <w:rPr>
                <w:sz w:val="1"/>
                <w:szCs w:val="1"/>
                <w:color w:val="auto"/>
              </w:rPr>
            </w:pPr>
          </w:p>
        </w:tc>
      </w:tr>
      <w:tr>
        <w:trPr>
          <w:trHeight w:val="237"/>
        </w:trPr>
        <w:tc>
          <w:tcPr>
            <w:tcW w:w="3420" w:type="dxa"/>
            <w:vAlign w:val="bottom"/>
            <w:tcBorders>
              <w:top w:val="single" w:sz="8" w:color="0000EE"/>
            </w:tcBorders>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65"/>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60" w:type="dxa"/>
            <w:vAlign w:val="bottom"/>
            <w:gridSpan w:val="3"/>
          </w:tcPr>
          <w:p>
            <w:pPr>
              <w:ind w:left="920"/>
              <w:spacing w:after="0"/>
              <w:rPr>
                <w:sz w:val="20"/>
                <w:szCs w:val="20"/>
                <w:color w:val="auto"/>
              </w:rPr>
            </w:pPr>
            <w:r>
              <w:rPr>
                <w:rFonts w:ascii="Arial" w:cs="Arial" w:eastAsia="Arial" w:hAnsi="Arial"/>
                <w:sz w:val="18"/>
                <w:szCs w:val="18"/>
                <w:color w:val="auto"/>
              </w:rPr>
              <w:t>F-1</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iClick Interactive Asia Group Limited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iClick Interactive Asia Group Limited and its subsidiaries (the “Company”) as of December 31, 2017 and 2016, and the related consolidated statements of comprehensive loss, changes in shareholders’ (deficit)/equity and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20" w:type="dxa"/>
            <w:vAlign w:val="bottom"/>
          </w:tcPr>
          <w:p>
            <w:pPr>
              <w:ind w:left="9140"/>
              <w:spacing w:after="0"/>
              <w:rPr>
                <w:sz w:val="20"/>
                <w:szCs w:val="20"/>
                <w:color w:val="auto"/>
              </w:rPr>
            </w:pPr>
            <w:r>
              <w:rPr>
                <w:rFonts w:ascii="Arial" w:cs="Arial" w:eastAsia="Arial" w:hAnsi="Arial"/>
                <w:sz w:val="14"/>
                <w:szCs w:val="14"/>
                <w:color w:val="auto"/>
                <w:w w:val="87"/>
              </w:rPr>
              <w:t>Note</w:t>
            </w:r>
          </w:p>
        </w:tc>
        <w:tc>
          <w:tcPr>
            <w:tcW w:w="30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27,280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Time deposit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20" w:type="dxa"/>
            <w:vAlign w:val="bottom"/>
          </w:tcPr>
          <w:p>
            <w:pPr>
              <w:spacing w:after="0" w:line="201" w:lineRule="exact"/>
              <w:rPr>
                <w:sz w:val="20"/>
                <w:szCs w:val="20"/>
                <w:color w:val="auto"/>
              </w:rPr>
            </w:pPr>
            <w:r>
              <w:rPr>
                <w:rFonts w:ascii="Arial" w:cs="Arial" w:eastAsia="Arial" w:hAnsi="Arial"/>
                <w:sz w:val="18"/>
                <w:szCs w:val="18"/>
                <w:color w:val="auto"/>
                <w:w w:val="97"/>
              </w:rPr>
              <w:t>Accounts receivable, net of allowance for doubtful receivables of US$1,693 and US$1,478 as of December 31, 2016 and</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2017, respectively</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30,694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40,798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Prepaid media costs</w:t>
            </w:r>
          </w:p>
        </w:tc>
        <w:tc>
          <w:tcPr>
            <w:tcW w:w="3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34,409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127,427</w:t>
            </w: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2,318</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14,804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11</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48,496</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66,671</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169,640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420" w:type="dxa"/>
            <w:vAlign w:val="bottom"/>
          </w:tcPr>
          <w:p>
            <w:pPr>
              <w:ind w:left="9140"/>
              <w:spacing w:after="0"/>
              <w:rPr>
                <w:sz w:val="20"/>
                <w:szCs w:val="20"/>
                <w:color w:val="auto"/>
              </w:rPr>
            </w:pPr>
            <w:r>
              <w:rPr>
                <w:rFonts w:ascii="Arial" w:cs="Arial" w:eastAsia="Arial" w:hAnsi="Arial"/>
                <w:sz w:val="14"/>
                <w:szCs w:val="14"/>
                <w:color w:val="auto"/>
                <w:w w:val="87"/>
              </w:rPr>
              <w:t>Note</w:t>
            </w:r>
          </w:p>
        </w:tc>
        <w:tc>
          <w:tcPr>
            <w:tcW w:w="300" w:type="dxa"/>
            <w:vAlign w:val="bottom"/>
          </w:tcPr>
          <w:p>
            <w:pPr>
              <w:spacing w:after="0"/>
              <w:rPr>
                <w:sz w:val="14"/>
                <w:szCs w:val="14"/>
                <w:color w:val="auto"/>
              </w:rPr>
            </w:pPr>
          </w:p>
        </w:tc>
        <w:tc>
          <w:tcPr>
            <w:tcW w:w="740" w:type="dxa"/>
            <w:vAlign w:val="bottom"/>
          </w:tcPr>
          <w:p>
            <w:pPr>
              <w:jc w:val="right"/>
              <w:ind w:right="133"/>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equity/(deficit)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Accounts payable (including accounts payable of the consolidated variable interest entity (“VIE”) and its subsidiary</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without recourse to the Company of US$28 and US$29 as of December 31, 2016 and 2017, respectively)</w:t>
            </w:r>
          </w:p>
        </w:tc>
        <w:tc>
          <w:tcPr>
            <w:tcW w:w="3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20" w:type="dxa"/>
            <w:vAlign w:val="bottom"/>
          </w:tcPr>
          <w:p>
            <w:pPr>
              <w:spacing w:after="0" w:line="201" w:lineRule="exact"/>
              <w:rPr>
                <w:sz w:val="20"/>
                <w:szCs w:val="20"/>
                <w:color w:val="auto"/>
              </w:rPr>
            </w:pPr>
            <w:r>
              <w:rPr>
                <w:rFonts w:ascii="Arial" w:cs="Arial" w:eastAsia="Arial" w:hAnsi="Arial"/>
                <w:sz w:val="18"/>
                <w:szCs w:val="18"/>
                <w:color w:val="auto"/>
                <w:w w:val="97"/>
              </w:rPr>
              <w:t>Deferred revenue (including deferred revenue of the consolidated VIE and its subsidiary without recourse to the Company</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tcPr>
          <w:p>
            <w:pPr>
              <w:ind w:left="160"/>
              <w:spacing w:after="0"/>
              <w:rPr>
                <w:sz w:val="20"/>
                <w:szCs w:val="20"/>
                <w:color w:val="auto"/>
              </w:rPr>
            </w:pPr>
            <w:r>
              <w:rPr>
                <w:rFonts w:ascii="Arial" w:cs="Arial" w:eastAsia="Arial" w:hAnsi="Arial"/>
                <w:sz w:val="18"/>
                <w:szCs w:val="18"/>
                <w:color w:val="auto"/>
              </w:rPr>
              <w:t>of US$11,878 and US$5,986 as of December 31, 2016 and 2017, respectively)</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25,697</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33,037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Accrued liabilities and other current liabilities (including accrued liabilities and other current liabilities of the consolidated</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VIE and its subsidiary without recourse to the Company of US$404 and US$804 as of December 31, 2016 and 2017,</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15,091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15</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60,525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14</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12,982</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Income tax payable</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2,123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65,679</w:t>
            </w:r>
          </w:p>
        </w:tc>
        <w:tc>
          <w:tcPr>
            <w:tcW w:w="0" w:type="dxa"/>
            <w:vAlign w:val="bottom"/>
          </w:tcPr>
          <w:p>
            <w:pPr>
              <w:spacing w:after="0"/>
              <w:rPr>
                <w:sz w:val="1"/>
                <w:szCs w:val="1"/>
                <w:color w:val="auto"/>
              </w:rPr>
            </w:pPr>
          </w:p>
        </w:tc>
      </w:tr>
      <w:tr>
        <w:trPr>
          <w:trHeight w:val="223"/>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3,705</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4,064</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30"/>
        </w:trPr>
        <w:tc>
          <w:tcPr>
            <w:tcW w:w="94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68,838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23</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5"/>
          </w:tcPr>
          <w:p>
            <w:pPr>
              <w:ind w:left="240"/>
              <w:spacing w:after="0"/>
              <w:rPr>
                <w:sz w:val="20"/>
                <w:szCs w:val="20"/>
                <w:color w:val="auto"/>
              </w:rPr>
            </w:pPr>
            <w:r>
              <w:rPr>
                <w:rFonts w:ascii="Arial" w:cs="Arial" w:eastAsia="Arial" w:hAnsi="Arial"/>
                <w:sz w:val="14"/>
                <w:szCs w:val="14"/>
                <w:color w:val="auto"/>
              </w:rPr>
              <w:t>As of December 31,</w:t>
            </w:r>
          </w:p>
        </w:tc>
      </w:tr>
      <w:tr>
        <w:trPr>
          <w:trHeight w:val="167"/>
        </w:trPr>
        <w:tc>
          <w:tcPr>
            <w:tcW w:w="9440" w:type="dxa"/>
            <w:vAlign w:val="bottom"/>
          </w:tcPr>
          <w:p>
            <w:pPr>
              <w:ind w:left="9160"/>
              <w:spacing w:after="0"/>
              <w:rPr>
                <w:sz w:val="20"/>
                <w:szCs w:val="20"/>
                <w:color w:val="auto"/>
              </w:rPr>
            </w:pPr>
            <w:r>
              <w:rPr>
                <w:rFonts w:ascii="Arial" w:cs="Arial" w:eastAsia="Arial" w:hAnsi="Arial"/>
                <w:sz w:val="14"/>
                <w:szCs w:val="14"/>
                <w:color w:val="auto"/>
                <w:w w:val="87"/>
              </w:rPr>
              <w:t>Note</w:t>
            </w:r>
          </w:p>
        </w:tc>
        <w:tc>
          <w:tcPr>
            <w:tcW w:w="300" w:type="dxa"/>
            <w:vAlign w:val="bottom"/>
          </w:tcPr>
          <w:p>
            <w:pPr>
              <w:spacing w:after="0"/>
              <w:rPr>
                <w:sz w:val="14"/>
                <w:szCs w:val="14"/>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2"/>
        </w:trPr>
        <w:tc>
          <w:tcPr>
            <w:tcW w:w="9440" w:type="dxa"/>
            <w:vAlign w:val="bottom"/>
          </w:tcPr>
          <w:p>
            <w:pPr>
              <w:ind w:left="360"/>
              <w:spacing w:after="0" w:line="201" w:lineRule="exact"/>
              <w:rPr>
                <w:sz w:val="20"/>
                <w:szCs w:val="20"/>
                <w:color w:val="auto"/>
              </w:rPr>
            </w:pPr>
            <w:r>
              <w:rPr>
                <w:rFonts w:ascii="Arial" w:cs="Arial" w:eastAsia="Arial" w:hAnsi="Arial"/>
                <w:sz w:val="18"/>
                <w:szCs w:val="18"/>
                <w:color w:val="auto"/>
              </w:rPr>
              <w:t>Series A convertible redeemable preferred shares (US$0.001 par value; 2,500,000 shares authorized as of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440" w:type="dxa"/>
            <w:vAlign w:val="bottom"/>
          </w:tcPr>
          <w:p>
            <w:pPr>
              <w:ind w:left="540"/>
              <w:spacing w:after="0"/>
              <w:rPr>
                <w:sz w:val="20"/>
                <w:szCs w:val="20"/>
                <w:color w:val="auto"/>
              </w:rPr>
            </w:pPr>
            <w:r>
              <w:rPr>
                <w:rFonts w:ascii="Arial" w:cs="Arial" w:eastAsia="Arial" w:hAnsi="Arial"/>
                <w:sz w:val="18"/>
                <w:szCs w:val="18"/>
                <w:color w:val="auto"/>
                <w:w w:val="99"/>
              </w:rPr>
              <w:t>December 31, 2016; 2,476,190 shares issued and outstanding as of December 31, 2016; redemption amount of</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440" w:type="dxa"/>
            <w:vAlign w:val="bottom"/>
          </w:tcPr>
          <w:p>
            <w:pPr>
              <w:ind w:left="540"/>
              <w:spacing w:after="0"/>
              <w:rPr>
                <w:sz w:val="20"/>
                <w:szCs w:val="20"/>
                <w:color w:val="auto"/>
              </w:rPr>
            </w:pPr>
            <w:r>
              <w:rPr>
                <w:rFonts w:ascii="Arial" w:cs="Arial" w:eastAsia="Arial" w:hAnsi="Arial"/>
                <w:sz w:val="18"/>
                <w:szCs w:val="18"/>
                <w:color w:val="auto"/>
              </w:rPr>
              <w:t>US$6,737 as of December 31, 2016; none issued and outstanding as of December 31, 2017)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15</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5,597</w:t>
            </w:r>
          </w:p>
        </w:tc>
        <w:tc>
          <w:tcPr>
            <w:tcW w:w="140" w:type="dxa"/>
            <w:vAlign w:val="bottom"/>
          </w:tcPr>
          <w:p>
            <w:pPr>
              <w:spacing w:after="0"/>
              <w:rPr>
                <w:sz w:val="20"/>
                <w:szCs w:val="20"/>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9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B convertible redeemable preferred shares (US$0.001 par value; 3,000,000 shares authorized as of</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December 31, 2016; 1,889,249 shares issued and outstanding as of December 31, 2016; redemption amount of</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US$14,625 as of December 31, 2016; none issued and outstanding as of December 31, 2017)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15</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9,807</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9440" w:type="dxa"/>
            <w:vAlign w:val="bottom"/>
          </w:tcPr>
          <w:p>
            <w:pPr>
              <w:ind w:left="360"/>
              <w:spacing w:after="0" w:line="201" w:lineRule="exact"/>
              <w:rPr>
                <w:sz w:val="20"/>
                <w:szCs w:val="20"/>
                <w:color w:val="auto"/>
              </w:rPr>
            </w:pPr>
            <w:r>
              <w:rPr>
                <w:rFonts w:ascii="Arial" w:cs="Arial" w:eastAsia="Arial" w:hAnsi="Arial"/>
                <w:sz w:val="18"/>
                <w:szCs w:val="18"/>
                <w:color w:val="auto"/>
              </w:rPr>
              <w:t>Series C convertible redeemable preferred shares (US$0.001 par value; 1,650,000 shares authorized as of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440" w:type="dxa"/>
            <w:vAlign w:val="bottom"/>
          </w:tcPr>
          <w:p>
            <w:pPr>
              <w:ind w:left="540"/>
              <w:spacing w:after="0"/>
              <w:rPr>
                <w:sz w:val="20"/>
                <w:szCs w:val="20"/>
                <w:color w:val="auto"/>
              </w:rPr>
            </w:pPr>
            <w:r>
              <w:rPr>
                <w:rFonts w:ascii="Arial" w:cs="Arial" w:eastAsia="Arial" w:hAnsi="Arial"/>
                <w:sz w:val="18"/>
                <w:szCs w:val="18"/>
                <w:color w:val="auto"/>
                <w:w w:val="99"/>
              </w:rPr>
              <w:t>December 31, 2016; 1,599,186 shares issued and outstanding as of December 31, 2016; redemption amount of</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440" w:type="dxa"/>
            <w:vAlign w:val="bottom"/>
          </w:tcPr>
          <w:p>
            <w:pPr>
              <w:ind w:left="540"/>
              <w:spacing w:after="0"/>
              <w:rPr>
                <w:sz w:val="20"/>
                <w:szCs w:val="20"/>
                <w:color w:val="auto"/>
              </w:rPr>
            </w:pPr>
            <w:r>
              <w:rPr>
                <w:rFonts w:ascii="Arial" w:cs="Arial" w:eastAsia="Arial" w:hAnsi="Arial"/>
                <w:sz w:val="18"/>
                <w:szCs w:val="18"/>
                <w:color w:val="auto"/>
              </w:rPr>
              <w:t>US$22,288 as of December 31, 2016; none issued and outstanding as of December 31, 2017)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15</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10,733</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9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Series D convertible redeemable preferred shares (US$0.001 par value; 4,500,000 shares authorized as of</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9"/>
              </w:rPr>
              <w:t>December 31, 2016; 2,493,018 shares issued and outstanding as of December 31, 2016; redemption amount of</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US$58,874 as of December 31, 2016; none issued and outstanding as of December 31, 2017)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15</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43,956</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9440" w:type="dxa"/>
            <w:vAlign w:val="bottom"/>
          </w:tcPr>
          <w:p>
            <w:pPr>
              <w:ind w:left="360"/>
              <w:spacing w:after="0" w:line="201" w:lineRule="exact"/>
              <w:rPr>
                <w:sz w:val="20"/>
                <w:szCs w:val="20"/>
                <w:color w:val="auto"/>
              </w:rPr>
            </w:pPr>
            <w:r>
              <w:rPr>
                <w:rFonts w:ascii="Arial" w:cs="Arial" w:eastAsia="Arial" w:hAnsi="Arial"/>
                <w:sz w:val="18"/>
                <w:szCs w:val="18"/>
                <w:color w:val="auto"/>
              </w:rPr>
              <w:t>Series E convertible redeemable preferred shares (US$0.001 par value; 1,200,000 shares authorized as of</w:t>
            </w: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440" w:type="dxa"/>
            <w:vAlign w:val="bottom"/>
          </w:tcPr>
          <w:p>
            <w:pPr>
              <w:ind w:left="540"/>
              <w:spacing w:after="0"/>
              <w:rPr>
                <w:sz w:val="20"/>
                <w:szCs w:val="20"/>
                <w:color w:val="auto"/>
              </w:rPr>
            </w:pPr>
            <w:r>
              <w:rPr>
                <w:rFonts w:ascii="Arial" w:cs="Arial" w:eastAsia="Arial" w:hAnsi="Arial"/>
                <w:sz w:val="18"/>
                <w:szCs w:val="18"/>
                <w:color w:val="auto"/>
                <w:w w:val="99"/>
              </w:rPr>
              <w:t>December 31, 2016; 1,068,114 shares issued and outstanding as of December 31, 2016; redemption amount of</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440" w:type="dxa"/>
            <w:vAlign w:val="bottom"/>
          </w:tcPr>
          <w:p>
            <w:pPr>
              <w:ind w:left="540"/>
              <w:spacing w:after="0"/>
              <w:rPr>
                <w:sz w:val="20"/>
                <w:szCs w:val="20"/>
                <w:color w:val="auto"/>
              </w:rPr>
            </w:pPr>
            <w:r>
              <w:rPr>
                <w:rFonts w:ascii="Arial" w:cs="Arial" w:eastAsia="Arial" w:hAnsi="Arial"/>
                <w:sz w:val="18"/>
                <w:szCs w:val="18"/>
                <w:color w:val="auto"/>
              </w:rPr>
              <w:t>US$20,000 as of December 31, 2016; none issued and outstanding as of December 31, 2017)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15</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18,845</w:t>
            </w: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02"/>
        </w:trPr>
        <w:tc>
          <w:tcPr>
            <w:tcW w:w="94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Redeemable ordinary shares (US$0.001 par value; 742,320 shares issued and outstanding as of December 31, 2016;</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 issued and outstanding as of December 31, 2017)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16</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15,445</w:t>
            </w: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mezzanine equity</w:t>
            </w: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104,383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5"/>
          </w:tcPr>
          <w:p>
            <w:pPr>
              <w:jc w:val="right"/>
              <w:ind w:right="3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320" w:type="dxa"/>
            <w:vAlign w:val="bottom"/>
          </w:tcPr>
          <w:p>
            <w:pPr>
              <w:ind w:left="9040"/>
              <w:spacing w:after="0"/>
              <w:rPr>
                <w:sz w:val="20"/>
                <w:szCs w:val="20"/>
                <w:color w:val="auto"/>
              </w:rPr>
            </w:pPr>
            <w:r>
              <w:rPr>
                <w:rFonts w:ascii="Arial" w:cs="Arial" w:eastAsia="Arial" w:hAnsi="Arial"/>
                <w:sz w:val="14"/>
                <w:szCs w:val="14"/>
                <w:color w:val="auto"/>
                <w:w w:val="87"/>
              </w:rPr>
              <w:t>Note</w:t>
            </w:r>
          </w:p>
        </w:tc>
        <w:tc>
          <w:tcPr>
            <w:tcW w:w="300" w:type="dxa"/>
            <w:vAlign w:val="bottom"/>
          </w:tcPr>
          <w:p>
            <w:pPr>
              <w:spacing w:after="0"/>
              <w:rPr>
                <w:sz w:val="14"/>
                <w:szCs w:val="14"/>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13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tcPr>
          <w:p>
            <w:pPr>
              <w:ind w:left="340"/>
              <w:spacing w:after="0" w:line="201" w:lineRule="exact"/>
              <w:rPr>
                <w:sz w:val="20"/>
                <w:szCs w:val="20"/>
                <w:color w:val="auto"/>
              </w:rPr>
            </w:pPr>
            <w:r>
              <w:rPr>
                <w:rFonts w:ascii="Arial" w:cs="Arial" w:eastAsia="Arial" w:hAnsi="Arial"/>
                <w:sz w:val="18"/>
                <w:szCs w:val="18"/>
                <w:color w:val="auto"/>
              </w:rPr>
              <w:t>Ordinary shares – Class A (US$0.001 par value; 37,150,000 shares and 80,000,000 shares authorized as of</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520"/>
              <w:spacing w:after="0"/>
              <w:rPr>
                <w:sz w:val="20"/>
                <w:szCs w:val="20"/>
                <w:color w:val="auto"/>
              </w:rPr>
            </w:pPr>
            <w:r>
              <w:rPr>
                <w:rFonts w:ascii="Arial" w:cs="Arial" w:eastAsia="Arial" w:hAnsi="Arial"/>
                <w:sz w:val="18"/>
                <w:szCs w:val="18"/>
                <w:color w:val="auto"/>
              </w:rPr>
              <w:t>December 31, 2016 and 2017, respectively; 13,609,208 and 21,238,825 shares issued and outstanding as of</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tcPr>
          <w:p>
            <w:pPr>
              <w:ind w:left="520"/>
              <w:spacing w:after="0"/>
              <w:rPr>
                <w:sz w:val="20"/>
                <w:szCs w:val="20"/>
                <w:color w:val="auto"/>
              </w:rPr>
            </w:pPr>
            <w:r>
              <w:rPr>
                <w:rFonts w:ascii="Arial" w:cs="Arial" w:eastAsia="Arial" w:hAnsi="Arial"/>
                <w:sz w:val="18"/>
                <w:szCs w:val="18"/>
                <w:color w:val="auto"/>
              </w:rPr>
              <w:t>December 31, 2016 and 2017, respectively)</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17</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Ordinary shares – Class B (US$0.001 par value; nil share and 20,000,000 shares authorized as of December 31,</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2016 and 2017, respectively; nil share and 4,820,608 shares issued and outstanding as of December 31, 2016 and</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 respectively)</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17</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Treasury shares (2,149,280 and 2,123,382 shares as of December 31, 2016 and 2017, respectively)</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17</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(2,468)</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65,687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Statutory reserves</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losses</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(3,241)</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(124,385)</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(149,004)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(64,312)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119,984</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40" w:type="dxa"/>
            <w:vAlign w:val="bottom"/>
            <w:gridSpan w:val="7"/>
          </w:tcPr>
          <w:p>
            <w:pPr>
              <w:jc w:val="right"/>
              <w:ind w:right="6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040" w:type="dxa"/>
            <w:vAlign w:val="bottom"/>
          </w:tcPr>
          <w:p>
            <w:pPr>
              <w:jc w:val="right"/>
              <w:ind w:right="72"/>
              <w:spacing w:after="0"/>
              <w:rPr>
                <w:sz w:val="20"/>
                <w:szCs w:val="20"/>
                <w:color w:val="auto"/>
              </w:rPr>
            </w:pPr>
            <w:r>
              <w:rPr>
                <w:rFonts w:ascii="Arial" w:cs="Arial" w:eastAsia="Arial" w:hAnsi="Arial"/>
                <w:sz w:val="14"/>
                <w:szCs w:val="14"/>
                <w:color w:val="auto"/>
              </w:rPr>
              <w:t>Note</w:t>
            </w: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0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65,242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95,357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Cost of revenues</w:t>
            </w:r>
          </w:p>
        </w:tc>
        <w:tc>
          <w:tcPr>
            <w:tcW w:w="1040" w:type="dxa"/>
            <w:vAlign w:val="bottom"/>
          </w:tcPr>
          <w:p>
            <w:pPr>
              <w:spacing w:after="0"/>
              <w:rPr>
                <w:sz w:val="19"/>
                <w:szCs w:val="19"/>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(34,531)</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(61,048)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(95,733)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(8,106)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(8,584)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0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(31,385)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(28,266)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(12,745)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(26,767)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(12,983)</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0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(52,236)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0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(21,525)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(29,308)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(107)</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(713)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gains/(losses), net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Fair value (losses)/gains on derivative liabilities</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15</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(19,390)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3,995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0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(40,231)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(27,108)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Share of loss from an equity investee</w:t>
            </w:r>
          </w:p>
        </w:tc>
        <w:tc>
          <w:tcPr>
            <w:tcW w:w="10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0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(2,692)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040" w:type="dxa"/>
            <w:vAlign w:val="bottom"/>
          </w:tcPr>
          <w:p>
            <w:pPr>
              <w:spacing w:after="0"/>
              <w:rPr>
                <w:sz w:val="18"/>
                <w:szCs w:val="18"/>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(1,982)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0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w w:val="99"/>
              </w:rPr>
              <w:t>Net loss attributable to iClick Interactive Asia Group Limited’s ordinary shareholders</w:t>
            </w:r>
          </w:p>
        </w:tc>
        <w:tc>
          <w:tcPr>
            <w:tcW w:w="10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(39,714)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(27,330)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0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10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10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 Basic</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rPr>
              <w:t>(3.58)</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(3.58)</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Weighted average number of ordinary shares used in per share calculation:</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11,661,049</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13,151,063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13,931,503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 Diluted</w:t>
            </w:r>
          </w:p>
        </w:tc>
        <w:tc>
          <w:tcPr>
            <w:tcW w:w="104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11,661,049</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13,151,063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13,931,503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color w:val="auto"/>
              </w:rPr>
              <w:t>Ordinary shares</w:t>
            </w:r>
          </w:p>
        </w:tc>
        <w:tc>
          <w:tcPr>
            <w:tcW w:w="1760" w:type="dxa"/>
            <w:vAlign w:val="bottom"/>
            <w:gridSpan w:val="4"/>
          </w:tcPr>
          <w:p>
            <w:pPr>
              <w:jc w:val="right"/>
              <w:ind w:right="52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other</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Number of</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Additional</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Accumulated</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2"/>
              </w:rPr>
              <w:t>Statutory</w:t>
            </w:r>
          </w:p>
        </w:tc>
        <w:tc>
          <w:tcPr>
            <w:tcW w:w="1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comprehensive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shares</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Amount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deficit</w:t>
            </w:r>
          </w:p>
        </w:tc>
        <w:tc>
          <w:tcPr>
            <w:tcW w:w="540" w:type="dxa"/>
            <w:vAlign w:val="bottom"/>
          </w:tcPr>
          <w:p>
            <w:pPr>
              <w:ind w:left="40"/>
              <w:spacing w:after="0"/>
              <w:rPr>
                <w:sz w:val="20"/>
                <w:szCs w:val="20"/>
                <w:color w:val="auto"/>
              </w:rPr>
            </w:pPr>
            <w:r>
              <w:rPr>
                <w:rFonts w:ascii="Arial" w:cs="Arial" w:eastAsia="Arial" w:hAnsi="Arial"/>
                <w:sz w:val="14"/>
                <w:szCs w:val="14"/>
                <w:color w:val="auto"/>
                <w:w w:val="89"/>
              </w:rPr>
              <w:t>reserves</w:t>
            </w:r>
          </w:p>
        </w:tc>
        <w:tc>
          <w:tcPr>
            <w:tcW w:w="14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losses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11,102,278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1,143,044</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(59,932)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(2,973)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(62,813)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4"/>
              </w:rPr>
              <w:t>Issuance of ordinary shares and reissuance</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of treasury shares upon acquisition of</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OptAim Limited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2,535,091</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(600,169)</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51,641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51,644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Reissuance of treasury shares upon</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Buzzinate Company</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142,151</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(142,151)</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2,027</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Issuance of ordinary shares and held as</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treasury shares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1,578,244</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ordinary shares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(803,217)</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803,217</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(11,637)</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w w:val="91"/>
              </w:rPr>
              <w:t>Reissuance of treasury shares upon exercise</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of employee share options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127,997</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(127,997)</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1,854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(1,571)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6,494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(2,692)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accretion</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00" w:type="dxa"/>
            <w:vAlign w:val="bottom"/>
          </w:tcPr>
          <w:p>
            <w:pPr>
              <w:spacing w:after="0" w:line="201" w:lineRule="exact"/>
              <w:rPr>
                <w:sz w:val="20"/>
                <w:szCs w:val="20"/>
                <w:color w:val="auto"/>
              </w:rPr>
            </w:pPr>
            <w:r>
              <w:rPr>
                <w:rFonts w:ascii="Arial" w:cs="Arial" w:eastAsia="Arial" w:hAnsi="Arial"/>
                <w:sz w:val="18"/>
                <w:szCs w:val="18"/>
                <w:color w:val="auto"/>
              </w:rPr>
              <w:t>Deemed contribution upon repurchase of</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00" w:type="dxa"/>
            <w:vAlign w:val="bottom"/>
          </w:tcPr>
          <w:p>
            <w:pPr>
              <w:ind w:left="160"/>
              <w:spacing w:after="0"/>
              <w:rPr>
                <w:sz w:val="20"/>
                <w:szCs w:val="20"/>
                <w:color w:val="auto"/>
              </w:rPr>
            </w:pPr>
            <w:r>
              <w:rPr>
                <w:rFonts w:ascii="Arial" w:cs="Arial" w:eastAsia="Arial" w:hAnsi="Arial"/>
                <w:sz w:val="18"/>
                <w:szCs w:val="18"/>
                <w:color w:val="auto"/>
              </w:rPr>
              <w:t>Series B-1 preferred shares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2,591</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(39,714)</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13,104,300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2,654,188</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53,917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(3,102)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(DEFICIT)/EQUITY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color w:val="auto"/>
              </w:rPr>
              <w:t>Ordinary shares</w:t>
            </w:r>
          </w:p>
        </w:tc>
        <w:tc>
          <w:tcPr>
            <w:tcW w:w="1680" w:type="dxa"/>
            <w:vAlign w:val="bottom"/>
            <w:gridSpan w:val="4"/>
          </w:tcPr>
          <w:p>
            <w:pPr>
              <w:jc w:val="right"/>
              <w:ind w:right="48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other</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Number of</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Additional</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Accumulated</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2"/>
              </w:rPr>
              <w:t>Statutory</w:t>
            </w:r>
          </w:p>
        </w:tc>
        <w:tc>
          <w:tcPr>
            <w:tcW w:w="1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comprehensive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color w:val="auto"/>
              </w:rPr>
              <w:t>shares</w:t>
            </w:r>
          </w:p>
        </w:tc>
        <w:tc>
          <w:tcPr>
            <w:tcW w:w="620" w:type="dxa"/>
            <w:vAlign w:val="bottom"/>
            <w:gridSpan w:val="2"/>
          </w:tcPr>
          <w:p>
            <w:pPr>
              <w:spacing w:after="0"/>
              <w:rPr>
                <w:sz w:val="20"/>
                <w:szCs w:val="20"/>
                <w:color w:val="auto"/>
              </w:rPr>
            </w:pPr>
            <w:r>
              <w:rPr>
                <w:rFonts w:ascii="Arial" w:cs="Arial" w:eastAsia="Arial" w:hAnsi="Arial"/>
                <w:sz w:val="14"/>
                <w:szCs w:val="14"/>
                <w:color w:val="auto"/>
              </w:rPr>
              <w:t>Amount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deficit</w:t>
            </w:r>
          </w:p>
        </w:tc>
        <w:tc>
          <w:tcPr>
            <w:tcW w:w="540" w:type="dxa"/>
            <w:vAlign w:val="bottom"/>
          </w:tcPr>
          <w:p>
            <w:pPr>
              <w:ind w:left="40"/>
              <w:spacing w:after="0"/>
              <w:rPr>
                <w:sz w:val="20"/>
                <w:szCs w:val="20"/>
                <w:color w:val="auto"/>
              </w:rPr>
            </w:pPr>
            <w:r>
              <w:rPr>
                <w:rFonts w:ascii="Arial" w:cs="Arial" w:eastAsia="Arial" w:hAnsi="Arial"/>
                <w:sz w:val="14"/>
                <w:szCs w:val="14"/>
                <w:color w:val="auto"/>
                <w:w w:val="89"/>
              </w:rPr>
              <w:t>reserves</w:t>
            </w:r>
          </w:p>
        </w:tc>
        <w:tc>
          <w:tcPr>
            <w:tcW w:w="14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losses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13,104,300</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2,654,188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53,917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(97,055)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(3,102)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w w:val="92"/>
              </w:rPr>
              <w:t>Reissuance of treasury shares as share-based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436,773</w:t>
            </w:r>
          </w:p>
        </w:tc>
        <w:tc>
          <w:tcPr>
            <w:tcW w:w="12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(436,773)</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6,328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(6,329)</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Reissuance of treasury shares upon exercise of</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share options</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68,135</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(68,135)</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987</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21,244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accretion</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Redeemable ordinary shares accretion</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(1,556)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(27,330)</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13,609,208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2,149,280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65,687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(3,241)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(DEFICIT)/EQUITY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color w:val="auto"/>
              </w:rPr>
              <w:t>Ordinary shares</w:t>
            </w:r>
          </w:p>
        </w:tc>
        <w:tc>
          <w:tcPr>
            <w:tcW w:w="1680" w:type="dxa"/>
            <w:vAlign w:val="bottom"/>
            <w:gridSpan w:val="4"/>
          </w:tcPr>
          <w:p>
            <w:pPr>
              <w:ind w:left="300"/>
              <w:spacing w:after="0"/>
              <w:rPr>
                <w:sz w:val="20"/>
                <w:szCs w:val="20"/>
                <w:color w:val="auto"/>
              </w:rPr>
            </w:pPr>
            <w:r>
              <w:rPr>
                <w:rFonts w:ascii="Arial" w:cs="Arial" w:eastAsia="Arial" w:hAnsi="Arial"/>
                <w:sz w:val="14"/>
                <w:szCs w:val="14"/>
                <w:color w:val="auto"/>
              </w:rPr>
              <w:t>Treasury shares</w:t>
            </w: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3"/>
              </w:rPr>
              <w:t>Accumulated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7"/>
              </w:rPr>
              <w:t>other</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Number of</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Number of</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Additional</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Accumulated</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2"/>
              </w:rPr>
              <w:t>Statutory</w:t>
            </w:r>
          </w:p>
        </w:tc>
        <w:tc>
          <w:tcPr>
            <w:tcW w:w="14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comprehensive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color w:val="auto"/>
              </w:rPr>
              <w:t>shares</w:t>
            </w:r>
          </w:p>
        </w:tc>
        <w:tc>
          <w:tcPr>
            <w:tcW w:w="620" w:type="dxa"/>
            <w:vAlign w:val="bottom"/>
            <w:gridSpan w:val="2"/>
          </w:tcPr>
          <w:p>
            <w:pPr>
              <w:spacing w:after="0"/>
              <w:rPr>
                <w:sz w:val="20"/>
                <w:szCs w:val="20"/>
                <w:color w:val="auto"/>
              </w:rPr>
            </w:pPr>
            <w:r>
              <w:rPr>
                <w:rFonts w:ascii="Arial" w:cs="Arial" w:eastAsia="Arial" w:hAnsi="Arial"/>
                <w:sz w:val="14"/>
                <w:szCs w:val="14"/>
                <w:color w:val="auto"/>
              </w:rPr>
              <w:t>Amount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shares</w:t>
            </w:r>
          </w:p>
        </w:tc>
        <w:tc>
          <w:tcPr>
            <w:tcW w:w="720" w:type="dxa"/>
            <w:vAlign w:val="bottom"/>
            <w:gridSpan w:val="2"/>
          </w:tcPr>
          <w:p>
            <w:pPr>
              <w:ind w:left="40"/>
              <w:spacing w:after="0"/>
              <w:rPr>
                <w:sz w:val="20"/>
                <w:szCs w:val="20"/>
                <w:color w:val="auto"/>
              </w:rPr>
            </w:pPr>
            <w:r>
              <w:rPr>
                <w:rFonts w:ascii="Arial" w:cs="Arial" w:eastAsia="Arial" w:hAnsi="Arial"/>
                <w:sz w:val="14"/>
                <w:szCs w:val="14"/>
                <w:color w:val="auto"/>
              </w:rPr>
              <w:t>Amount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w w:val="94"/>
              </w:rPr>
              <w:t>paid-in capital</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deficit</w:t>
            </w:r>
          </w:p>
        </w:tc>
        <w:tc>
          <w:tcPr>
            <w:tcW w:w="540" w:type="dxa"/>
            <w:vAlign w:val="bottom"/>
          </w:tcPr>
          <w:p>
            <w:pPr>
              <w:ind w:left="40"/>
              <w:spacing w:after="0"/>
              <w:rPr>
                <w:sz w:val="20"/>
                <w:szCs w:val="20"/>
                <w:color w:val="auto"/>
              </w:rPr>
            </w:pPr>
            <w:r>
              <w:rPr>
                <w:rFonts w:ascii="Arial" w:cs="Arial" w:eastAsia="Arial" w:hAnsi="Arial"/>
                <w:sz w:val="14"/>
                <w:szCs w:val="14"/>
                <w:color w:val="auto"/>
                <w:w w:val="89"/>
              </w:rPr>
              <w:t>reserves</w:t>
            </w:r>
          </w:p>
        </w:tc>
        <w:tc>
          <w:tcPr>
            <w:tcW w:w="14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color w:val="auto"/>
                <w:w w:val="90"/>
              </w:rPr>
              <w:t>losses</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deficit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13,609,208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2,149,280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(2,468)</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65,687</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(124,385)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(3,241)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w w:val="91"/>
              </w:rPr>
              <w:t>Reissuance of treasury shares upon exercise of</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employee share options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25,898</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(25,898)</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375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(315)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(1,662)</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Redeemable ordinary shares accretion</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(3,650)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Derecognition of derivative liabilities</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71,074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71,074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ordinary shares upon Initial public</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 (“IPO”)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2,156,250</w:t>
            </w:r>
          </w:p>
        </w:tc>
        <w:tc>
          <w:tcPr>
            <w:tcW w:w="12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28,403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80" w:type="dxa"/>
            <w:vAlign w:val="bottom"/>
          </w:tcPr>
          <w:p>
            <w:pPr>
              <w:spacing w:after="0" w:line="201" w:lineRule="exact"/>
              <w:rPr>
                <w:sz w:val="20"/>
                <w:szCs w:val="20"/>
                <w:color w:val="auto"/>
              </w:rPr>
            </w:pPr>
            <w:r>
              <w:rPr>
                <w:rFonts w:ascii="Arial" w:cs="Arial" w:eastAsia="Arial" w:hAnsi="Arial"/>
                <w:sz w:val="18"/>
                <w:szCs w:val="18"/>
                <w:color w:val="auto"/>
              </w:rPr>
              <w:t>Conversion of preferred shares to Class A</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160"/>
              <w:spacing w:after="0"/>
              <w:rPr>
                <w:sz w:val="20"/>
                <w:szCs w:val="20"/>
                <w:color w:val="auto"/>
              </w:rPr>
            </w:pPr>
            <w:r>
              <w:rPr>
                <w:rFonts w:ascii="Arial" w:cs="Arial" w:eastAsia="Arial" w:hAnsi="Arial"/>
                <w:sz w:val="18"/>
                <w:szCs w:val="18"/>
                <w:color w:val="auto"/>
              </w:rPr>
              <w:t>ordinary shares</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10,268,077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109,685</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109,695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(24,619)</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26,059,433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2,123,382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(2,093)</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274,294</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(149,004)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(3,320)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7"/>
          </w:tcPr>
          <w:p>
            <w:pPr>
              <w:jc w:val="right"/>
              <w:ind w:right="180"/>
              <w:spacing w:after="0"/>
              <w:rPr>
                <w:sz w:val="20"/>
                <w:szCs w:val="20"/>
                <w:color w:val="auto"/>
              </w:rPr>
            </w:pPr>
            <w:r>
              <w:rPr>
                <w:rFonts w:ascii="Arial" w:cs="Arial" w:eastAsia="Arial" w:hAnsi="Arial"/>
                <w:sz w:val="14"/>
                <w:szCs w:val="14"/>
                <w:color w:val="auto"/>
                <w:w w:val="97"/>
              </w:rPr>
              <w:t>For the years 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color w:val="auto"/>
              </w:rPr>
              <w:t>2015</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4"/>
                <w:szCs w:val="14"/>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(39,714)</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(27,330)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Depreciation of property and equipment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1,138</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1,512</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Recovery of doubtful debts previously provided for</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(185)</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loss from an equity investee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6,494</w:t>
            </w:r>
          </w:p>
        </w:tc>
        <w:tc>
          <w:tcPr>
            <w:tcW w:w="2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21,244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losses/(gains) on derivative liabilities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Fair value gain on re-measurement of equity investee</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(1,161)</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(1,292)</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Changes in operating assets and liabilities, net</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(13,746)</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Prepayments and other assets</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(155)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881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other current liabilities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(3,765)</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10,763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Rebates receivables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Prepaid media costs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8,100</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(9,617)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Income tax payable</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(237)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1,935</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(9,797)</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(13,881)</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Prepayment of property and equipment</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(2,628)</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(884)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 of intangible assets</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(Increase)/decrease in short-term investments</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(1,552)</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1,552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 of time deposit</w:t>
            </w:r>
          </w:p>
        </w:tc>
        <w:tc>
          <w:tcPr>
            <w:tcW w:w="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Decrease/(increase) in restricted cash</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692</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(4,234)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 net of cash received</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(14,486)</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(18,095</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(19,931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60" w:type="dxa"/>
            <w:vAlign w:val="bottom"/>
            <w:gridSpan w:val="6"/>
          </w:tcPr>
          <w:p>
            <w:pPr>
              <w:jc w:val="right"/>
              <w:ind w:right="200"/>
              <w:spacing w:after="0"/>
              <w:rPr>
                <w:sz w:val="20"/>
                <w:szCs w:val="20"/>
                <w:color w:val="auto"/>
              </w:rPr>
            </w:pPr>
            <w:r>
              <w:rPr>
                <w:rFonts w:ascii="Arial" w:cs="Arial" w:eastAsia="Arial" w:hAnsi="Arial"/>
                <w:sz w:val="14"/>
                <w:szCs w:val="14"/>
                <w:color w:val="auto"/>
                <w:w w:val="93"/>
              </w:rPr>
              <w:t>For the years 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Repurchase of Series B convertible redeemable preferred shares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(11,581)</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Series D convertible redeemable preferred shares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Proceeds from issuance of Series E convertible redeemable preferred shares</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20,000</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share options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Proceeds from bank borrowings</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7,589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8,232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Repayments of bank borrowings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(1,642)</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(11,639)</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amounts due to related parties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Net proceeds from issuance of ordinary shares upon IPO</w:t>
            </w:r>
          </w:p>
        </w:tc>
        <w:tc>
          <w:tcPr>
            <w:tcW w:w="6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28,405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24,564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25,546</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(30,504)</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16,947</w:t>
            </w: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year</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41,131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10,395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Effect on exchange rate changes on cash and cash equivalents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(232)</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year</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27,280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19,401</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Interests paid</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Cash (paid)/refunded for income taxes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(912)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665</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9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Acquisition of Buzzinate Company Limited in form of share issuance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2,027</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OptAim Limited in form of share issuance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50,843</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w w:val="94"/>
              </w:rPr>
              <w:t>Fair value of replacement awards attributable to pre-acquisition services for acquisition of OptAim Limited (note 4(b))</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to Series A preferred shares redemption value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Accretion to Series B preferred shares redemption value</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2,385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to redeemable ordinary shares redemption value</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IPO costs in form of other payables</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p>
      <w:pPr>
        <w:ind w:left="580" w:hanging="572"/>
        <w:spacing w:after="0"/>
        <w:tabs>
          <w:tab w:leader="none" w:pos="5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131" w:lineRule="exact"/>
        <w:rPr>
          <w:sz w:val="20"/>
          <w:szCs w:val="20"/>
          <w:color w:val="auto"/>
        </w:rPr>
      </w:pPr>
    </w:p>
    <w:p>
      <w:pPr>
        <w:ind w:left="580" w:hanging="572"/>
        <w:spacing w:after="0"/>
        <w:tabs>
          <w:tab w:leader="none" w:pos="5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121" w:lineRule="exact"/>
        <w:rPr>
          <w:rFonts w:ascii="Arial" w:cs="Arial" w:eastAsia="Arial" w:hAnsi="Arial"/>
          <w:sz w:val="18"/>
          <w:szCs w:val="18"/>
          <w:b w:val="1"/>
          <w:bCs w:val="1"/>
          <w:color w:val="auto"/>
        </w:rPr>
      </w:pPr>
    </w:p>
    <w:p>
      <w:pPr>
        <w:ind w:left="58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and the People’s Republic of China (“the PRC”). There are also sales teams in Singapore, Taiwan and the United Kingdom.</w:t>
      </w:r>
    </w:p>
    <w:p>
      <w:pPr>
        <w:spacing w:after="0" w:line="63" w:lineRule="exact"/>
        <w:rPr>
          <w:rFonts w:ascii="Arial" w:cs="Arial" w:eastAsia="Arial" w:hAnsi="Arial"/>
          <w:sz w:val="18"/>
          <w:szCs w:val="18"/>
          <w:b w:val="1"/>
          <w:bCs w:val="1"/>
          <w:color w:val="auto"/>
        </w:rPr>
      </w:pPr>
    </w:p>
    <w:p>
      <w:pPr>
        <w:ind w:left="580" w:right="4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November 2014, the Company entered into a sale and purchase agreement (“SPA”) with Buzzinate Company Limited (“Buzzinate”) and its shareholders and acquired 33.3% and 66.7% equity interest in Buzzinate in 2014 and 2015, respectively. As a result, Buzzinate became a wholly owned subsidiary of the Company in 2015. Buzzinate is engaged in the provision of online marketing services and mainly focuses on the PRC market. Refer to note 4(a) to the consolidated financial statements for more details in relation to this transaction.</w:t>
      </w:r>
    </w:p>
    <w:p>
      <w:pPr>
        <w:spacing w:after="0" w:line="46" w:lineRule="exact"/>
        <w:rPr>
          <w:rFonts w:ascii="Arial" w:cs="Arial" w:eastAsia="Arial" w:hAnsi="Arial"/>
          <w:sz w:val="18"/>
          <w:szCs w:val="18"/>
          <w:b w:val="1"/>
          <w:bCs w:val="1"/>
          <w:color w:val="auto"/>
        </w:rPr>
      </w:pPr>
    </w:p>
    <w:p>
      <w:pPr>
        <w:ind w:left="58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entered into a SPA with OptAim Limited (“OptAim”) and its shareholders where the Company agreed to subscribe for the entire equity interests in OptAim, with certain operations of OptAim conducted through VIE arrangements. Upon completion of this transaction in 2015, OptAim and its subsidiaries became wholly-owned subsidiaries of the Company. OptAim is engaged in the provision of online marketing services with a focus of mobile device in the PRC market. Refer to note 4(b) to the consolidated financial statements for more details in relation to this transaction.</w:t>
      </w:r>
    </w:p>
    <w:p>
      <w:pPr>
        <w:spacing w:after="0" w:line="80" w:lineRule="exact"/>
        <w:rPr>
          <w:rFonts w:ascii="Arial" w:cs="Arial" w:eastAsia="Arial" w:hAnsi="Arial"/>
          <w:sz w:val="18"/>
          <w:szCs w:val="18"/>
          <w:b w:val="1"/>
          <w:bCs w:val="1"/>
          <w:color w:val="auto"/>
        </w:rPr>
      </w:pPr>
    </w:p>
    <w:p>
      <w:pPr>
        <w:ind w:left="58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80" w:type="dxa"/>
            <w:vAlign w:val="bottom"/>
          </w:tcPr>
          <w:p>
            <w:pPr>
              <w:ind w:left="120"/>
              <w:spacing w:after="0"/>
              <w:rPr>
                <w:sz w:val="20"/>
                <w:szCs w:val="20"/>
                <w:color w:val="auto"/>
              </w:rPr>
            </w:pPr>
            <w:r>
              <w:rPr>
                <w:rFonts w:ascii="Arial" w:cs="Arial" w:eastAsia="Arial" w:hAnsi="Arial"/>
                <w:sz w:val="14"/>
                <w:szCs w:val="14"/>
                <w:color w:val="auto"/>
              </w:rPr>
              <w:t>% of direct</w:t>
            </w: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or indirect</w:t>
            </w:r>
          </w:p>
        </w:tc>
        <w:tc>
          <w:tcPr>
            <w:tcW w:w="1600" w:type="dxa"/>
            <w:vAlign w:val="bottom"/>
          </w:tcPr>
          <w:p>
            <w:pPr>
              <w:spacing w:after="0"/>
              <w:rPr>
                <w:sz w:val="12"/>
                <w:szCs w:val="12"/>
                <w:color w:val="auto"/>
              </w:rPr>
            </w:pPr>
          </w:p>
        </w:tc>
        <w:tc>
          <w:tcPr>
            <w:tcW w:w="146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0"/>
              </w:rPr>
              <w:t>Place of</w:t>
            </w: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80" w:type="dxa"/>
            <w:vAlign w:val="bottom"/>
          </w:tcPr>
          <w:p>
            <w:pPr>
              <w:jc w:val="right"/>
              <w:ind w:right="376"/>
              <w:spacing w:after="0" w:line="149" w:lineRule="exact"/>
              <w:rPr>
                <w:sz w:val="20"/>
                <w:szCs w:val="20"/>
                <w:color w:val="auto"/>
              </w:rPr>
            </w:pPr>
            <w:r>
              <w:rPr>
                <w:rFonts w:ascii="Arial" w:cs="Arial" w:eastAsia="Arial" w:hAnsi="Arial"/>
                <w:sz w:val="14"/>
                <w:szCs w:val="14"/>
                <w:color w:val="auto"/>
              </w:rPr>
              <w:t>economic</w:t>
            </w:r>
          </w:p>
        </w:tc>
        <w:tc>
          <w:tcPr>
            <w:tcW w:w="1600" w:type="dxa"/>
            <w:vAlign w:val="bottom"/>
          </w:tcPr>
          <w:p>
            <w:pPr>
              <w:jc w:val="right"/>
              <w:ind w:right="574"/>
              <w:spacing w:after="0" w:line="149" w:lineRule="exact"/>
              <w:rPr>
                <w:sz w:val="20"/>
                <w:szCs w:val="20"/>
                <w:color w:val="auto"/>
              </w:rPr>
            </w:pPr>
            <w:r>
              <w:rPr>
                <w:rFonts w:ascii="Arial" w:cs="Arial" w:eastAsia="Arial" w:hAnsi="Arial"/>
                <w:sz w:val="14"/>
                <w:szCs w:val="14"/>
                <w:color w:val="auto"/>
              </w:rPr>
              <w:t>Date of</w:t>
            </w:r>
          </w:p>
        </w:tc>
        <w:tc>
          <w:tcPr>
            <w:tcW w:w="1460" w:type="dxa"/>
            <w:vAlign w:val="bottom"/>
          </w:tcPr>
          <w:p>
            <w:pPr>
              <w:jc w:val="center"/>
              <w:ind w:right="34"/>
              <w:spacing w:after="0" w:line="149" w:lineRule="exact"/>
              <w:rPr>
                <w:sz w:val="20"/>
                <w:szCs w:val="20"/>
                <w:color w:val="auto"/>
              </w:rPr>
            </w:pPr>
            <w:r>
              <w:rPr>
                <w:rFonts w:ascii="Arial" w:cs="Arial" w:eastAsia="Arial" w:hAnsi="Arial"/>
                <w:sz w:val="14"/>
                <w:szCs w:val="14"/>
                <w:color w:val="auto"/>
                <w:w w:val="96"/>
              </w:rPr>
              <w:t>incorporation/</w:t>
            </w:r>
          </w:p>
        </w:tc>
        <w:tc>
          <w:tcPr>
            <w:tcW w:w="1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720" w:type="dxa"/>
            <w:vAlign w:val="bottom"/>
            <w:gridSpan w:val="2"/>
          </w:tcPr>
          <w:p>
            <w:pPr>
              <w:spacing w:after="0"/>
              <w:rPr>
                <w:sz w:val="20"/>
                <w:szCs w:val="20"/>
                <w:color w:val="auto"/>
              </w:rPr>
            </w:pPr>
            <w:r>
              <w:rPr>
                <w:rFonts w:ascii="Arial" w:cs="Arial" w:eastAsia="Arial" w:hAnsi="Arial"/>
                <w:sz w:val="14"/>
                <w:szCs w:val="14"/>
                <w:color w:val="auto"/>
              </w:rPr>
              <w:t>Name</w:t>
            </w:r>
          </w:p>
        </w:tc>
        <w:tc>
          <w:tcPr>
            <w:tcW w:w="1700" w:type="dxa"/>
            <w:vAlign w:val="bottom"/>
          </w:tcPr>
          <w:p>
            <w:pPr>
              <w:ind w:left="780"/>
              <w:spacing w:after="0"/>
              <w:rPr>
                <w:sz w:val="20"/>
                <w:szCs w:val="20"/>
                <w:color w:val="auto"/>
              </w:rPr>
            </w:pPr>
            <w:r>
              <w:rPr>
                <w:rFonts w:ascii="Arial" w:cs="Arial" w:eastAsia="Arial" w:hAnsi="Arial"/>
                <w:sz w:val="14"/>
                <w:szCs w:val="14"/>
                <w:color w:val="auto"/>
              </w:rPr>
              <w:t>Relationship</w:t>
            </w:r>
          </w:p>
        </w:tc>
        <w:tc>
          <w:tcPr>
            <w:tcW w:w="1180" w:type="dxa"/>
            <w:vAlign w:val="bottom"/>
          </w:tcPr>
          <w:p>
            <w:pPr>
              <w:ind w:left="140"/>
              <w:spacing w:after="0"/>
              <w:rPr>
                <w:sz w:val="20"/>
                <w:szCs w:val="20"/>
                <w:color w:val="auto"/>
              </w:rPr>
            </w:pPr>
            <w:r>
              <w:rPr>
                <w:rFonts w:ascii="Arial" w:cs="Arial" w:eastAsia="Arial" w:hAnsi="Arial"/>
                <w:sz w:val="14"/>
                <w:szCs w:val="14"/>
                <w:color w:val="auto"/>
              </w:rPr>
              <w:t>ownership</w:t>
            </w:r>
          </w:p>
        </w:tc>
        <w:tc>
          <w:tcPr>
            <w:tcW w:w="1600" w:type="dxa"/>
            <w:vAlign w:val="bottom"/>
          </w:tcPr>
          <w:p>
            <w:pPr>
              <w:jc w:val="right"/>
              <w:ind w:right="414"/>
              <w:spacing w:after="0"/>
              <w:rPr>
                <w:sz w:val="20"/>
                <w:szCs w:val="20"/>
                <w:color w:val="auto"/>
              </w:rPr>
            </w:pPr>
            <w:r>
              <w:rPr>
                <w:rFonts w:ascii="Arial" w:cs="Arial" w:eastAsia="Arial" w:hAnsi="Arial"/>
                <w:sz w:val="14"/>
                <w:szCs w:val="14"/>
                <w:color w:val="auto"/>
              </w:rPr>
              <w:t>incorporation</w:t>
            </w:r>
          </w:p>
        </w:tc>
        <w:tc>
          <w:tcPr>
            <w:tcW w:w="1460" w:type="dxa"/>
            <w:vAlign w:val="bottom"/>
          </w:tcPr>
          <w:p>
            <w:pPr>
              <w:jc w:val="center"/>
              <w:ind w:right="34"/>
              <w:spacing w:after="0"/>
              <w:rPr>
                <w:sz w:val="20"/>
                <w:szCs w:val="20"/>
                <w:color w:val="auto"/>
              </w:rPr>
            </w:pPr>
            <w:r>
              <w:rPr>
                <w:rFonts w:ascii="Arial" w:cs="Arial" w:eastAsia="Arial" w:hAnsi="Arial"/>
                <w:sz w:val="14"/>
                <w:szCs w:val="14"/>
                <w:color w:val="auto"/>
                <w:w w:val="90"/>
              </w:rPr>
              <w:t>establishment</w:t>
            </w:r>
          </w:p>
        </w:tc>
        <w:tc>
          <w:tcPr>
            <w:tcW w:w="1780" w:type="dxa"/>
            <w:vAlign w:val="bottom"/>
            <w:gridSpan w:val="2"/>
          </w:tcPr>
          <w:p>
            <w:pPr>
              <w:jc w:val="right"/>
              <w:ind w:right="34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Digital Marketing Group Limited</w:t>
            </w:r>
          </w:p>
        </w:tc>
        <w:tc>
          <w:tcPr>
            <w:tcW w:w="1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October 2006</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Hong Kong</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Dormant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720" w:type="dxa"/>
            <w:vAlign w:val="bottom"/>
            <w:gridSpan w:val="2"/>
          </w:tcPr>
          <w:p>
            <w:pPr>
              <w:spacing w:after="0"/>
              <w:rPr>
                <w:sz w:val="20"/>
                <w:szCs w:val="20"/>
                <w:color w:val="auto"/>
              </w:rPr>
            </w:pPr>
            <w:r>
              <w:rPr>
                <w:rFonts w:ascii="Arial" w:cs="Arial" w:eastAsia="Arial" w:hAnsi="Arial"/>
                <w:sz w:val="18"/>
                <w:szCs w:val="18"/>
                <w:color w:val="auto"/>
              </w:rPr>
              <w:t>Tetris Media Limited</w:t>
            </w:r>
          </w:p>
        </w:tc>
        <w:tc>
          <w:tcPr>
            <w:tcW w:w="1700" w:type="dxa"/>
            <w:vAlign w:val="bottom"/>
          </w:tcPr>
          <w:p>
            <w:pPr>
              <w:ind w:left="800"/>
              <w:spacing w:after="0"/>
              <w:rPr>
                <w:sz w:val="20"/>
                <w:szCs w:val="20"/>
                <w:color w:val="auto"/>
              </w:rPr>
            </w:pPr>
            <w:r>
              <w:rPr>
                <w:rFonts w:ascii="Arial" w:cs="Arial" w:eastAsia="Arial" w:hAnsi="Arial"/>
                <w:sz w:val="18"/>
                <w:szCs w:val="18"/>
                <w:color w:val="auto"/>
              </w:rPr>
              <w:t>Subsidiary</w:t>
            </w:r>
          </w:p>
        </w:tc>
        <w:tc>
          <w:tcPr>
            <w:tcW w:w="1180" w:type="dxa"/>
            <w:vAlign w:val="bottom"/>
          </w:tcPr>
          <w:p>
            <w:pPr>
              <w:jc w:val="right"/>
              <w:ind w:right="176"/>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July 2007</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Hong Kong</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Internet marketing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services and solutions</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37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iClick Interactive Asia Limited</w:t>
            </w:r>
          </w:p>
        </w:tc>
        <w:tc>
          <w:tcPr>
            <w:tcW w:w="170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jc w:val="right"/>
              <w:ind w:right="176"/>
              <w:spacing w:after="0" w:line="201"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4"/>
              <w:spacing w:after="0" w:line="201" w:lineRule="exact"/>
              <w:rPr>
                <w:sz w:val="20"/>
                <w:szCs w:val="20"/>
                <w:color w:val="auto"/>
              </w:rPr>
            </w:pPr>
            <w:r>
              <w:rPr>
                <w:rFonts w:ascii="Arial" w:cs="Arial" w:eastAsia="Arial" w:hAnsi="Arial"/>
                <w:sz w:val="18"/>
                <w:szCs w:val="18"/>
                <w:color w:val="auto"/>
              </w:rPr>
              <w:t>December 2008</w:t>
            </w:r>
          </w:p>
        </w:tc>
        <w:tc>
          <w:tcPr>
            <w:tcW w:w="1460" w:type="dxa"/>
            <w:vAlign w:val="bottom"/>
            <w:shd w:val="clear" w:color="auto" w:fill="CCEEFF"/>
          </w:tcPr>
          <w:p>
            <w:pPr>
              <w:jc w:val="right"/>
              <w:ind w:right="94"/>
              <w:spacing w:after="0" w:line="201" w:lineRule="exact"/>
              <w:rPr>
                <w:sz w:val="20"/>
                <w:szCs w:val="20"/>
                <w:color w:val="auto"/>
              </w:rPr>
            </w:pPr>
            <w:r>
              <w:rPr>
                <w:rFonts w:ascii="Arial" w:cs="Arial" w:eastAsia="Arial" w:hAnsi="Arial"/>
                <w:sz w:val="18"/>
                <w:szCs w:val="18"/>
                <w:color w:val="auto"/>
              </w:rPr>
              <w:t>Hong Kong</w:t>
            </w:r>
          </w:p>
        </w:tc>
        <w:tc>
          <w:tcPr>
            <w:tcW w:w="1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services and solutions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3720" w:type="dxa"/>
            <w:vAlign w:val="bottom"/>
            <w:gridSpan w:val="2"/>
          </w:tcPr>
          <w:p>
            <w:pPr>
              <w:spacing w:after="0"/>
              <w:rPr>
                <w:sz w:val="20"/>
                <w:szCs w:val="20"/>
                <w:color w:val="auto"/>
              </w:rPr>
            </w:pPr>
            <w:r>
              <w:rPr>
                <w:rFonts w:ascii="Arial" w:cs="Arial" w:eastAsia="Arial" w:hAnsi="Arial"/>
                <w:sz w:val="18"/>
                <w:szCs w:val="18"/>
                <w:color w:val="auto"/>
              </w:rPr>
              <w:t>Optimix Media Asia Limited</w:t>
            </w:r>
          </w:p>
        </w:tc>
        <w:tc>
          <w:tcPr>
            <w:tcW w:w="1700" w:type="dxa"/>
            <w:vAlign w:val="bottom"/>
          </w:tcPr>
          <w:p>
            <w:pPr>
              <w:ind w:left="800"/>
              <w:spacing w:after="0"/>
              <w:rPr>
                <w:sz w:val="20"/>
                <w:szCs w:val="20"/>
                <w:color w:val="auto"/>
              </w:rPr>
            </w:pPr>
            <w:r>
              <w:rPr>
                <w:rFonts w:ascii="Arial" w:cs="Arial" w:eastAsia="Arial" w:hAnsi="Arial"/>
                <w:sz w:val="18"/>
                <w:szCs w:val="18"/>
                <w:color w:val="auto"/>
              </w:rPr>
              <w:t>Subsidiary</w:t>
            </w:r>
          </w:p>
        </w:tc>
        <w:tc>
          <w:tcPr>
            <w:tcW w:w="1180" w:type="dxa"/>
            <w:vAlign w:val="bottom"/>
          </w:tcPr>
          <w:p>
            <w:pPr>
              <w:jc w:val="right"/>
              <w:ind w:right="176"/>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March 2009</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Hong Kong</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China Search (Asia) Limited</w:t>
            </w:r>
          </w:p>
        </w:tc>
        <w:tc>
          <w:tcPr>
            <w:tcW w:w="1700" w:type="dxa"/>
            <w:vAlign w:val="bottom"/>
            <w:shd w:val="clear" w:color="auto" w:fill="CCEEFF"/>
          </w:tcPr>
          <w:p>
            <w:pPr>
              <w:ind w:left="800"/>
              <w:spacing w:after="0" w:line="201" w:lineRule="exact"/>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jc w:val="right"/>
              <w:ind w:right="176"/>
              <w:spacing w:after="0" w:line="201"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4"/>
              <w:spacing w:after="0" w:line="201" w:lineRule="exact"/>
              <w:rPr>
                <w:sz w:val="20"/>
                <w:szCs w:val="20"/>
                <w:color w:val="auto"/>
              </w:rPr>
            </w:pPr>
            <w:r>
              <w:rPr>
                <w:rFonts w:ascii="Arial" w:cs="Arial" w:eastAsia="Arial" w:hAnsi="Arial"/>
                <w:sz w:val="18"/>
                <w:szCs w:val="18"/>
                <w:color w:val="auto"/>
              </w:rPr>
              <w:t>September 2010</w:t>
            </w:r>
          </w:p>
        </w:tc>
        <w:tc>
          <w:tcPr>
            <w:tcW w:w="1460" w:type="dxa"/>
            <w:vAlign w:val="bottom"/>
            <w:shd w:val="clear" w:color="auto" w:fill="CCEEFF"/>
          </w:tcPr>
          <w:p>
            <w:pPr>
              <w:jc w:val="right"/>
              <w:ind w:right="94"/>
              <w:spacing w:after="0" w:line="201" w:lineRule="exact"/>
              <w:rPr>
                <w:sz w:val="20"/>
                <w:szCs w:val="20"/>
                <w:color w:val="auto"/>
              </w:rPr>
            </w:pPr>
            <w:r>
              <w:rPr>
                <w:rFonts w:ascii="Arial" w:cs="Arial" w:eastAsia="Arial" w:hAnsi="Arial"/>
                <w:sz w:val="18"/>
                <w:szCs w:val="18"/>
                <w:color w:val="auto"/>
              </w:rPr>
              <w:t>Hong Kong</w:t>
            </w:r>
          </w:p>
        </w:tc>
        <w:tc>
          <w:tcPr>
            <w:tcW w:w="17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services and solutions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720" w:type="dxa"/>
            <w:vAlign w:val="bottom"/>
            <w:gridSpan w:val="2"/>
          </w:tcPr>
          <w:p>
            <w:pPr>
              <w:spacing w:after="0"/>
              <w:rPr>
                <w:sz w:val="20"/>
                <w:szCs w:val="20"/>
                <w:color w:val="auto"/>
              </w:rPr>
            </w:pPr>
            <w:r>
              <w:rPr>
                <w:rFonts w:ascii="Arial" w:cs="Arial" w:eastAsia="Arial" w:hAnsi="Arial"/>
                <w:sz w:val="18"/>
                <w:szCs w:val="18"/>
                <w:color w:val="auto"/>
              </w:rPr>
              <w:t>Diablo Holdings Corporation</w:t>
            </w:r>
          </w:p>
        </w:tc>
        <w:tc>
          <w:tcPr>
            <w:tcW w:w="1700" w:type="dxa"/>
            <w:vAlign w:val="bottom"/>
          </w:tcPr>
          <w:p>
            <w:pPr>
              <w:ind w:left="800"/>
              <w:spacing w:after="0"/>
              <w:rPr>
                <w:sz w:val="20"/>
                <w:szCs w:val="20"/>
                <w:color w:val="auto"/>
              </w:rPr>
            </w:pPr>
            <w:r>
              <w:rPr>
                <w:rFonts w:ascii="Arial" w:cs="Arial" w:eastAsia="Arial" w:hAnsi="Arial"/>
                <w:sz w:val="18"/>
                <w:szCs w:val="18"/>
                <w:color w:val="auto"/>
              </w:rPr>
              <w:t>Subsidiary</w:t>
            </w:r>
          </w:p>
        </w:tc>
        <w:tc>
          <w:tcPr>
            <w:tcW w:w="1180" w:type="dxa"/>
            <w:vAlign w:val="bottom"/>
          </w:tcPr>
          <w:p>
            <w:pPr>
              <w:jc w:val="right"/>
              <w:ind w:right="176"/>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August 2010</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British Virgin</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Islands (“BVI”)</w:t>
            </w: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Harmattan Capital Holdings Corporation</w:t>
            </w:r>
          </w:p>
        </w:tc>
        <w:tc>
          <w:tcPr>
            <w:tcW w:w="1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August 2010</w:t>
            </w:r>
          </w:p>
        </w:tc>
        <w:tc>
          <w:tcPr>
            <w:tcW w:w="14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BVI</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Investment holding</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720" w:type="dxa"/>
            <w:vAlign w:val="bottom"/>
            <w:gridSpan w:val="2"/>
          </w:tcPr>
          <w:p>
            <w:pPr>
              <w:spacing w:after="0"/>
              <w:rPr>
                <w:sz w:val="20"/>
                <w:szCs w:val="20"/>
                <w:color w:val="auto"/>
              </w:rPr>
            </w:pPr>
            <w:r>
              <w:rPr>
                <w:rFonts w:ascii="Arial" w:cs="Arial" w:eastAsia="Arial" w:hAnsi="Arial"/>
                <w:sz w:val="18"/>
                <w:szCs w:val="18"/>
                <w:color w:val="auto"/>
              </w:rPr>
              <w:t>iClick Interactive (Singapore) Pte. Ltd.</w:t>
            </w:r>
          </w:p>
        </w:tc>
        <w:tc>
          <w:tcPr>
            <w:tcW w:w="1700" w:type="dxa"/>
            <w:vAlign w:val="bottom"/>
          </w:tcPr>
          <w:p>
            <w:pPr>
              <w:ind w:left="800"/>
              <w:spacing w:after="0"/>
              <w:rPr>
                <w:sz w:val="20"/>
                <w:szCs w:val="20"/>
                <w:color w:val="auto"/>
              </w:rPr>
            </w:pPr>
            <w:r>
              <w:rPr>
                <w:rFonts w:ascii="Arial" w:cs="Arial" w:eastAsia="Arial" w:hAnsi="Arial"/>
                <w:sz w:val="18"/>
                <w:szCs w:val="18"/>
                <w:color w:val="auto"/>
              </w:rPr>
              <w:t>Subsidiary</w:t>
            </w:r>
          </w:p>
        </w:tc>
        <w:tc>
          <w:tcPr>
            <w:tcW w:w="1180" w:type="dxa"/>
            <w:vAlign w:val="bottom"/>
          </w:tcPr>
          <w:p>
            <w:pPr>
              <w:jc w:val="right"/>
              <w:ind w:right="176"/>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January 2011</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Singapore</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Internet marketing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services and solutions</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80" w:type="dxa"/>
            <w:vAlign w:val="bottom"/>
          </w:tcPr>
          <w:p>
            <w:pPr>
              <w:ind w:left="120"/>
              <w:spacing w:after="0"/>
              <w:rPr>
                <w:sz w:val="20"/>
                <w:szCs w:val="20"/>
                <w:color w:val="auto"/>
              </w:rPr>
            </w:pPr>
            <w:r>
              <w:rPr>
                <w:rFonts w:ascii="Arial" w:cs="Arial" w:eastAsia="Arial" w:hAnsi="Arial"/>
                <w:sz w:val="18"/>
                <w:szCs w:val="18"/>
                <w:color w:val="auto"/>
              </w:rPr>
              <w:t>F-13</w:t>
            </w: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58" w:lineRule="exact"/>
        <w:rPr>
          <w:sz w:val="20"/>
          <w:szCs w:val="20"/>
          <w:color w:val="auto"/>
        </w:rPr>
      </w:pPr>
    </w:p>
    <w:p>
      <w:pPr>
        <w:ind w:left="580" w:hanging="572"/>
        <w:spacing w:after="0"/>
        <w:tabs>
          <w:tab w:leader="none" w:pos="58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161" w:lineRule="exact"/>
        <w:rPr>
          <w:rFonts w:ascii="Arial" w:cs="Arial" w:eastAsia="Arial" w:hAnsi="Arial"/>
          <w:sz w:val="18"/>
          <w:szCs w:val="18"/>
          <w:b w:val="1"/>
          <w:bCs w:val="1"/>
          <w:color w:val="auto"/>
        </w:rPr>
      </w:pPr>
    </w:p>
    <w:p>
      <w:pPr>
        <w:ind w:left="58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subsidiary (defined in Note 1(b))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80" w:type="dxa"/>
            <w:vAlign w:val="bottom"/>
          </w:tcPr>
          <w:p>
            <w:pPr>
              <w:jc w:val="right"/>
              <w:ind w:right="334"/>
              <w:spacing w:after="0"/>
              <w:rPr>
                <w:sz w:val="20"/>
                <w:szCs w:val="20"/>
                <w:color w:val="auto"/>
              </w:rPr>
            </w:pPr>
            <w:r>
              <w:rPr>
                <w:rFonts w:ascii="Arial" w:cs="Arial" w:eastAsia="Arial" w:hAnsi="Arial"/>
                <w:sz w:val="14"/>
                <w:szCs w:val="14"/>
                <w:color w:val="auto"/>
              </w:rPr>
              <w:t>% of direct</w:t>
            </w:r>
          </w:p>
        </w:tc>
        <w:tc>
          <w:tcPr>
            <w:tcW w:w="1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or indirect</w:t>
            </w:r>
          </w:p>
        </w:tc>
        <w:tc>
          <w:tcPr>
            <w:tcW w:w="16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Place of</w:t>
            </w: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80" w:type="dxa"/>
            <w:vAlign w:val="bottom"/>
          </w:tcPr>
          <w:p>
            <w:pPr>
              <w:ind w:left="160"/>
              <w:spacing w:after="0" w:line="149" w:lineRule="exact"/>
              <w:rPr>
                <w:sz w:val="20"/>
                <w:szCs w:val="20"/>
                <w:color w:val="auto"/>
              </w:rPr>
            </w:pPr>
            <w:r>
              <w:rPr>
                <w:rFonts w:ascii="Arial" w:cs="Arial" w:eastAsia="Arial" w:hAnsi="Arial"/>
                <w:sz w:val="14"/>
                <w:szCs w:val="14"/>
                <w:color w:val="auto"/>
              </w:rPr>
              <w:t>economic</w:t>
            </w:r>
          </w:p>
        </w:tc>
        <w:tc>
          <w:tcPr>
            <w:tcW w:w="1600" w:type="dxa"/>
            <w:vAlign w:val="bottom"/>
          </w:tcPr>
          <w:p>
            <w:pPr>
              <w:jc w:val="right"/>
              <w:ind w:right="572"/>
              <w:spacing w:after="0" w:line="149" w:lineRule="exact"/>
              <w:rPr>
                <w:sz w:val="20"/>
                <w:szCs w:val="20"/>
                <w:color w:val="auto"/>
              </w:rPr>
            </w:pPr>
            <w:r>
              <w:rPr>
                <w:rFonts w:ascii="Arial" w:cs="Arial" w:eastAsia="Arial" w:hAnsi="Arial"/>
                <w:sz w:val="14"/>
                <w:szCs w:val="14"/>
                <w:color w:val="auto"/>
              </w:rPr>
              <w:t>Date of</w:t>
            </w: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4"/>
              </w:rPr>
              <w:t>incorporation/</w:t>
            </w:r>
          </w:p>
        </w:tc>
        <w:tc>
          <w:tcPr>
            <w:tcW w:w="1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200" w:type="dxa"/>
            <w:vAlign w:val="bottom"/>
            <w:gridSpan w:val="2"/>
          </w:tcPr>
          <w:p>
            <w:pPr>
              <w:spacing w:after="0"/>
              <w:rPr>
                <w:sz w:val="20"/>
                <w:szCs w:val="20"/>
                <w:color w:val="auto"/>
              </w:rPr>
            </w:pPr>
            <w:r>
              <w:rPr>
                <w:rFonts w:ascii="Arial" w:cs="Arial" w:eastAsia="Arial" w:hAnsi="Arial"/>
                <w:sz w:val="14"/>
                <w:szCs w:val="14"/>
                <w:color w:val="auto"/>
              </w:rPr>
              <w:t>Name</w:t>
            </w:r>
          </w:p>
        </w:tc>
        <w:tc>
          <w:tcPr>
            <w:tcW w:w="1180" w:type="dxa"/>
            <w:vAlign w:val="bottom"/>
          </w:tcPr>
          <w:p>
            <w:pPr>
              <w:jc w:val="right"/>
              <w:ind w:right="171"/>
              <w:spacing w:after="0"/>
              <w:rPr>
                <w:sz w:val="20"/>
                <w:szCs w:val="20"/>
                <w:color w:val="auto"/>
              </w:rPr>
            </w:pPr>
            <w:r>
              <w:rPr>
                <w:rFonts w:ascii="Arial" w:cs="Arial" w:eastAsia="Arial" w:hAnsi="Arial"/>
                <w:sz w:val="14"/>
                <w:szCs w:val="14"/>
                <w:color w:val="auto"/>
              </w:rPr>
              <w:t>Relationship</w:t>
            </w:r>
          </w:p>
        </w:tc>
        <w:tc>
          <w:tcPr>
            <w:tcW w:w="1180" w:type="dxa"/>
            <w:vAlign w:val="bottom"/>
          </w:tcPr>
          <w:p>
            <w:pPr>
              <w:ind w:left="140"/>
              <w:spacing w:after="0"/>
              <w:rPr>
                <w:sz w:val="20"/>
                <w:szCs w:val="20"/>
                <w:color w:val="auto"/>
              </w:rPr>
            </w:pPr>
            <w:r>
              <w:rPr>
                <w:rFonts w:ascii="Arial" w:cs="Arial" w:eastAsia="Arial" w:hAnsi="Arial"/>
                <w:sz w:val="14"/>
                <w:szCs w:val="14"/>
                <w:color w:val="auto"/>
              </w:rPr>
              <w:t>ownership</w:t>
            </w:r>
          </w:p>
        </w:tc>
        <w:tc>
          <w:tcPr>
            <w:tcW w:w="1600" w:type="dxa"/>
            <w:vAlign w:val="bottom"/>
          </w:tcPr>
          <w:p>
            <w:pPr>
              <w:jc w:val="right"/>
              <w:ind w:right="412"/>
              <w:spacing w:after="0"/>
              <w:rPr>
                <w:sz w:val="20"/>
                <w:szCs w:val="20"/>
                <w:color w:val="auto"/>
              </w:rPr>
            </w:pPr>
            <w:r>
              <w:rPr>
                <w:rFonts w:ascii="Arial" w:cs="Arial" w:eastAsia="Arial" w:hAnsi="Arial"/>
                <w:sz w:val="14"/>
                <w:szCs w:val="14"/>
                <w:color w:val="auto"/>
              </w:rPr>
              <w:t>incorporation</w:t>
            </w:r>
          </w:p>
        </w:tc>
        <w:tc>
          <w:tcPr>
            <w:tcW w:w="1440" w:type="dxa"/>
            <w:vAlign w:val="bottom"/>
          </w:tcPr>
          <w:p>
            <w:pPr>
              <w:jc w:val="center"/>
              <w:spacing w:after="0"/>
              <w:rPr>
                <w:sz w:val="20"/>
                <w:szCs w:val="20"/>
                <w:color w:val="auto"/>
              </w:rPr>
            </w:pPr>
            <w:r>
              <w:rPr>
                <w:rFonts w:ascii="Arial" w:cs="Arial" w:eastAsia="Arial" w:hAnsi="Arial"/>
                <w:sz w:val="14"/>
                <w:szCs w:val="14"/>
                <w:color w:val="auto"/>
                <w:w w:val="92"/>
              </w:rPr>
              <w:t>establishment</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auto"/>
              </w:rPr>
              <w:t>Principal activities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iClick Interactive (Beijing) Advertisement Co., Ltd</w:t>
            </w:r>
          </w:p>
        </w:tc>
        <w:tc>
          <w:tcPr>
            <w:tcW w:w="118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January 2011</w:t>
            </w:r>
          </w:p>
        </w:tc>
        <w:tc>
          <w:tcPr>
            <w:tcW w:w="144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The PRC</w:t>
            </w:r>
          </w:p>
        </w:tc>
        <w:tc>
          <w:tcPr>
            <w:tcW w:w="1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Search Asia Technology (Shenzhen) Co., Ltd.</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Subsidiary</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January 2011</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The PRC</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Internet marketing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services and solutions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i-Click Interactive Taiwan Limited Taiwan Branch</w:t>
            </w:r>
          </w:p>
        </w:tc>
        <w:tc>
          <w:tcPr>
            <w:tcW w:w="118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Subsidiary’s</w:t>
            </w:r>
          </w:p>
        </w:tc>
        <w:tc>
          <w:tcPr>
            <w:tcW w:w="118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September 2011</w:t>
            </w:r>
          </w:p>
        </w:tc>
        <w:tc>
          <w:tcPr>
            <w:tcW w:w="144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Taiwan</w:t>
            </w:r>
          </w:p>
        </w:tc>
        <w:tc>
          <w:tcPr>
            <w:tcW w:w="1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branch</w:t>
            </w:r>
          </w:p>
        </w:tc>
        <w:tc>
          <w:tcPr>
            <w:tcW w:w="1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Performance Media Group Limited</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Subsidiary</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January 2013</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Hong Kong</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Internet marketing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services and solutions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Tetris Media (Shanghai) Co., Ltd.</w:t>
            </w:r>
          </w:p>
        </w:tc>
        <w:tc>
          <w:tcPr>
            <w:tcW w:w="118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July 2013</w:t>
            </w:r>
          </w:p>
        </w:tc>
        <w:tc>
          <w:tcPr>
            <w:tcW w:w="144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The PRC</w:t>
            </w:r>
          </w:p>
        </w:tc>
        <w:tc>
          <w:tcPr>
            <w:tcW w:w="1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Buzzinate Company Limited</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Subsidiary</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March 2009</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Hong Kong</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Buzzinate (Shanghai) Information Technology Co., Ltd.</w:t>
            </w:r>
          </w:p>
        </w:tc>
        <w:tc>
          <w:tcPr>
            <w:tcW w:w="118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July 2009</w:t>
            </w:r>
          </w:p>
        </w:tc>
        <w:tc>
          <w:tcPr>
            <w:tcW w:w="144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The PRC</w:t>
            </w:r>
          </w:p>
        </w:tc>
        <w:tc>
          <w:tcPr>
            <w:tcW w:w="1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Technology</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development service</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200" w:type="dxa"/>
            <w:vAlign w:val="bottom"/>
            <w:gridSpan w:val="2"/>
          </w:tcPr>
          <w:p>
            <w:pPr>
              <w:spacing w:after="0"/>
              <w:rPr>
                <w:sz w:val="20"/>
                <w:szCs w:val="20"/>
                <w:color w:val="auto"/>
              </w:rPr>
            </w:pPr>
            <w:r>
              <w:rPr>
                <w:rFonts w:ascii="Arial" w:cs="Arial" w:eastAsia="Arial" w:hAnsi="Arial"/>
                <w:sz w:val="18"/>
                <w:szCs w:val="18"/>
                <w:color w:val="auto"/>
              </w:rPr>
              <w:t>OptAim Limited</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Subsidiary</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July 2014</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w w:val="99"/>
              </w:rPr>
              <w:t>Cayman Islands</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4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OptAim (HK) Limited</w:t>
            </w: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July 2014</w:t>
            </w:r>
          </w:p>
        </w:tc>
        <w:tc>
          <w:tcPr>
            <w:tcW w:w="14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Hong Kong</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Investment holding</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OptAim (Beijing) Information Technology Co., Ltd.</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Subsidiary</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November 2014</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The PRC</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Internet marketing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services and solutions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Anhui Zhiyunzhong Information Technology Co., Ltd.</w:t>
            </w:r>
          </w:p>
        </w:tc>
        <w:tc>
          <w:tcPr>
            <w:tcW w:w="118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November 2017</w:t>
            </w:r>
          </w:p>
        </w:tc>
        <w:tc>
          <w:tcPr>
            <w:tcW w:w="144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The PRC</w:t>
            </w:r>
          </w:p>
        </w:tc>
        <w:tc>
          <w:tcPr>
            <w:tcW w:w="1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Beijing OptAim Network Technology Co., Ltd.</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VIE</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September 2012</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The PRC</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Internet marketing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services and solutions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Zhiyunzhong (Shanghai) Technology Co., Ltd.</w:t>
            </w:r>
          </w:p>
        </w:tc>
        <w:tc>
          <w:tcPr>
            <w:tcW w:w="1180" w:type="dxa"/>
            <w:vAlign w:val="bottom"/>
            <w:shd w:val="clear" w:color="auto" w:fill="CCEEFF"/>
          </w:tcPr>
          <w:p>
            <w:pPr>
              <w:jc w:val="right"/>
              <w:ind w:right="51"/>
              <w:spacing w:after="0" w:line="201" w:lineRule="exact"/>
              <w:rPr>
                <w:sz w:val="20"/>
                <w:szCs w:val="20"/>
                <w:color w:val="auto"/>
              </w:rPr>
            </w:pPr>
            <w:r>
              <w:rPr>
                <w:rFonts w:ascii="Arial" w:cs="Arial" w:eastAsia="Arial" w:hAnsi="Arial"/>
                <w:sz w:val="18"/>
                <w:szCs w:val="18"/>
                <w:color w:val="auto"/>
              </w:rPr>
              <w:t>VIE’s</w:t>
            </w:r>
          </w:p>
        </w:tc>
        <w:tc>
          <w:tcPr>
            <w:tcW w:w="1180" w:type="dxa"/>
            <w:vAlign w:val="bottom"/>
            <w:shd w:val="clear" w:color="auto" w:fill="CCEEFF"/>
          </w:tcPr>
          <w:p>
            <w:pPr>
              <w:jc w:val="right"/>
              <w:ind w:right="174"/>
              <w:spacing w:after="0" w:line="201" w:lineRule="exact"/>
              <w:rPr>
                <w:sz w:val="20"/>
                <w:szCs w:val="20"/>
                <w:color w:val="auto"/>
              </w:rPr>
            </w:pPr>
            <w:r>
              <w:rPr>
                <w:rFonts w:ascii="Arial" w:cs="Arial" w:eastAsia="Arial" w:hAnsi="Arial"/>
                <w:sz w:val="18"/>
                <w:szCs w:val="18"/>
                <w:color w:val="auto"/>
              </w:rPr>
              <w:t>100%</w:t>
            </w:r>
          </w:p>
        </w:tc>
        <w:tc>
          <w:tcPr>
            <w:tcW w:w="1600" w:type="dxa"/>
            <w:vAlign w:val="bottom"/>
            <w:shd w:val="clear" w:color="auto" w:fill="CCEEFF"/>
          </w:tcPr>
          <w:p>
            <w:pPr>
              <w:jc w:val="right"/>
              <w:ind w:right="72"/>
              <w:spacing w:after="0" w:line="201" w:lineRule="exact"/>
              <w:rPr>
                <w:sz w:val="20"/>
                <w:szCs w:val="20"/>
                <w:color w:val="auto"/>
              </w:rPr>
            </w:pPr>
            <w:r>
              <w:rPr>
                <w:rFonts w:ascii="Arial" w:cs="Arial" w:eastAsia="Arial" w:hAnsi="Arial"/>
                <w:sz w:val="18"/>
                <w:szCs w:val="18"/>
                <w:color w:val="auto"/>
              </w:rPr>
              <w:t>September 2014</w:t>
            </w:r>
          </w:p>
        </w:tc>
        <w:tc>
          <w:tcPr>
            <w:tcW w:w="1440" w:type="dxa"/>
            <w:vAlign w:val="bottom"/>
            <w:shd w:val="clear" w:color="auto" w:fill="CCEEFF"/>
          </w:tcPr>
          <w:p>
            <w:pPr>
              <w:jc w:val="right"/>
              <w:ind w:right="53"/>
              <w:spacing w:after="0" w:line="201" w:lineRule="exact"/>
              <w:rPr>
                <w:sz w:val="20"/>
                <w:szCs w:val="20"/>
                <w:color w:val="auto"/>
              </w:rPr>
            </w:pPr>
            <w:r>
              <w:rPr>
                <w:rFonts w:ascii="Arial" w:cs="Arial" w:eastAsia="Arial" w:hAnsi="Arial"/>
                <w:sz w:val="18"/>
                <w:szCs w:val="18"/>
                <w:color w:val="auto"/>
              </w:rPr>
              <w:t>The PRC</w:t>
            </w:r>
          </w:p>
        </w:tc>
        <w:tc>
          <w:tcPr>
            <w:tcW w:w="1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subsidiary</w:t>
            </w:r>
          </w:p>
        </w:tc>
        <w:tc>
          <w:tcPr>
            <w:tcW w:w="11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200" w:type="dxa"/>
            <w:vAlign w:val="bottom"/>
            <w:gridSpan w:val="2"/>
          </w:tcPr>
          <w:p>
            <w:pPr>
              <w:spacing w:after="0"/>
              <w:rPr>
                <w:sz w:val="20"/>
                <w:szCs w:val="20"/>
                <w:color w:val="auto"/>
              </w:rPr>
            </w:pPr>
            <w:r>
              <w:rPr>
                <w:rFonts w:ascii="Arial" w:cs="Arial" w:eastAsia="Arial" w:hAnsi="Arial"/>
                <w:sz w:val="18"/>
                <w:szCs w:val="18"/>
                <w:color w:val="auto"/>
              </w:rPr>
              <w:t>Arda Holdings Limited</w:t>
            </w: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VIE</w:t>
            </w: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100%</w:t>
            </w:r>
          </w:p>
        </w:tc>
        <w:tc>
          <w:tcPr>
            <w:tcW w:w="1600" w:type="dxa"/>
            <w:vAlign w:val="bottom"/>
          </w:tcPr>
          <w:p>
            <w:pPr>
              <w:jc w:val="right"/>
              <w:ind w:right="72"/>
              <w:spacing w:after="0"/>
              <w:rPr>
                <w:sz w:val="20"/>
                <w:szCs w:val="20"/>
                <w:color w:val="auto"/>
              </w:rPr>
            </w:pPr>
            <w:r>
              <w:rPr>
                <w:rFonts w:ascii="Arial" w:cs="Arial" w:eastAsia="Arial" w:hAnsi="Arial"/>
                <w:sz w:val="18"/>
                <w:szCs w:val="18"/>
                <w:color w:val="auto"/>
              </w:rPr>
              <w:t>May 2010</w:t>
            </w:r>
          </w:p>
        </w:tc>
        <w:tc>
          <w:tcPr>
            <w:tcW w:w="1440" w:type="dxa"/>
            <w:vAlign w:val="bottom"/>
          </w:tcPr>
          <w:p>
            <w:pPr>
              <w:jc w:val="right"/>
              <w:ind w:right="53"/>
              <w:spacing w:after="0"/>
              <w:rPr>
                <w:sz w:val="20"/>
                <w:szCs w:val="20"/>
                <w:color w:val="auto"/>
              </w:rPr>
            </w:pPr>
            <w:r>
              <w:rPr>
                <w:rFonts w:ascii="Arial" w:cs="Arial" w:eastAsia="Arial" w:hAnsi="Arial"/>
                <w:sz w:val="18"/>
                <w:szCs w:val="18"/>
                <w:color w:val="auto"/>
              </w:rPr>
              <w:t>BVI</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To hold treasury shares</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ind w:left="160"/>
              <w:spacing w:after="0"/>
              <w:rPr>
                <w:sz w:val="20"/>
                <w:szCs w:val="20"/>
                <w:color w:val="auto"/>
              </w:rPr>
            </w:pPr>
            <w:r>
              <w:rPr>
                <w:rFonts w:ascii="Arial" w:cs="Arial" w:eastAsia="Arial" w:hAnsi="Arial"/>
                <w:sz w:val="18"/>
                <w:szCs w:val="18"/>
                <w:color w:val="auto"/>
              </w:rPr>
              <w:t>F-14</w:t>
            </w:r>
          </w:p>
        </w:tc>
        <w:tc>
          <w:tcPr>
            <w:tcW w:w="1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58" w:lineRule="exact"/>
        <w:rPr>
          <w:sz w:val="20"/>
          <w:szCs w:val="20"/>
          <w:color w:val="auto"/>
        </w:rPr>
      </w:pPr>
    </w:p>
    <w:p>
      <w:pPr>
        <w:ind w:left="580" w:hanging="572"/>
        <w:spacing w:after="0"/>
        <w:tabs>
          <w:tab w:leader="none" w:pos="58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w:t>
      </w:r>
    </w:p>
    <w:p>
      <w:pPr>
        <w:spacing w:after="0" w:line="121" w:lineRule="exact"/>
        <w:rPr>
          <w:rFonts w:ascii="Arial" w:cs="Arial" w:eastAsia="Arial" w:hAnsi="Arial"/>
          <w:sz w:val="18"/>
          <w:szCs w:val="18"/>
          <w:b w:val="1"/>
          <w:bCs w:val="1"/>
          <w:color w:val="auto"/>
        </w:rPr>
      </w:pPr>
    </w:p>
    <w:p>
      <w:pPr>
        <w:ind w:left="580" w:right="12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Network Technology Co., Ltd. (“Beijing OptAim”) and Zhiyun Zhong (Shanghai) Technology Co., Ltd. (“Shanghai OptAim”) (or “OptAim VIE”). OptAim (Beijing) Information Technology Co., Ltd, (“OptAim WFOE”), a wholly-owned subsidiary of the Company, or a wholly foreign owned enterprise (“WFOE”) of the Company entered into a series of contractual agreements among Beijing OptAim and Beijing OptAim’s legal shareholders.</w:t>
      </w:r>
    </w:p>
    <w:p>
      <w:pPr>
        <w:spacing w:after="0" w:line="28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11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131" w:lineRule="exact"/>
        <w:rPr>
          <w:sz w:val="20"/>
          <w:szCs w:val="20"/>
          <w:color w:val="auto"/>
        </w:rPr>
      </w:pPr>
    </w:p>
    <w:p>
      <w:pPr>
        <w:ind w:left="1120" w:hanging="545"/>
        <w:spacing w:after="0"/>
        <w:tabs>
          <w:tab w:leader="none" w:pos="11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117" w:lineRule="exact"/>
        <w:rPr>
          <w:sz w:val="20"/>
          <w:szCs w:val="20"/>
          <w:color w:val="auto"/>
        </w:rPr>
      </w:pPr>
    </w:p>
    <w:p>
      <w:pPr>
        <w:ind w:left="1140" w:right="40"/>
        <w:spacing w:after="0" w:line="255" w:lineRule="auto"/>
        <w:rPr>
          <w:sz w:val="20"/>
          <w:szCs w:val="20"/>
          <w:color w:val="auto"/>
        </w:rPr>
      </w:pPr>
      <w:r>
        <w:rPr>
          <w:rFonts w:ascii="Arial" w:cs="Arial" w:eastAsia="Arial" w:hAnsi="Arial"/>
          <w:sz w:val="18"/>
          <w:szCs w:val="18"/>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 There was no service fee paid and payable from Beijing OptAim and Shanghai OptAim to OptAim WFOE for the years ended December 31, 2015, 2016 and 2017 as Beijing OptAim and Shanghai OptAim, in aggregated, have been incurring losses.</w:t>
      </w:r>
    </w:p>
    <w:p>
      <w:pPr>
        <w:spacing w:after="0" w:line="95" w:lineRule="exact"/>
        <w:rPr>
          <w:sz w:val="20"/>
          <w:szCs w:val="20"/>
          <w:color w:val="auto"/>
        </w:rPr>
      </w:pPr>
    </w:p>
    <w:p>
      <w:pPr>
        <w:ind w:left="1120" w:hanging="545"/>
        <w:spacing w:after="0"/>
        <w:tabs>
          <w:tab w:leader="none" w:pos="11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117"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The parties to the purchase option agreement are OptAim WFOE, Beijing OptAim and each of the shareholders of Beijing OptAim. Under the purchase option agreement, each of the shareholder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95" w:lineRule="exact"/>
        <w:rPr>
          <w:sz w:val="20"/>
          <w:szCs w:val="20"/>
          <w:color w:val="auto"/>
        </w:rPr>
      </w:pPr>
    </w:p>
    <w:p>
      <w:pPr>
        <w:ind w:left="1120" w:hanging="545"/>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117" w:lineRule="exact"/>
        <w:rPr>
          <w:sz w:val="20"/>
          <w:szCs w:val="20"/>
          <w:color w:val="auto"/>
        </w:rPr>
      </w:pPr>
    </w:p>
    <w:p>
      <w:pPr>
        <w:ind w:left="1140" w:right="20"/>
        <w:spacing w:after="0" w:line="259" w:lineRule="auto"/>
        <w:rPr>
          <w:sz w:val="20"/>
          <w:szCs w:val="20"/>
          <w:color w:val="auto"/>
        </w:rPr>
      </w:pPr>
      <w:r>
        <w:rPr>
          <w:rFonts w:ascii="Arial" w:cs="Arial" w:eastAsia="Arial" w:hAnsi="Arial"/>
          <w:sz w:val="18"/>
          <w:szCs w:val="18"/>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58" w:lineRule="exact"/>
        <w:rPr>
          <w:sz w:val="20"/>
          <w:szCs w:val="20"/>
          <w:color w:val="auto"/>
        </w:rPr>
      </w:pPr>
    </w:p>
    <w:p>
      <w:pPr>
        <w:ind w:left="580" w:hanging="572"/>
        <w:spacing w:after="0"/>
        <w:tabs>
          <w:tab w:leader="none" w:pos="5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62" w:lineRule="exact"/>
        <w:rPr>
          <w:sz w:val="20"/>
          <w:szCs w:val="20"/>
          <w:color w:val="auto"/>
        </w:rPr>
      </w:pPr>
    </w:p>
    <w:p>
      <w:pPr>
        <w:ind w:left="1120" w:hanging="545"/>
        <w:spacing w:after="0"/>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117"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81" w:lineRule="exact"/>
        <w:rPr>
          <w:sz w:val="20"/>
          <w:szCs w:val="20"/>
          <w:color w:val="auto"/>
        </w:rPr>
      </w:pPr>
    </w:p>
    <w:p>
      <w:pPr>
        <w:ind w:left="1140" w:right="260"/>
        <w:spacing w:after="0" w:line="277" w:lineRule="auto"/>
        <w:rPr>
          <w:sz w:val="20"/>
          <w:szCs w:val="20"/>
          <w:color w:val="auto"/>
        </w:rPr>
      </w:pPr>
      <w:r>
        <w:rPr>
          <w:rFonts w:ascii="Arial" w:cs="Arial" w:eastAsia="Arial" w:hAnsi="Arial"/>
          <w:sz w:val="18"/>
          <w:szCs w:val="18"/>
          <w:color w:val="auto"/>
        </w:rPr>
        <w:t>The shareholders of Beijing OptAim have completed the registration of the equity pledge with the relevant office of the Administration for Industry and Commerce in accordance with the PRC Property Rights Law on June 21, 2017.</w:t>
      </w:r>
    </w:p>
    <w:p>
      <w:pPr>
        <w:spacing w:after="0" w:line="62" w:lineRule="exact"/>
        <w:rPr>
          <w:sz w:val="20"/>
          <w:szCs w:val="20"/>
          <w:color w:val="auto"/>
        </w:rPr>
      </w:pPr>
    </w:p>
    <w:p>
      <w:pPr>
        <w:ind w:left="1140" w:right="260"/>
        <w:spacing w:after="0" w:line="277" w:lineRule="auto"/>
        <w:rPr>
          <w:sz w:val="20"/>
          <w:szCs w:val="20"/>
          <w:color w:val="auto"/>
        </w:rPr>
      </w:pPr>
      <w:r>
        <w:rPr>
          <w:rFonts w:ascii="Arial" w:cs="Arial" w:eastAsia="Arial" w:hAnsi="Arial"/>
          <w:sz w:val="18"/>
          <w:szCs w:val="18"/>
          <w:color w:val="auto"/>
        </w:rPr>
        <w:t>Through the aforementioned contractual agreements, OptAim VIE are considered VIE in accordance with Generally Accepted Accounting Principles in the United States (“US GAAP”) because the Company, through OptAim WFOE, has the ability to:</w:t>
      </w:r>
    </w:p>
    <w:p>
      <w:pPr>
        <w:spacing w:after="0" w:line="76" w:lineRule="exact"/>
        <w:rPr>
          <w:sz w:val="20"/>
          <w:szCs w:val="20"/>
          <w:color w:val="auto"/>
        </w:rPr>
      </w:pPr>
    </w:p>
    <w:p>
      <w:pPr>
        <w:ind w:left="1820" w:right="380" w:hanging="678"/>
        <w:spacing w:after="0" w:line="277" w:lineRule="auto"/>
        <w:tabs>
          <w:tab w:leader="none" w:pos="1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75" w:lineRule="exact"/>
        <w:rPr>
          <w:rFonts w:ascii="Arial" w:cs="Arial" w:eastAsia="Arial" w:hAnsi="Arial"/>
          <w:sz w:val="18"/>
          <w:szCs w:val="18"/>
          <w:color w:val="auto"/>
        </w:rPr>
      </w:pPr>
    </w:p>
    <w:p>
      <w:pPr>
        <w:ind w:left="1820" w:right="40" w:hanging="678"/>
        <w:spacing w:after="0" w:line="277" w:lineRule="auto"/>
        <w:tabs>
          <w:tab w:leader="none" w:pos="1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spacing w:after="0" w:line="75" w:lineRule="exact"/>
        <w:rPr>
          <w:rFonts w:ascii="Arial" w:cs="Arial" w:eastAsia="Arial" w:hAnsi="Arial"/>
          <w:sz w:val="18"/>
          <w:szCs w:val="18"/>
          <w:color w:val="auto"/>
        </w:rPr>
      </w:pPr>
    </w:p>
    <w:p>
      <w:pPr>
        <w:ind w:left="1820" w:hanging="678"/>
        <w:spacing w:after="0"/>
        <w:tabs>
          <w:tab w:leader="none" w:pos="18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117" w:lineRule="exact"/>
        <w:rPr>
          <w:sz w:val="20"/>
          <w:szCs w:val="20"/>
          <w:color w:val="auto"/>
        </w:rPr>
      </w:pPr>
    </w:p>
    <w:p>
      <w:pPr>
        <w:ind w:left="580" w:right="18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the VIEs. As a result, OptAim VIE’s results of operations, assets and liabilities have been included in the Group’s consolidated financial statements.</w:t>
      </w:r>
    </w:p>
    <w:p>
      <w:pPr>
        <w:spacing w:after="0" w:line="73" w:lineRule="exact"/>
        <w:rPr>
          <w:sz w:val="20"/>
          <w:szCs w:val="20"/>
          <w:color w:val="auto"/>
        </w:rPr>
      </w:pPr>
    </w:p>
    <w:p>
      <w:pPr>
        <w:ind w:left="580" w:right="40"/>
        <w:spacing w:after="0" w:line="259" w:lineRule="auto"/>
        <w:rPr>
          <w:sz w:val="20"/>
          <w:szCs w:val="20"/>
          <w:color w:val="auto"/>
        </w:rPr>
      </w:pPr>
      <w:r>
        <w:rPr>
          <w:rFonts w:ascii="Arial" w:cs="Arial" w:eastAsia="Arial" w:hAnsi="Arial"/>
          <w:sz w:val="18"/>
          <w:szCs w:val="18"/>
          <w:color w:val="auto"/>
        </w:rPr>
        <w:t>As of December 31, 2016 and 2017, the total assets of OptAim VIE and its subsidiary were US$27,135 and US$7,867, respectively, mainly comprising cash and cash equivalents, accounts receivable, prepayments and other current assets, property and equipment. As of December 31, 2016 and 2017, the total liabilities of the OptAim VIE and its subsidiary were US$12,310 and US$6,819 respectively, mainly comprising deferred revenue, accrued liabilities and other current liabilities.</w:t>
      </w:r>
    </w:p>
    <w:p>
      <w:pPr>
        <w:spacing w:after="0" w:line="79" w:lineRule="exact"/>
        <w:rPr>
          <w:sz w:val="20"/>
          <w:szCs w:val="20"/>
          <w:color w:val="auto"/>
        </w:rPr>
      </w:pPr>
    </w:p>
    <w:p>
      <w:pPr>
        <w:ind w:left="580" w:right="100"/>
        <w:spacing w:after="0" w:line="293" w:lineRule="auto"/>
        <w:rPr>
          <w:sz w:val="20"/>
          <w:szCs w:val="20"/>
          <w:color w:val="auto"/>
        </w:rPr>
      </w:pPr>
      <w:r>
        <w:rPr>
          <w:rFonts w:ascii="Arial" w:cs="Arial" w:eastAsia="Arial" w:hAnsi="Arial"/>
          <w:sz w:val="16"/>
          <w:szCs w:val="16"/>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the OptAim VIE amounting to US$2,081 and US$2,081, respectively, as of December 31, 2016 and 2017. As the OptAim VIE and its subsidiary were incorporated as limited liability company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57" w:lineRule="exact"/>
        <w:rPr>
          <w:sz w:val="20"/>
          <w:szCs w:val="20"/>
          <w:color w:val="auto"/>
        </w:rPr>
      </w:pPr>
    </w:p>
    <w:p>
      <w:pPr>
        <w:ind w:left="580" w:right="14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158" w:lineRule="exact"/>
        <w:rPr>
          <w:sz w:val="20"/>
          <w:szCs w:val="20"/>
          <w:color w:val="auto"/>
        </w:rPr>
      </w:pPr>
    </w:p>
    <w:p>
      <w:pPr>
        <w:ind w:left="580" w:hanging="572"/>
        <w:spacing w:after="0"/>
        <w:tabs>
          <w:tab w:leader="none" w:pos="5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subsidiary (Continued)</w:t>
      </w:r>
    </w:p>
    <w:p>
      <w:pPr>
        <w:spacing w:after="0" w:line="161" w:lineRule="exact"/>
        <w:rPr>
          <w:rFonts w:ascii="Arial" w:cs="Arial" w:eastAsia="Arial" w:hAnsi="Arial"/>
          <w:sz w:val="18"/>
          <w:szCs w:val="18"/>
          <w:b w:val="1"/>
          <w:bCs w:val="1"/>
          <w:color w:val="auto"/>
        </w:rPr>
      </w:pPr>
    </w:p>
    <w:p>
      <w:pPr>
        <w:ind w:left="580" w:right="2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Group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63" w:lineRule="exact"/>
        <w:rPr>
          <w:rFonts w:ascii="Arial" w:cs="Arial" w:eastAsia="Arial" w:hAnsi="Arial"/>
          <w:sz w:val="18"/>
          <w:szCs w:val="18"/>
          <w:b w:val="1"/>
          <w:bCs w:val="1"/>
          <w:color w:val="auto"/>
        </w:rPr>
      </w:pPr>
    </w:p>
    <w:p>
      <w:pPr>
        <w:ind w:left="5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3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w:t>
      </w:r>
    </w:p>
    <w:p>
      <w:pPr>
        <w:spacing w:after="0" w:line="121" w:lineRule="exact"/>
        <w:rPr>
          <w:rFonts w:ascii="Arial" w:cs="Arial" w:eastAsia="Arial" w:hAnsi="Arial"/>
          <w:sz w:val="18"/>
          <w:szCs w:val="18"/>
          <w:b w:val="1"/>
          <w:bCs w:val="1"/>
          <w:color w:val="auto"/>
        </w:rPr>
      </w:pPr>
    </w:p>
    <w:p>
      <w:pPr>
        <w:ind w:left="58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completed its initial public offering (“IPO”) on December 22, 2017 on the NASDAQ Global Market and the underwriters subsequently exercised their over-allotment option on December 27, 2017. The Company issued and sold a total of 4,312,500 American Depositary Shares (“ADSs”) pursuant to these transactions. Each ADS represents 0.5 common share. The net proceeds received by the Company, after deducting commissions and offering expenses, amounted to US$28,405. Upon the completion of the IPO, all of the Company’s outstanding preferred shares were converted into common shares immediately as of the same date.</w:t>
      </w:r>
    </w:p>
    <w:p>
      <w:pPr>
        <w:spacing w:after="0" w:line="333" w:lineRule="exact"/>
        <w:rPr>
          <w:sz w:val="20"/>
          <w:szCs w:val="20"/>
          <w:color w:val="auto"/>
        </w:rPr>
      </w:pPr>
    </w:p>
    <w:p>
      <w:pPr>
        <w:ind w:left="580" w:hanging="572"/>
        <w:spacing w:after="0"/>
        <w:tabs>
          <w:tab w:leader="none" w:pos="5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31" w:lineRule="exact"/>
        <w:rPr>
          <w:sz w:val="20"/>
          <w:szCs w:val="20"/>
          <w:color w:val="auto"/>
        </w:rPr>
      </w:pPr>
    </w:p>
    <w:p>
      <w:pPr>
        <w:ind w:left="580" w:hanging="572"/>
        <w:spacing w:after="0"/>
        <w:tabs>
          <w:tab w:leader="none" w:pos="5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rFonts w:ascii="Arial" w:cs="Arial" w:eastAsia="Arial" w:hAnsi="Arial"/>
          <w:sz w:val="18"/>
          <w:szCs w:val="18"/>
          <w:b w:val="1"/>
          <w:bCs w:val="1"/>
          <w:color w:val="auto"/>
        </w:rPr>
      </w:pPr>
    </w:p>
    <w:p>
      <w:pPr>
        <w:ind w:left="58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31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580" w:right="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38" w:lineRule="exact"/>
        <w:rPr>
          <w:rFonts w:ascii="Arial" w:cs="Arial" w:eastAsia="Arial" w:hAnsi="Arial"/>
          <w:sz w:val="18"/>
          <w:szCs w:val="18"/>
          <w:b w:val="1"/>
          <w:bCs w:val="1"/>
          <w:color w:val="auto"/>
        </w:rPr>
      </w:pPr>
    </w:p>
    <w:p>
      <w:pPr>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73" w:lineRule="exact"/>
        <w:rPr>
          <w:rFonts w:ascii="Arial" w:cs="Arial" w:eastAsia="Arial" w:hAnsi="Arial"/>
          <w:sz w:val="18"/>
          <w:szCs w:val="18"/>
          <w:b w:val="1"/>
          <w:bCs w:val="1"/>
          <w:color w:val="auto"/>
        </w:rPr>
      </w:pPr>
    </w:p>
    <w:p>
      <w:pPr>
        <w:ind w:left="58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580" w:hanging="572"/>
        <w:spacing w:after="0"/>
        <w:tabs>
          <w:tab w:leader="none" w:pos="5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58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VIEs and a VIE’s subsidiary for which the Company or its subsidiary is the primary beneficiary. All transactions and balances among the Company, its subsidiaries, its VIEs have been eliminated upon consolidation.</w:t>
      </w:r>
    </w:p>
    <w:p>
      <w:pPr>
        <w:spacing w:after="0" w:line="73" w:lineRule="exact"/>
        <w:rPr>
          <w:rFonts w:ascii="Arial" w:cs="Arial" w:eastAsia="Arial" w:hAnsi="Arial"/>
          <w:sz w:val="18"/>
          <w:szCs w:val="18"/>
          <w:b w:val="1"/>
          <w:bCs w:val="1"/>
          <w:color w:val="auto"/>
        </w:rPr>
      </w:pPr>
    </w:p>
    <w:p>
      <w:pPr>
        <w:jc w:val="both"/>
        <w:ind w:left="58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57" w:lineRule="exact"/>
        <w:rPr>
          <w:rFonts w:ascii="Arial" w:cs="Arial" w:eastAsia="Arial" w:hAnsi="Arial"/>
          <w:sz w:val="18"/>
          <w:szCs w:val="18"/>
          <w:b w:val="1"/>
          <w:bCs w:val="1"/>
          <w:color w:val="auto"/>
        </w:rPr>
      </w:pPr>
    </w:p>
    <w:p>
      <w:pPr>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subsidiary, and has been determined to be the primary beneficiary of the VIE.</w:t>
      </w:r>
    </w:p>
    <w:p>
      <w:pPr>
        <w:spacing w:after="0" w:line="337" w:lineRule="exact"/>
        <w:rPr>
          <w:rFonts w:ascii="Arial" w:cs="Arial" w:eastAsia="Arial" w:hAnsi="Arial"/>
          <w:sz w:val="18"/>
          <w:szCs w:val="18"/>
          <w:b w:val="1"/>
          <w:bCs w:val="1"/>
          <w:color w:val="auto"/>
        </w:rPr>
      </w:pPr>
    </w:p>
    <w:p>
      <w:pPr>
        <w:ind w:left="580" w:hanging="572"/>
        <w:spacing w:after="0"/>
        <w:tabs>
          <w:tab w:leader="none" w:pos="5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121" w:lineRule="exact"/>
        <w:rPr>
          <w:rFonts w:ascii="Arial" w:cs="Arial" w:eastAsia="Arial" w:hAnsi="Arial"/>
          <w:sz w:val="18"/>
          <w:szCs w:val="18"/>
          <w:b w:val="1"/>
          <w:bCs w:val="1"/>
          <w:color w:val="auto"/>
        </w:rPr>
      </w:pPr>
    </w:p>
    <w:p>
      <w:pPr>
        <w:ind w:left="58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73" w:lineRule="exact"/>
        <w:rPr>
          <w:rFonts w:ascii="Arial" w:cs="Arial" w:eastAsia="Arial" w:hAnsi="Arial"/>
          <w:sz w:val="18"/>
          <w:szCs w:val="18"/>
          <w:b w:val="1"/>
          <w:bCs w:val="1"/>
          <w:color w:val="auto"/>
        </w:rPr>
      </w:pPr>
    </w:p>
    <w:p>
      <w:pPr>
        <w:ind w:left="58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deficit/equity and comprehensive loss.</w:t>
      </w:r>
    </w:p>
    <w:p>
      <w:pPr>
        <w:spacing w:after="0" w:line="322" w:lineRule="exact"/>
        <w:rPr>
          <w:rFonts w:ascii="Arial" w:cs="Arial" w:eastAsia="Arial" w:hAnsi="Arial"/>
          <w:sz w:val="18"/>
          <w:szCs w:val="18"/>
          <w:b w:val="1"/>
          <w:bCs w:val="1"/>
          <w:color w:val="auto"/>
        </w:rPr>
      </w:pPr>
    </w:p>
    <w:p>
      <w:pPr>
        <w:ind w:left="580" w:hanging="572"/>
        <w:spacing w:after="0"/>
        <w:tabs>
          <w:tab w:leader="none" w:pos="5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58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Fair value measurements are based on a fair value hierarchy, based on three levels of inputs, of which the first two are considered observable and the last unobservable, that may be used to measure fair value which are the following: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580" w:hanging="572"/>
        <w:spacing w:after="0"/>
        <w:tabs>
          <w:tab w:leader="none" w:pos="5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161" w:lineRule="exact"/>
        <w:rPr>
          <w:rFonts w:ascii="Arial" w:cs="Arial" w:eastAsia="Arial" w:hAnsi="Arial"/>
          <w:sz w:val="18"/>
          <w:szCs w:val="18"/>
          <w:b w:val="1"/>
          <w:bCs w:val="1"/>
          <w:color w:val="auto"/>
        </w:rPr>
      </w:pPr>
    </w:p>
    <w:p>
      <w:pPr>
        <w:ind w:left="580" w:right="9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62" w:lineRule="exact"/>
        <w:rPr>
          <w:rFonts w:ascii="Arial" w:cs="Arial" w:eastAsia="Arial" w:hAnsi="Arial"/>
          <w:sz w:val="18"/>
          <w:szCs w:val="18"/>
          <w:b w:val="1"/>
          <w:bCs w:val="1"/>
          <w:color w:val="auto"/>
        </w:rPr>
      </w:pPr>
    </w:p>
    <w:p>
      <w:pPr>
        <w:ind w:left="58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in markets that are not active; or other inputs that are observable or can be corroborated by observable market data for substantially the full term of the asset or liability.</w:t>
      </w:r>
    </w:p>
    <w:p>
      <w:pPr>
        <w:spacing w:after="0" w:line="7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128" w:lineRule="exact"/>
        <w:rPr>
          <w:rFonts w:ascii="Arial" w:cs="Arial" w:eastAsia="Arial" w:hAnsi="Arial"/>
          <w:sz w:val="18"/>
          <w:szCs w:val="18"/>
          <w:b w:val="1"/>
          <w:bCs w:val="1"/>
          <w:color w:val="auto"/>
        </w:rPr>
      </w:pPr>
    </w:p>
    <w:p>
      <w:pPr>
        <w:ind w:left="58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Observable inputs are based on market data obtained from independent sources. At December 31, 2016 and 2017 the Company’s derivative liabilities are measured using unobservable inputs that require a high level of judgment to determine fair value, and thus classified as Level 3 (Note 3(c)).</w:t>
      </w:r>
    </w:p>
    <w:p>
      <w:pPr>
        <w:spacing w:after="0" w:line="15" w:lineRule="exact"/>
        <w:rPr>
          <w:rFonts w:ascii="Arial" w:cs="Arial" w:eastAsia="Arial" w:hAnsi="Arial"/>
          <w:sz w:val="18"/>
          <w:szCs w:val="18"/>
          <w:b w:val="1"/>
          <w:bCs w:val="1"/>
          <w:color w:val="auto"/>
        </w:rPr>
      </w:pPr>
    </w:p>
    <w:p>
      <w:pPr>
        <w:ind w:left="58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cash and cash equivalents, restricted cash, accounts receivable, prepayment and other current assets, accounts payable, accrued liabilities and other current liabilities, deferred revenue and amounts due to a related party, approximate to their fair value due to the short-term nature of these instruments. Based on the borrowing rates currently available to the Group for debt with similar terms, the carrying value of the short-term loan approximates to its fair value (using Level 2 inputs).</w:t>
      </w:r>
    </w:p>
    <w:p>
      <w:pPr>
        <w:spacing w:after="0" w:line="78" w:lineRule="exact"/>
        <w:rPr>
          <w:rFonts w:ascii="Arial" w:cs="Arial" w:eastAsia="Arial" w:hAnsi="Arial"/>
          <w:sz w:val="18"/>
          <w:szCs w:val="18"/>
          <w:b w:val="1"/>
          <w:bCs w:val="1"/>
          <w:color w:val="auto"/>
        </w:rPr>
      </w:pPr>
    </w:p>
    <w:p>
      <w:pPr>
        <w:jc w:val="both"/>
        <w:ind w:left="5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including intangible assets, are also subject to measurement at fair value on a non-recurring basis if they are deemed to be impaired as a result of an impairment review. For the years ended December 31, 2015, 2016 and 2017, no impairments were recorded on those assets required to be measured at fair value on a non-recurring basis.</w:t>
      </w:r>
    </w:p>
    <w:p>
      <w:pPr>
        <w:spacing w:after="0" w:line="3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58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31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Time deposit</w:t>
      </w:r>
    </w:p>
    <w:p>
      <w:pPr>
        <w:spacing w:after="0" w:line="121" w:lineRule="exact"/>
        <w:rPr>
          <w:rFonts w:ascii="Arial" w:cs="Arial" w:eastAsia="Arial" w:hAnsi="Arial"/>
          <w:sz w:val="18"/>
          <w:szCs w:val="18"/>
          <w:b w:val="1"/>
          <w:bCs w:val="1"/>
          <w:color w:val="auto"/>
        </w:rPr>
      </w:pPr>
    </w:p>
    <w:p>
      <w:pPr>
        <w:ind w:left="58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Time deposit represents demand deposit placed with a bank with an original maturity of more than three months but less than one year. Interest income is recognized using the effective interest method in the consolidated statements of comprehensive loss during the periods. Time deposit is valued based on the prevailing interest rates in the market.</w:t>
      </w:r>
    </w:p>
    <w:p>
      <w:pPr>
        <w:spacing w:after="0" w:line="3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2016, the Group’s restricted cash represents balance held in restricted bank accounts as required by certain loan agreement. As of December 31, 2017, the Group did not have any restricted cash.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60" w:right="2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580" w:hanging="572"/>
        <w:spacing w:after="0"/>
        <w:tabs>
          <w:tab w:leader="none" w:pos="5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121" w:lineRule="exact"/>
        <w:rPr>
          <w:rFonts w:ascii="Arial" w:cs="Arial" w:eastAsia="Arial" w:hAnsi="Arial"/>
          <w:sz w:val="18"/>
          <w:szCs w:val="18"/>
          <w:b w:val="1"/>
          <w:bCs w:val="1"/>
          <w:color w:val="auto"/>
        </w:rPr>
      </w:pPr>
    </w:p>
    <w:p>
      <w:pPr>
        <w:jc w:val="both"/>
        <w:ind w:left="580" w:righ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38" w:lineRule="exact"/>
        <w:rPr>
          <w:rFonts w:ascii="Arial" w:cs="Arial" w:eastAsia="Arial" w:hAnsi="Arial"/>
          <w:sz w:val="18"/>
          <w:szCs w:val="18"/>
          <w:b w:val="1"/>
          <w:bCs w:val="1"/>
          <w:color w:val="auto"/>
        </w:rPr>
      </w:pPr>
    </w:p>
    <w:p>
      <w:pPr>
        <w:ind w:left="580" w:right="8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302" w:lineRule="exact"/>
        <w:rPr>
          <w:rFonts w:ascii="Arial" w:cs="Arial" w:eastAsia="Arial" w:hAnsi="Arial"/>
          <w:sz w:val="18"/>
          <w:szCs w:val="18"/>
          <w:b w:val="1"/>
          <w:bCs w:val="1"/>
          <w:color w:val="auto"/>
        </w:rPr>
      </w:pPr>
    </w:p>
    <w:p>
      <w:pPr>
        <w:ind w:left="580" w:hanging="572"/>
        <w:spacing w:after="0"/>
        <w:tabs>
          <w:tab w:leader="none" w:pos="5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121" w:lineRule="exact"/>
        <w:rPr>
          <w:rFonts w:ascii="Arial" w:cs="Arial" w:eastAsia="Arial" w:hAnsi="Arial"/>
          <w:sz w:val="18"/>
          <w:szCs w:val="18"/>
          <w:b w:val="1"/>
          <w:bCs w:val="1"/>
          <w:color w:val="auto"/>
        </w:rPr>
      </w:pPr>
    </w:p>
    <w:p>
      <w:pPr>
        <w:ind w:left="58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315" w:lineRule="exact"/>
        <w:rPr>
          <w:rFonts w:ascii="Arial" w:cs="Arial" w:eastAsia="Arial" w:hAnsi="Arial"/>
          <w:sz w:val="18"/>
          <w:szCs w:val="18"/>
          <w:b w:val="1"/>
          <w:bCs w:val="1"/>
          <w:color w:val="auto"/>
        </w:rPr>
      </w:pPr>
    </w:p>
    <w:p>
      <w:pPr>
        <w:ind w:left="580" w:hanging="572"/>
        <w:spacing w:after="0"/>
        <w:tabs>
          <w:tab w:leader="none" w:pos="5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121" w:lineRule="exact"/>
        <w:rPr>
          <w:rFonts w:ascii="Arial" w:cs="Arial" w:eastAsia="Arial" w:hAnsi="Arial"/>
          <w:sz w:val="18"/>
          <w:szCs w:val="18"/>
          <w:b w:val="1"/>
          <w:bCs w:val="1"/>
          <w:color w:val="auto"/>
        </w:rPr>
      </w:pPr>
    </w:p>
    <w:p>
      <w:pPr>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Group holds investments in privately held companies. The Group accounts for these investments over which it has significant influence but does not own a majority equity interest or otherwise control using the equity method of accounting. The Group assesses its equity method investments for other-than-temporary impairment by considering factors including, but not limited to, current economic and market conditions, operating performance of the companies, including current earnings trends and undiscounted cash flows, and other company-specific information. The fair value determination, particularly for investments in privately-held companies, requires significant judgment to determine appropriate estimates and assumptions. Changes in these estimates and assumptions could affect the calculation of the fair value of the investments and determination of whether any identified impairment is other-than-temporary.</w:t>
      </w:r>
    </w:p>
    <w:p>
      <w:pPr>
        <w:spacing w:after="0" w:line="81" w:lineRule="exact"/>
        <w:rPr>
          <w:rFonts w:ascii="Arial" w:cs="Arial" w:eastAsia="Arial" w:hAnsi="Arial"/>
          <w:sz w:val="18"/>
          <w:szCs w:val="18"/>
          <w:b w:val="1"/>
          <w:bCs w:val="1"/>
          <w:color w:val="auto"/>
        </w:rPr>
      </w:pPr>
    </w:p>
    <w:p>
      <w:pPr>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 noted in Note 1 to the consolidated financial statements, the Company accelerated the purchase of up to 57.1% equity interests in Buzzinate by exercising the option in February 2015 and at the same time purchased the remaining 42.9% equity interest. Prior to the acquisition, the equity interest held in Buzzinate was accounted for using the equity method. When Buzzinate became a wholly-owned subsidiary of the Company, and accordingly the previously held interest was remeasured at fair value with the revaluation gain was recorded in “other gains/(losses), net”. Furthermore, as of December 31, 2016 and 2017, there was no equity method investment.</w:t>
      </w:r>
    </w:p>
    <w:p>
      <w:pPr>
        <w:spacing w:after="0" w:line="332" w:lineRule="exact"/>
        <w:rPr>
          <w:rFonts w:ascii="Arial" w:cs="Arial" w:eastAsia="Arial" w:hAnsi="Arial"/>
          <w:sz w:val="18"/>
          <w:szCs w:val="18"/>
          <w:b w:val="1"/>
          <w:bCs w:val="1"/>
          <w:color w:val="auto"/>
        </w:rPr>
      </w:pPr>
    </w:p>
    <w:p>
      <w:pPr>
        <w:ind w:left="580" w:hanging="572"/>
        <w:spacing w:after="0"/>
        <w:tabs>
          <w:tab w:leader="none" w:pos="5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21" w:lineRule="exact"/>
        <w:rPr>
          <w:rFonts w:ascii="Arial" w:cs="Arial" w:eastAsia="Arial" w:hAnsi="Arial"/>
          <w:sz w:val="18"/>
          <w:szCs w:val="18"/>
          <w:b w:val="1"/>
          <w:bCs w:val="1"/>
          <w:color w:val="auto"/>
        </w:rPr>
      </w:pPr>
    </w:p>
    <w:p>
      <w:pPr>
        <w:ind w:left="58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459" w:right="259" w:bottom="1440" w:gutter="0" w:footer="0" w:header="0"/>
        </w:sectPr>
      </w:pPr>
    </w:p>
    <w:p>
      <w:pPr>
        <w:spacing w:after="0" w:line="19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03" w:lineRule="exact"/>
        <w:rPr>
          <w:sz w:val="20"/>
          <w:szCs w:val="20"/>
          <w:color w:val="auto"/>
        </w:rPr>
      </w:pPr>
    </w:p>
    <w:p>
      <w:pPr>
        <w:sectPr>
          <w:pgSz w:w="11900" w:h="16838" w:orient="portrait"/>
          <w:cols w:equalWidth="0" w:num="2">
            <w:col w:w="3460" w:space="720"/>
            <w:col w:w="7220"/>
          </w:cols>
          <w:pgMar w:left="240" w:top="459" w:right="259" w:bottom="1440" w:gutter="0" w:footer="0" w:header="0"/>
          <w:type w:val="continuous"/>
        </w:sectPr>
      </w:pPr>
    </w:p>
    <w:p>
      <w:pPr>
        <w:ind w:left="580" w:right="40"/>
        <w:spacing w:after="0" w:line="342" w:lineRule="auto"/>
        <w:rPr>
          <w:sz w:val="20"/>
          <w:szCs w:val="20"/>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statements of comprehensive loss.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580" w:hanging="572"/>
        <w:spacing w:after="0"/>
        <w:tabs>
          <w:tab w:leader="none" w:pos="5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58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accounts for acquisitions of entities that include inputs and processes and have the ability to create outputs as business combinations. The Group allocates the purchase price of the acquisition to the tangible assets, liabilities, and identifiable intangible assets acquired based on their estimated fair values. The excess of the purchase price over those fair values is recorded as goodwill. Acquisition related costs are expensed as incurred.</w:t>
      </w:r>
    </w:p>
    <w:p>
      <w:pPr>
        <w:spacing w:after="0" w:line="236" w:lineRule="exact"/>
        <w:rPr>
          <w:rFonts w:ascii="Arial" w:cs="Arial" w:eastAsia="Arial" w:hAnsi="Arial"/>
          <w:sz w:val="18"/>
          <w:szCs w:val="18"/>
          <w:b w:val="1"/>
          <w:bCs w:val="1"/>
          <w:color w:val="auto"/>
        </w:rPr>
      </w:pPr>
    </w:p>
    <w:p>
      <w:pPr>
        <w:ind w:left="580" w:hanging="572"/>
        <w:spacing w:after="0"/>
        <w:tabs>
          <w:tab w:leader="none" w:pos="5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121" w:lineRule="exact"/>
        <w:rPr>
          <w:rFonts w:ascii="Arial" w:cs="Arial" w:eastAsia="Arial" w:hAnsi="Arial"/>
          <w:sz w:val="18"/>
          <w:szCs w:val="18"/>
          <w:b w:val="1"/>
          <w:bCs w:val="1"/>
          <w:color w:val="auto"/>
        </w:rPr>
      </w:pPr>
    </w:p>
    <w:p>
      <w:pPr>
        <w:ind w:left="58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Intangible assets mainly consist of computer software licenses purchased from external parties and computer software and systems acquired through the acquisition of OptAim and Buzzinate,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171" w:lineRule="exact"/>
        <w:rPr>
          <w:sz w:val="20"/>
          <w:szCs w:val="20"/>
          <w:color w:val="auto"/>
        </w:rPr>
      </w:pPr>
    </w:p>
    <w:p>
      <w:pPr>
        <w:ind w:left="580"/>
        <w:spacing w:after="0"/>
        <w:tabs>
          <w:tab w:leader="none" w:pos="3980" w:val="left"/>
        </w:tabs>
        <w:rPr>
          <w:sz w:val="20"/>
          <w:szCs w:val="20"/>
          <w:color w:val="auto"/>
        </w:rPr>
      </w:pPr>
      <w:r>
        <w:rPr>
          <w:rFonts w:ascii="Arial" w:cs="Arial" w:eastAsia="Arial" w:hAnsi="Arial"/>
          <w:sz w:val="18"/>
          <w:szCs w:val="18"/>
          <w:color w:val="auto"/>
        </w:rPr>
        <w:t>Computer software and systems</w:t>
      </w:r>
      <w:r>
        <w:rPr>
          <w:sz w:val="20"/>
          <w:szCs w:val="20"/>
          <w:color w:val="auto"/>
        </w:rPr>
        <w:tab/>
      </w:r>
      <w:r>
        <w:rPr>
          <w:rFonts w:ascii="Arial" w:cs="Arial" w:eastAsia="Arial" w:hAnsi="Arial"/>
          <w:sz w:val="16"/>
          <w:szCs w:val="16"/>
          <w:color w:val="auto"/>
        </w:rPr>
        <w:t>2 - 5 years</w:t>
      </w:r>
    </w:p>
    <w:p>
      <w:pPr>
        <w:spacing w:after="0" w:line="275" w:lineRule="exact"/>
        <w:rPr>
          <w:sz w:val="20"/>
          <w:szCs w:val="20"/>
          <w:color w:val="auto"/>
        </w:rPr>
      </w:pPr>
    </w:p>
    <w:p>
      <w:pPr>
        <w:ind w:left="580" w:hanging="572"/>
        <w:spacing w:after="0"/>
        <w:tabs>
          <w:tab w:leader="none" w:pos="5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intangible assets</w:t>
      </w:r>
    </w:p>
    <w:p>
      <w:pPr>
        <w:spacing w:after="0" w:line="121" w:lineRule="exact"/>
        <w:rPr>
          <w:rFonts w:ascii="Arial" w:cs="Arial" w:eastAsia="Arial" w:hAnsi="Arial"/>
          <w:sz w:val="18"/>
          <w:szCs w:val="18"/>
          <w:b w:val="1"/>
          <w:bCs w:val="1"/>
          <w:color w:val="auto"/>
        </w:rPr>
      </w:pPr>
    </w:p>
    <w:p>
      <w:pPr>
        <w:ind w:left="58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243" w:lineRule="exact"/>
        <w:rPr>
          <w:rFonts w:ascii="Arial" w:cs="Arial" w:eastAsia="Arial" w:hAnsi="Arial"/>
          <w:sz w:val="18"/>
          <w:szCs w:val="18"/>
          <w:b w:val="1"/>
          <w:bCs w:val="1"/>
          <w:color w:val="auto"/>
        </w:rPr>
      </w:pPr>
    </w:p>
    <w:p>
      <w:pPr>
        <w:ind w:left="580" w:hanging="572"/>
        <w:spacing w:after="0"/>
        <w:tabs>
          <w:tab w:leader="none" w:pos="5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58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amounts assigned to the fair value of the assets acquired and the liabilities assumed of an acquired business.</w:t>
      </w:r>
    </w:p>
    <w:p>
      <w:pPr>
        <w:spacing w:after="0" w:line="220" w:lineRule="exact"/>
        <w:rPr>
          <w:rFonts w:ascii="Arial" w:cs="Arial" w:eastAsia="Arial" w:hAnsi="Arial"/>
          <w:sz w:val="18"/>
          <w:szCs w:val="18"/>
          <w:b w:val="1"/>
          <w:bCs w:val="1"/>
          <w:color w:val="auto"/>
        </w:rPr>
      </w:pPr>
    </w:p>
    <w:p>
      <w:pPr>
        <w:ind w:left="580" w:hanging="572"/>
        <w:spacing w:after="0"/>
        <w:tabs>
          <w:tab w:leader="none" w:pos="5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121" w:lineRule="exact"/>
        <w:rPr>
          <w:rFonts w:ascii="Arial" w:cs="Arial" w:eastAsia="Arial" w:hAnsi="Arial"/>
          <w:sz w:val="18"/>
          <w:szCs w:val="18"/>
          <w:b w:val="1"/>
          <w:bCs w:val="1"/>
          <w:color w:val="auto"/>
        </w:rPr>
      </w:pPr>
    </w:p>
    <w:p>
      <w:pPr>
        <w:ind w:left="58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2015, 2016 and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580" w:hanging="572"/>
        <w:spacing w:after="0"/>
        <w:tabs>
          <w:tab w:leader="none" w:pos="5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121" w:lineRule="exact"/>
        <w:rPr>
          <w:rFonts w:ascii="Arial" w:cs="Arial" w:eastAsia="Arial" w:hAnsi="Arial"/>
          <w:sz w:val="18"/>
          <w:szCs w:val="18"/>
          <w:b w:val="1"/>
          <w:bCs w:val="1"/>
          <w:color w:val="auto"/>
        </w:rPr>
      </w:pPr>
    </w:p>
    <w:p>
      <w:pPr>
        <w:ind w:left="580" w:right="5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291" w:lineRule="exact"/>
        <w:rPr>
          <w:rFonts w:ascii="Arial" w:cs="Arial" w:eastAsia="Arial" w:hAnsi="Arial"/>
          <w:sz w:val="18"/>
          <w:szCs w:val="18"/>
          <w:b w:val="1"/>
          <w:bCs w:val="1"/>
          <w:color w:val="auto"/>
        </w:rPr>
      </w:pPr>
    </w:p>
    <w:p>
      <w:pPr>
        <w:ind w:left="580" w:hanging="572"/>
        <w:spacing w:after="0"/>
        <w:tabs>
          <w:tab w:leader="none" w:pos="5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rFonts w:ascii="Arial" w:cs="Arial" w:eastAsia="Arial" w:hAnsi="Arial"/>
          <w:sz w:val="18"/>
          <w:szCs w:val="18"/>
          <w:b w:val="1"/>
          <w:bCs w:val="1"/>
          <w:color w:val="auto"/>
        </w:rPr>
      </w:pPr>
    </w:p>
    <w:p>
      <w:pPr>
        <w:ind w:left="58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w:t>
      </w:r>
    </w:p>
    <w:p>
      <w:pPr>
        <w:spacing w:after="0" w:line="331" w:lineRule="exact"/>
        <w:rPr>
          <w:rFonts w:ascii="Arial" w:cs="Arial" w:eastAsia="Arial" w:hAnsi="Arial"/>
          <w:sz w:val="18"/>
          <w:szCs w:val="18"/>
          <w:b w:val="1"/>
          <w:bCs w:val="1"/>
          <w:color w:val="auto"/>
        </w:rPr>
      </w:pPr>
    </w:p>
    <w:p>
      <w:pPr>
        <w:ind w:left="580" w:hanging="572"/>
        <w:spacing w:after="0"/>
        <w:tabs>
          <w:tab w:leader="none" w:pos="5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cost of revenues</w:t>
      </w:r>
    </w:p>
    <w:p>
      <w:pPr>
        <w:spacing w:after="0" w:line="121" w:lineRule="exact"/>
        <w:rPr>
          <w:rFonts w:ascii="Arial" w:cs="Arial" w:eastAsia="Arial" w:hAnsi="Arial"/>
          <w:sz w:val="18"/>
          <w:szCs w:val="18"/>
          <w:b w:val="1"/>
          <w:bCs w:val="1"/>
          <w:color w:val="auto"/>
        </w:rPr>
      </w:pPr>
    </w:p>
    <w:p>
      <w:pPr>
        <w:ind w:left="58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80" w:lineRule="exact"/>
        <w:rPr>
          <w:rFonts w:ascii="Arial" w:cs="Arial" w:eastAsia="Arial" w:hAnsi="Arial"/>
          <w:sz w:val="18"/>
          <w:szCs w:val="18"/>
          <w:b w:val="1"/>
          <w:bCs w:val="1"/>
          <w:color w:val="auto"/>
        </w:rPr>
      </w:pPr>
    </w:p>
    <w:p>
      <w:pPr>
        <w:ind w:left="580" w:right="3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 recognizes revenue when four basic criteria are met: (1) persuasive evidence of an arrangement with the customer exists reflecting the terms and conditions under which the services will be provided; (2) services have been provided or delivery has occurred; (3) the fee is fixed or determinable; and (4) collection is reasonably assured. Collectability is assessed based on a number of factors, including the creditworthiness of a customer, the size and nature of a customer’s business and transaction history. Amounts collected in excess of revenue recognized are included as deferred revenue.</w:t>
      </w:r>
    </w:p>
    <w:p>
      <w:pPr>
        <w:spacing w:after="0" w:line="296"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Sales agent</w:t>
      </w:r>
    </w:p>
    <w:p>
      <w:pPr>
        <w:spacing w:after="0" w:line="117" w:lineRule="exact"/>
        <w:rPr>
          <w:rFonts w:ascii="Arial" w:cs="Arial" w:eastAsia="Arial" w:hAnsi="Arial"/>
          <w:sz w:val="18"/>
          <w:szCs w:val="18"/>
          <w:b w:val="1"/>
          <w:bCs w:val="1"/>
          <w:color w:val="auto"/>
        </w:rPr>
      </w:pPr>
    </w:p>
    <w:p>
      <w:pPr>
        <w:ind w:left="5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the arrangement with a particular publisher, the Group acts as a sales agent for this publisher by having marketing clients market with this publisher. In return, the Group earns incentives from this publisher based on contractually stipulated amounts once certain spending thresholds are achieved. The Group considers this particular publisher as our customer and record such incentives as net revenues. Incentives from this publisher are calculated on both a quarterly and an annual basis in accordance with the terms as set out in the arrangement.</w:t>
      </w:r>
    </w:p>
    <w:p>
      <w:pPr>
        <w:spacing w:after="0" w:line="63" w:lineRule="exact"/>
        <w:rPr>
          <w:rFonts w:ascii="Arial" w:cs="Arial" w:eastAsia="Arial" w:hAnsi="Arial"/>
          <w:sz w:val="18"/>
          <w:szCs w:val="18"/>
          <w:b w:val="1"/>
          <w:bCs w:val="1"/>
          <w:color w:val="auto"/>
        </w:rPr>
      </w:pPr>
    </w:p>
    <w:p>
      <w:pPr>
        <w:ind w:left="58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Under the sales agent arrangement, the Group grant rebates to clients under this arrangement. The majority of the clients under our sales agent arrangement are not our customers under either the cost-plus arrangement or specified action arrangement. The Group record rebates granted to clients under the sales agent arrangement as cost of revenues as (i) the Group consider these rebates are for an identifiable benefit that is separable from the clients’ purchase of our services and (ii) the Group is able to reasonably estimate the fair value of the benefit received from granting these rebates.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580" w:right="6700" w:hanging="572"/>
        <w:spacing w:after="0" w:line="401" w:lineRule="auto"/>
        <w:tabs>
          <w:tab w:leader="none" w:pos="577"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and cost of revenues (Continued) </w:t>
      </w:r>
      <w:r>
        <w:rPr>
          <w:rFonts w:ascii="Arial" w:cs="Arial" w:eastAsia="Arial" w:hAnsi="Arial"/>
          <w:sz w:val="18"/>
          <w:szCs w:val="18"/>
          <w:i w:val="1"/>
          <w:iCs w:val="1"/>
          <w:color w:val="auto"/>
        </w:rPr>
        <w:t>Cost-plus</w:t>
      </w:r>
    </w:p>
    <w:p>
      <w:pPr>
        <w:spacing w:after="0" w:line="1" w:lineRule="exact"/>
        <w:rPr>
          <w:rFonts w:ascii="Arial" w:cs="Arial" w:eastAsia="Arial" w:hAnsi="Arial"/>
          <w:sz w:val="18"/>
          <w:szCs w:val="18"/>
          <w:b w:val="1"/>
          <w:bCs w:val="1"/>
          <w:color w:val="auto"/>
        </w:rPr>
      </w:pPr>
    </w:p>
    <w:p>
      <w:pPr>
        <w:ind w:left="5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For cost-plus advertisement campaigns, sales are valued at the fair value of the amount received. Discounts granted to clients under cost-plus marketing campaigns, along with free or extended marketing campaigns, are recorded as a deduction from revenue. In the normal course of business, the Group acts as an intermediary in executing transactions with third parties, specifically, the Group is not the principal in executing these transactions as the Group is acting on behalf of the website publishers. The determination of whether revenue should be reported on a gross or net basis is based on an assessment of whether the Group is acting as the principal or an agent in the transactions. In determining whether the Group acts as the principal or an agent, the Group follows the accounting guidance for principal-agent considerations. The determination of whether the Group acts as a principal or an agent in a transaction involves judgment and is based on an evaluation of the terms of each arrangement. While none of the factors individually are considered presumptive or determinative, because the Group is facilitating the customers and the publishers to purchase and to sell advertising inventory and the pricing is generally restricted by the costs incurred through purchasing the advertising inventory, the Group concludes that it is not the principal in these arrangements and therefore report revenue earned and costs incurred related to these transaction on a net basis.</w:t>
      </w:r>
    </w:p>
    <w:p>
      <w:pPr>
        <w:spacing w:after="0" w:line="29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Specified actions</w:t>
      </w:r>
    </w:p>
    <w:p>
      <w:pPr>
        <w:spacing w:after="0" w:line="117" w:lineRule="exact"/>
        <w:rPr>
          <w:rFonts w:ascii="Arial" w:cs="Arial" w:eastAsia="Arial" w:hAnsi="Arial"/>
          <w:sz w:val="18"/>
          <w:szCs w:val="18"/>
          <w:b w:val="1"/>
          <w:bCs w:val="1"/>
          <w:color w:val="auto"/>
        </w:rPr>
      </w:pPr>
    </w:p>
    <w:p>
      <w:pPr>
        <w:ind w:left="580" w:right="1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Group also generates revenue from performing specified actions (i.e. a CPM, CPC, CPA, CPS, CPL or ROI basis). Revenue is recognized on a CPM or CPC basis as impressions or clicks are delivered while revenue on a CPA, CPS, CPL or ROI basis is recognized once agreed actions are performed. While none of the factors individually are considered presumptive or determinative, because the Group is the primary obligor and are responsible for (1) identifying and contracting with third-party customers; (2) identifying website publishers to provide website spaces where the Group views the website publishers as suppliers; (3) establishing the selling prices of each of the CPM, CPC, CPA, CPS, CPL or ROI pricing model;</w:t>
      </w:r>
    </w:p>
    <w:p>
      <w:pPr>
        <w:spacing w:after="0" w:line="2" w:lineRule="exact"/>
        <w:rPr>
          <w:rFonts w:ascii="Arial" w:cs="Arial" w:eastAsia="Arial" w:hAnsi="Arial"/>
          <w:sz w:val="18"/>
          <w:szCs w:val="18"/>
          <w:b w:val="1"/>
          <w:bCs w:val="1"/>
          <w:color w:val="auto"/>
        </w:rPr>
      </w:pPr>
    </w:p>
    <w:p>
      <w:pPr>
        <w:jc w:val="both"/>
        <w:ind w:left="580"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(4) performing all billing and collection activities, including retaining credit risk; and (5) bearing sole responsibility for fulfillment of the marketing, the Group acts as the principal of these arrangements and therefore reports revenue earned and costs incurred related to these transactions on a gross basis.</w:t>
      </w:r>
    </w:p>
    <w:p>
      <w:pPr>
        <w:spacing w:after="0" w:line="82" w:lineRule="exact"/>
        <w:rPr>
          <w:sz w:val="20"/>
          <w:szCs w:val="20"/>
          <w:color w:val="auto"/>
        </w:rPr>
      </w:pPr>
    </w:p>
    <w:p>
      <w:pPr>
        <w:ind w:left="580" w:right="20"/>
        <w:spacing w:after="0" w:line="291" w:lineRule="auto"/>
        <w:rPr>
          <w:sz w:val="20"/>
          <w:szCs w:val="20"/>
          <w:color w:val="auto"/>
        </w:rPr>
      </w:pPr>
      <w:r>
        <w:rPr>
          <w:rFonts w:ascii="Arial" w:cs="Arial" w:eastAsia="Arial" w:hAnsi="Arial"/>
          <w:sz w:val="16"/>
          <w:szCs w:val="16"/>
          <w:color w:val="auto"/>
        </w:rPr>
        <w:t>Cost of revenues consists of the costs to purchase space for the online marketing operations, amortization expenses related to the Group’s computer software and systems, salaries and benefits of relevant operations and support personnel and depreciation of relevant property and equipment depreciation. The Group becomes obligated to make payments related to website publishers in the period the marketing impressions and click-through occur. Such expenses are classified as cost of revenues in the consolidated statements of operations as incurred. Cost of revenues also includes rebates received from website publishers which are recorded as a deduction against the cost of revenues when the Group is acting as a principal in a transaction. Following recent reforms of PRC tax laws, business tax is gradually being replaced by VAT, which is recorded as a reduction of revenue. The Group’s PRC subsidiaries, OptAim VIE and its subsidiary are subjected to VAT at a rate of 6%.</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580" w:hanging="572"/>
        <w:spacing w:after="0"/>
        <w:tabs>
          <w:tab w:leader="none" w:pos="5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Rebates</w:t>
      </w:r>
    </w:p>
    <w:p>
      <w:pPr>
        <w:spacing w:after="0" w:line="121" w:lineRule="exact"/>
        <w:rPr>
          <w:rFonts w:ascii="Arial" w:cs="Arial" w:eastAsia="Arial" w:hAnsi="Arial"/>
          <w:sz w:val="18"/>
          <w:szCs w:val="18"/>
          <w:b w:val="1"/>
          <w:bCs w:val="1"/>
          <w:color w:val="auto"/>
        </w:rPr>
      </w:pPr>
    </w:p>
    <w:p>
      <w:pPr>
        <w:ind w:left="58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Throughout the various services delivered to clients under the cost-plus and specified action arrangements, the Group earns rebates from publishers and grant rebates to clients. The rebates that the Group grants to clients under cost-plus/specified actions arrangement are recorded as deduction from revenue and are recorded based on the amount the customers would ultimately need to spend to earn the corresponding level of rebates. The Group is also able to reasonably estimate the spending the customers can ultimately achieve based on the historical spending patterns of the customers with similar arrangements. The rebates that the Group receives from publishers under the cost-plus and specified action arrangements are recorded as reduction of cost of revenue under the specified actions arrangement while under the cost-plus arrangement, they are recorded as revenue. These rebates are recognized when a particular milestone is achieved (i.e. applying the relevant rebates based on the level of spending threshold actually achieved) and spending has actually occurred. Furthermore, no rebates has been received from the publisher under the sales agent arrangement.</w:t>
      </w:r>
    </w:p>
    <w:p>
      <w:pPr>
        <w:spacing w:after="0" w:line="310" w:lineRule="exact"/>
        <w:rPr>
          <w:rFonts w:ascii="Arial" w:cs="Arial" w:eastAsia="Arial" w:hAnsi="Arial"/>
          <w:sz w:val="18"/>
          <w:szCs w:val="18"/>
          <w:b w:val="1"/>
          <w:bCs w:val="1"/>
          <w:color w:val="auto"/>
        </w:rPr>
      </w:pPr>
    </w:p>
    <w:p>
      <w:pPr>
        <w:ind w:left="580" w:hanging="572"/>
        <w:spacing w:after="0"/>
        <w:tabs>
          <w:tab w:leader="none" w:pos="5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121" w:lineRule="exact"/>
        <w:rPr>
          <w:rFonts w:ascii="Arial" w:cs="Arial" w:eastAsia="Arial" w:hAnsi="Arial"/>
          <w:sz w:val="18"/>
          <w:szCs w:val="18"/>
          <w:b w:val="1"/>
          <w:bCs w:val="1"/>
          <w:color w:val="auto"/>
        </w:rPr>
      </w:pPr>
    </w:p>
    <w:p>
      <w:pPr>
        <w:ind w:left="58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316" w:lineRule="exact"/>
        <w:rPr>
          <w:rFonts w:ascii="Arial" w:cs="Arial" w:eastAsia="Arial" w:hAnsi="Arial"/>
          <w:sz w:val="18"/>
          <w:szCs w:val="18"/>
          <w:b w:val="1"/>
          <w:bCs w:val="1"/>
          <w:color w:val="auto"/>
        </w:rPr>
      </w:pPr>
    </w:p>
    <w:p>
      <w:pPr>
        <w:ind w:left="580" w:hanging="572"/>
        <w:spacing w:after="0"/>
        <w:tabs>
          <w:tab w:leader="none" w:pos="58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6"/>
          <w:szCs w:val="16"/>
          <w:color w:val="auto"/>
        </w:rPr>
        <w:t>Research and development expenses consist primarily of (i) salary and welfare for research and development personnel, (ii) rental expenses and</w:t>
      </w:r>
    </w:p>
    <w:p>
      <w:pPr>
        <w:spacing w:after="0" w:line="46" w:lineRule="exact"/>
        <w:rPr>
          <w:rFonts w:ascii="Arial" w:cs="Arial" w:eastAsia="Arial" w:hAnsi="Arial"/>
          <w:sz w:val="18"/>
          <w:szCs w:val="18"/>
          <w:b w:val="1"/>
          <w:bCs w:val="1"/>
          <w:color w:val="auto"/>
        </w:rPr>
      </w:pPr>
    </w:p>
    <w:p>
      <w:pPr>
        <w:ind w:left="58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82" w:lineRule="exact"/>
        <w:rPr>
          <w:sz w:val="20"/>
          <w:szCs w:val="20"/>
          <w:color w:val="auto"/>
        </w:rPr>
      </w:pPr>
    </w:p>
    <w:p>
      <w:pPr>
        <w:ind w:left="580" w:right="100"/>
        <w:spacing w:after="0" w:line="276" w:lineRule="auto"/>
        <w:rPr>
          <w:sz w:val="20"/>
          <w:szCs w:val="20"/>
          <w:color w:val="auto"/>
        </w:rPr>
      </w:pPr>
      <w:r>
        <w:rPr>
          <w:rFonts w:ascii="Arial" w:cs="Arial" w:eastAsia="Arial" w:hAnsi="Arial"/>
          <w:sz w:val="17"/>
          <w:szCs w:val="17"/>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 For the years ended December 31, 2016 and 2017, the Company has not capitalized any costs related to internal use software. The research and development expenses amounted to US$8,106, US$8,584 and US$5,778 during the years ended December 31, 2015, 2016 and 2017, respectively.</w:t>
      </w:r>
    </w:p>
    <w:p>
      <w:pPr>
        <w:spacing w:after="0" w:line="317" w:lineRule="exact"/>
        <w:rPr>
          <w:sz w:val="20"/>
          <w:szCs w:val="20"/>
          <w:color w:val="auto"/>
        </w:rPr>
      </w:pPr>
    </w:p>
    <w:p>
      <w:pPr>
        <w:ind w:left="580" w:hanging="572"/>
        <w:spacing w:after="0"/>
        <w:tabs>
          <w:tab w:leader="none" w:pos="5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121" w:lineRule="exact"/>
        <w:rPr>
          <w:rFonts w:ascii="Arial" w:cs="Arial" w:eastAsia="Arial" w:hAnsi="Arial"/>
          <w:sz w:val="18"/>
          <w:szCs w:val="18"/>
          <w:b w:val="1"/>
          <w:bCs w:val="1"/>
          <w:color w:val="auto"/>
        </w:rPr>
      </w:pPr>
    </w:p>
    <w:p>
      <w:pPr>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Sales and marketing expenses consist primarily of (i) advertising and marketing expenses, and (ii) salary and welfare for sales and marketing personnel. Advertising expenses are recorded as sales and marketing expenses when incurred, and totaled US$1,764, US$1,246 and US$1,727 for the years ended December 31, 2015, 2016 and 2017, respectively.</w:t>
      </w:r>
    </w:p>
    <w:p>
      <w:pPr>
        <w:spacing w:after="0" w:line="3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121" w:lineRule="exact"/>
        <w:rPr>
          <w:rFonts w:ascii="Arial" w:cs="Arial" w:eastAsia="Arial" w:hAnsi="Arial"/>
          <w:sz w:val="18"/>
          <w:szCs w:val="18"/>
          <w:b w:val="1"/>
          <w:bCs w:val="1"/>
          <w:color w:val="auto"/>
        </w:rPr>
      </w:pPr>
    </w:p>
    <w:p>
      <w:pPr>
        <w:ind w:left="58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 The general and administrative expenses amounted to US$12,745, US$26,767 and US$12,983 during the years ended December 31, 2015, 2016 and 2017, respectively.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ind w:left="580" w:hanging="572"/>
        <w:spacing w:after="0"/>
        <w:tabs>
          <w:tab w:leader="none" w:pos="5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121" w:lineRule="exact"/>
        <w:rPr>
          <w:rFonts w:ascii="Arial" w:cs="Arial" w:eastAsia="Arial" w:hAnsi="Arial"/>
          <w:sz w:val="18"/>
          <w:szCs w:val="18"/>
          <w:b w:val="1"/>
          <w:bCs w:val="1"/>
          <w:color w:val="auto"/>
        </w:rPr>
      </w:pPr>
    </w:p>
    <w:p>
      <w:pPr>
        <w:ind w:left="5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statements of operations on a straight-line basis over the lease periods. The Group had no capital leases for the years ended December 31, 2015, 2016 and 2017.</w:t>
      </w:r>
    </w:p>
    <w:p>
      <w:pPr>
        <w:spacing w:after="0" w:line="326" w:lineRule="exact"/>
        <w:rPr>
          <w:sz w:val="20"/>
          <w:szCs w:val="20"/>
          <w:color w:val="auto"/>
        </w:rPr>
      </w:pPr>
    </w:p>
    <w:p>
      <w:pPr>
        <w:ind w:left="580" w:hanging="572"/>
        <w:spacing w:after="0"/>
        <w:tabs>
          <w:tab w:leader="none" w:pos="5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121" w:lineRule="exact"/>
        <w:rPr>
          <w:rFonts w:ascii="Arial" w:cs="Arial" w:eastAsia="Arial" w:hAnsi="Arial"/>
          <w:sz w:val="18"/>
          <w:szCs w:val="18"/>
          <w:b w:val="1"/>
          <w:bCs w:val="1"/>
          <w:color w:val="auto"/>
        </w:rPr>
      </w:pPr>
    </w:p>
    <w:p>
      <w:pPr>
        <w:ind w:left="5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78" w:lineRule="exact"/>
        <w:rPr>
          <w:rFonts w:ascii="Arial" w:cs="Arial" w:eastAsia="Arial" w:hAnsi="Arial"/>
          <w:sz w:val="18"/>
          <w:szCs w:val="18"/>
          <w:b w:val="1"/>
          <w:bCs w:val="1"/>
          <w:color w:val="auto"/>
        </w:rPr>
      </w:pPr>
    </w:p>
    <w:p>
      <w:pPr>
        <w:ind w:left="58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6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Group also makes payments to other defined contribution plans for employees employed by subsidiaries outside the PRC.</w:t>
      </w:r>
    </w:p>
    <w:p>
      <w:pPr>
        <w:spacing w:after="0" w:line="3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(ab)</w:t>
        <w:tab/>
        <w:t>Income taxes</w:t>
      </w:r>
    </w:p>
    <w:p>
      <w:pPr>
        <w:spacing w:after="0" w:line="121" w:lineRule="exact"/>
        <w:rPr>
          <w:sz w:val="20"/>
          <w:szCs w:val="20"/>
          <w:color w:val="auto"/>
        </w:rPr>
      </w:pPr>
    </w:p>
    <w:p>
      <w:pPr>
        <w:ind w:left="580"/>
        <w:spacing w:after="0" w:line="254" w:lineRule="auto"/>
        <w:rPr>
          <w:sz w:val="20"/>
          <w:szCs w:val="20"/>
          <w:color w:val="auto"/>
        </w:rPr>
      </w:pPr>
      <w:r>
        <w:rPr>
          <w:rFonts w:ascii="Arial" w:cs="Arial" w:eastAsia="Arial" w:hAnsi="Arial"/>
          <w:sz w:val="18"/>
          <w:szCs w:val="18"/>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30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580" w:right="40"/>
        <w:spacing w:after="0" w:line="290" w:lineRule="auto"/>
        <w:rPr>
          <w:sz w:val="20"/>
          <w:szCs w:val="20"/>
          <w:color w:val="auto"/>
        </w:rPr>
      </w:pPr>
      <w:r>
        <w:rPr>
          <w:rFonts w:ascii="Arial" w:cs="Arial" w:eastAsia="Arial" w:hAnsi="Arial"/>
          <w:sz w:val="16"/>
          <w:szCs w:val="16"/>
          <w:color w:val="auto"/>
        </w:rPr>
        <w:t>The guidance on accounting for uncertainties in income taxes prescribes a more likely than not threshold for financial statements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2015, 2016 and 2017. As of December 31, 2016 and 2017, the Group did not have any significant unrecognized uncertain tax positions.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(ac)</w:t>
        <w:tab/>
        <w:t>Share-based compensation</w:t>
      </w:r>
    </w:p>
    <w:p>
      <w:pPr>
        <w:spacing w:after="0" w:line="121" w:lineRule="exact"/>
        <w:rPr>
          <w:sz w:val="20"/>
          <w:szCs w:val="20"/>
          <w:color w:val="auto"/>
        </w:rPr>
      </w:pPr>
    </w:p>
    <w:p>
      <w:pPr>
        <w:ind w:left="580" w:right="60"/>
        <w:spacing w:after="0" w:line="279" w:lineRule="auto"/>
        <w:rPr>
          <w:sz w:val="20"/>
          <w:szCs w:val="20"/>
          <w:color w:val="auto"/>
        </w:rPr>
      </w:pPr>
      <w:r>
        <w:rPr>
          <w:rFonts w:ascii="Arial" w:cs="Arial" w:eastAsia="Arial" w:hAnsi="Arial"/>
          <w:sz w:val="17"/>
          <w:szCs w:val="17"/>
          <w:color w:val="auto"/>
        </w:rPr>
        <w:t>The Group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selling and marketing expenses or research and development expenses, depending on the job functions of the grantees.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Option granted to employees</w:t>
      </w:r>
    </w:p>
    <w:p>
      <w:pPr>
        <w:spacing w:after="0" w:line="117"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color w:val="auto"/>
        </w:rPr>
        <w:t>For the options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w:t>
      </w:r>
    </w:p>
    <w:p>
      <w:pPr>
        <w:spacing w:after="0" w:line="29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Option modification</w:t>
      </w:r>
    </w:p>
    <w:p>
      <w:pPr>
        <w:spacing w:after="0" w:line="117" w:lineRule="exact"/>
        <w:rPr>
          <w:sz w:val="20"/>
          <w:szCs w:val="20"/>
          <w:color w:val="auto"/>
        </w:rPr>
      </w:pPr>
    </w:p>
    <w:p>
      <w:pPr>
        <w:ind w:left="580" w:right="20"/>
        <w:spacing w:after="0" w:line="297"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Option granted to non-employees</w:t>
      </w:r>
    </w:p>
    <w:p>
      <w:pPr>
        <w:spacing w:after="0" w:line="117" w:lineRule="exact"/>
        <w:rPr>
          <w:sz w:val="20"/>
          <w:szCs w:val="20"/>
          <w:color w:val="auto"/>
        </w:rPr>
      </w:pPr>
    </w:p>
    <w:p>
      <w:pPr>
        <w:ind w:left="580"/>
        <w:spacing w:after="0" w:line="257" w:lineRule="auto"/>
        <w:rPr>
          <w:sz w:val="20"/>
          <w:szCs w:val="20"/>
          <w:color w:val="auto"/>
        </w:rPr>
      </w:pPr>
      <w:r>
        <w:rPr>
          <w:rFonts w:ascii="Arial" w:cs="Arial" w:eastAsia="Arial" w:hAnsi="Arial"/>
          <w:sz w:val="18"/>
          <w:szCs w:val="18"/>
          <w:color w:val="auto"/>
        </w:rPr>
        <w:t>For share-based awards granted to non-employees, the Group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These options are measured as of the earlier of the date at which either: (1) commitment for performance by the non-employee has been reached; or (2) the non-employee’s performance is complete.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(ad)</w:t>
        <w:tab/>
        <w:t>Statutory reserves</w:t>
      </w:r>
    </w:p>
    <w:p>
      <w:pPr>
        <w:spacing w:after="0" w:line="121" w:lineRule="exact"/>
        <w:rPr>
          <w:sz w:val="20"/>
          <w:szCs w:val="20"/>
          <w:color w:val="auto"/>
        </w:rPr>
      </w:pPr>
    </w:p>
    <w:p>
      <w:pPr>
        <w:ind w:left="580" w:right="260"/>
        <w:spacing w:after="0" w:line="264" w:lineRule="auto"/>
        <w:rPr>
          <w:sz w:val="20"/>
          <w:szCs w:val="20"/>
          <w:color w:val="auto"/>
        </w:rPr>
      </w:pPr>
      <w:r>
        <w:rPr>
          <w:rFonts w:ascii="Arial" w:cs="Arial" w:eastAsia="Arial" w:hAnsi="Arial"/>
          <w:sz w:val="18"/>
          <w:szCs w:val="18"/>
          <w:color w:val="auto"/>
        </w:rPr>
        <w:t>The Group’s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73"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73" w:lineRule="exact"/>
        <w:rPr>
          <w:sz w:val="20"/>
          <w:szCs w:val="20"/>
          <w:color w:val="auto"/>
        </w:rPr>
      </w:pPr>
    </w:p>
    <w:p>
      <w:pPr>
        <w:ind w:left="580" w:right="28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There are no legal requirements in the PRC to fund these reserves by transfer of cash to restricted accounts, and the Group was not done so.</w:t>
      </w:r>
    </w:p>
    <w:p>
      <w:pPr>
        <w:spacing w:after="0" w:line="129" w:lineRule="exact"/>
        <w:rPr>
          <w:sz w:val="20"/>
          <w:szCs w:val="20"/>
          <w:color w:val="auto"/>
        </w:rPr>
      </w:pPr>
    </w:p>
    <w:p>
      <w:pPr>
        <w:ind w:left="580" w:right="160"/>
        <w:spacing w:after="0" w:line="264"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(ae)</w:t>
        <w:tab/>
        <w:t>Related parties</w:t>
      </w:r>
    </w:p>
    <w:p>
      <w:pPr>
        <w:spacing w:after="0" w:line="121" w:lineRule="exact"/>
        <w:rPr>
          <w:sz w:val="20"/>
          <w:szCs w:val="20"/>
          <w:color w:val="auto"/>
        </w:rPr>
      </w:pPr>
    </w:p>
    <w:p>
      <w:pPr>
        <w:ind w:left="580" w:right="20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580" w:right="320"/>
        <w:spacing w:after="0" w:line="264"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2015, 2016 and 2017, respectively. The Group does not have any present plan to pay any dividends on ordinary shares in the foreseeable future. The Group currently intends to retain the available funds and any future earnings to operate and expand its business.</w:t>
      </w:r>
    </w:p>
    <w:p>
      <w:pPr>
        <w:spacing w:after="0" w:line="32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(ag)</w:t>
        <w:tab/>
        <w:t>Loss per share</w:t>
      </w:r>
    </w:p>
    <w:p>
      <w:pPr>
        <w:spacing w:after="0" w:line="121" w:lineRule="exact"/>
        <w:rPr>
          <w:sz w:val="20"/>
          <w:szCs w:val="20"/>
          <w:color w:val="auto"/>
        </w:rPr>
      </w:pPr>
    </w:p>
    <w:p>
      <w:pPr>
        <w:ind w:left="580" w:right="260"/>
        <w:spacing w:after="0" w:line="264" w:lineRule="auto"/>
        <w:rPr>
          <w:sz w:val="20"/>
          <w:szCs w:val="20"/>
          <w:color w:val="auto"/>
        </w:rPr>
      </w:pPr>
      <w:r>
        <w:rPr>
          <w:rFonts w:ascii="Arial" w:cs="Arial" w:eastAsia="Arial" w:hAnsi="Arial"/>
          <w:sz w:val="18"/>
          <w:szCs w:val="18"/>
          <w:color w:val="auto"/>
        </w:rPr>
        <w:t>Basic loss per share is computed by dividing net loss attributable to holders of ordinary shares by the weighted average number of ordinary shares outstanding during the year using the two class method. Using the two class method, net loss is allocated between ordinary shares and other participating securities (i.e. preferred shares) based on their participating rights.</w:t>
      </w:r>
    </w:p>
    <w:p>
      <w:pPr>
        <w:spacing w:after="0" w:line="73" w:lineRule="exact"/>
        <w:rPr>
          <w:sz w:val="20"/>
          <w:szCs w:val="20"/>
          <w:color w:val="auto"/>
        </w:rPr>
      </w:pPr>
    </w:p>
    <w:p>
      <w:pPr>
        <w:ind w:left="580" w:right="80"/>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non-redeemable and redeemable preferred shares using the if-converted method, and ordinary shares issuable upon the conversion of the stock options, using the treasury stock method.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60"/>
          </w:cols>
          <w:pgMar w:left="240" w:top="460" w:right="2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(ah)</w:t>
        <w:tab/>
        <w:t>Comprehensive loss</w:t>
      </w:r>
    </w:p>
    <w:p>
      <w:pPr>
        <w:spacing w:after="0" w:line="121" w:lineRule="exact"/>
        <w:rPr>
          <w:sz w:val="20"/>
          <w:szCs w:val="20"/>
          <w:color w:val="auto"/>
        </w:rPr>
      </w:pPr>
    </w:p>
    <w:p>
      <w:pPr>
        <w:ind w:left="580" w:right="200"/>
        <w:spacing w:after="0" w:line="277" w:lineRule="auto"/>
        <w:rPr>
          <w:sz w:val="20"/>
          <w:szCs w:val="20"/>
          <w:color w:val="auto"/>
        </w:rPr>
      </w:pPr>
      <w:r>
        <w:rPr>
          <w:rFonts w:ascii="Arial" w:cs="Arial" w:eastAsia="Arial" w:hAnsi="Arial"/>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62" w:lineRule="exact"/>
        <w:rPr>
          <w:sz w:val="20"/>
          <w:szCs w:val="20"/>
          <w:color w:val="auto"/>
        </w:rPr>
      </w:pPr>
    </w:p>
    <w:p>
      <w:pPr>
        <w:ind w:left="580" w:right="8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31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left="580" w:right="40"/>
        <w:spacing w:after="0" w:line="297" w:lineRule="auto"/>
        <w:rPr>
          <w:sz w:val="20"/>
          <w:szCs w:val="20"/>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3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580" w:right="140"/>
        <w:spacing w:after="0" w:line="287" w:lineRule="auto"/>
        <w:rPr>
          <w:sz w:val="20"/>
          <w:szCs w:val="20"/>
          <w:color w:val="auto"/>
        </w:rPr>
      </w:pPr>
      <w:r>
        <w:rPr>
          <w:rFonts w:ascii="Arial" w:cs="Arial" w:eastAsia="Arial" w:hAnsi="Arial"/>
          <w:sz w:val="16"/>
          <w:szCs w:val="16"/>
          <w:color w:val="auto"/>
        </w:rPr>
        <w:t>In May 2014, the Financial Accounting Standards Board (“FASB”), issued ASU 2014-09—Revenue from Contracts with Customers (Topic 606) (“ASU 2014-09”). ASU 2014-09 amends the guidance for revenue recognition to replace numerous industry-specific requirements and converges areas under the “Revenue from Contracts with Customers” topic with those of the International Financial Reporting Standards. The guidance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Other major provisions include the capitalization and amortization of certain contract costs, ensuring the time value of money is considered in the transaction price, and allowing estimates of variable consideration to be recognized before contingencies are resolved in certain circumstances. Entities can transition to the standard either retrospectively or as a cumulative-effect adjustment as of the date of adoption (“modified retrospective”). The guidance is effective for reporting periods beginning after December 15, 2017. Since its issuance, the FASB has amended several aspects of the new guidance including provisions that clarify the implementation guidance on principal versus agent considerations in the new revenue recognition standard. The amendments clarify how an entity should identify the unit of accounting (i.e., the specified good or service) for the principal versus agent evaluation and how it should apply the control principle to certain types of arrangements.</w:t>
      </w:r>
    </w:p>
    <w:p>
      <w:pPr>
        <w:spacing w:after="0" w:line="61" w:lineRule="exact"/>
        <w:rPr>
          <w:sz w:val="20"/>
          <w:szCs w:val="20"/>
          <w:color w:val="auto"/>
        </w:rPr>
      </w:pPr>
    </w:p>
    <w:p>
      <w:pPr>
        <w:ind w:left="580" w:right="100"/>
        <w:spacing w:after="0" w:line="273" w:lineRule="auto"/>
        <w:rPr>
          <w:sz w:val="20"/>
          <w:szCs w:val="20"/>
          <w:color w:val="auto"/>
        </w:rPr>
      </w:pPr>
      <w:r>
        <w:rPr>
          <w:rFonts w:ascii="Arial" w:cs="Arial" w:eastAsia="Arial" w:hAnsi="Arial"/>
          <w:sz w:val="17"/>
          <w:szCs w:val="17"/>
          <w:color w:val="auto"/>
        </w:rPr>
        <w:t>Management has completed an assessment to determine the impact on the Company’s consolidated financial statements by analyzing the Company’s primary revenue generating transaction types, and concluded that there was no impact on the Company’s results of operations as a result of adopting this standard, except for the reclassification of rebates granted to clients under the sales agent arrangement from cost of revenues to net against revenues. The amounts of such rebates included in cost of revenues for the years ended December 31, 2016 and 2017 were US$2,568 and US$2,236, respectively. Meanwhile, there will also be additional disclosure requirements upon the adoption of this standard. The Company will adopt this new standard on a modified retrospective basis as of January 1, 2018.</w:t>
      </w:r>
    </w:p>
    <w:p>
      <w:pPr>
        <w:spacing w:after="0" w:line="70"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In November 2015, the FASB issued ASU No. 2015-17, “Income Taxes (Topic 740): Balance Sheet Classification of Deferred Taxes”. The new guidance requires entities to present all deferred tax assets and liabilities, along with any related valuation allowance, as non-current on the balance sheet. The guidance is effective for public business entities for interim and annual periods beginning after December 15, 2016 (early adoption is permitted). The Company adopted ASU 2015-17 on January 1, 2017, and has applied this guidance retrospectively to all periods presented. Following the adoption of this guidance in 2017, US$1,067 of current deferred tax liabilities as of December 31, 2016 has been reclassified to non-current liabilities.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8"/>
          <w:szCs w:val="18"/>
          <w:b w:val="1"/>
          <w:bCs w:val="1"/>
          <w:color w:val="auto"/>
        </w:rPr>
        <w:t>Recently issued accounting pronouncements (Continued)</w:t>
      </w:r>
    </w:p>
    <w:p>
      <w:pPr>
        <w:spacing w:after="0" w:line="162" w:lineRule="exact"/>
        <w:rPr>
          <w:sz w:val="20"/>
          <w:szCs w:val="20"/>
          <w:color w:val="auto"/>
        </w:rPr>
      </w:pPr>
    </w:p>
    <w:p>
      <w:pPr>
        <w:ind w:left="580" w:right="20"/>
        <w:spacing w:after="0" w:line="255" w:lineRule="auto"/>
        <w:rPr>
          <w:sz w:val="20"/>
          <w:szCs w:val="20"/>
          <w:color w:val="auto"/>
        </w:rPr>
      </w:pPr>
      <w:r>
        <w:rPr>
          <w:rFonts w:ascii="Arial" w:cs="Arial" w:eastAsia="Arial" w:hAnsi="Arial"/>
          <w:sz w:val="18"/>
          <w:szCs w:val="18"/>
          <w:color w:val="auto"/>
        </w:rPr>
        <w:t>In February 2016, the FASB issued ASU 2016-02: Leases (Topic 842). The core principle of Topic 842 is that a lessee should recognize the assets and liabilities that arise from leases. All leases create an asset and a liability for the lessee in accordance with FASB Concepts Statement No. 6, Elements of Financial Statements, and, therefore, recognition of those lease assets and lease liabilities represents an improvement over previous GAAP, which did not require lease assets and lease liabilities to be recognized for most leases. ASU 2016-02 is effective for fiscal years and interim periods within those years beginning after December 15, 2018. Early adoption is permitted. The Company is in the process of evaluating the impact of the standard on its consolidated financial statements.</w:t>
      </w:r>
    </w:p>
    <w:p>
      <w:pPr>
        <w:spacing w:after="0" w:line="85" w:lineRule="exact"/>
        <w:rPr>
          <w:sz w:val="20"/>
          <w:szCs w:val="20"/>
          <w:color w:val="auto"/>
        </w:rPr>
      </w:pPr>
    </w:p>
    <w:p>
      <w:pPr>
        <w:ind w:left="580" w:right="60"/>
        <w:spacing w:after="0" w:line="293" w:lineRule="auto"/>
        <w:rPr>
          <w:sz w:val="20"/>
          <w:szCs w:val="20"/>
          <w:color w:val="auto"/>
        </w:rPr>
      </w:pPr>
      <w:r>
        <w:rPr>
          <w:rFonts w:ascii="Arial" w:cs="Arial" w:eastAsia="Arial" w:hAnsi="Arial"/>
          <w:sz w:val="16"/>
          <w:szCs w:val="16"/>
          <w:color w:val="auto"/>
        </w:rPr>
        <w:t>On August 6, 2016, the FASB issued ASU 2016-15, “Statement of Cash Flows — Classification of Certain Cash Receipts and Payments.” The ASU provides guidance on the classification of certain cash receipts and payments including debt prepayment or debt issuance costs and cash payments for contingent considerations. The ASU also provides clarification on the application of the predominance principle outlined in ASC 230. The effective date for public entities will be annual periods beginning after December 15, 2017, including interim periods within those fiscal years. Early adoption is permitted. The Company will adopt this new standard on a retrospective basis as of January 1, 2018. The Company has assessed each of the eight specific presentation issues and the adoption of this ASU will not have a material impact on the Company’s consolidated financial statements.</w:t>
      </w:r>
    </w:p>
    <w:p>
      <w:pPr>
        <w:spacing w:after="0" w:line="57" w:lineRule="exact"/>
        <w:rPr>
          <w:sz w:val="20"/>
          <w:szCs w:val="20"/>
          <w:color w:val="auto"/>
        </w:rPr>
      </w:pPr>
    </w:p>
    <w:p>
      <w:pPr>
        <w:ind w:left="580" w:right="140"/>
        <w:spacing w:after="0" w:line="257" w:lineRule="auto"/>
        <w:rPr>
          <w:sz w:val="20"/>
          <w:szCs w:val="20"/>
          <w:color w:val="auto"/>
        </w:rPr>
      </w:pPr>
      <w:r>
        <w:rPr>
          <w:rFonts w:ascii="Arial" w:cs="Arial" w:eastAsia="Arial" w:hAnsi="Arial"/>
          <w:sz w:val="18"/>
          <w:szCs w:val="18"/>
          <w:color w:val="auto"/>
        </w:rPr>
        <w:t>In October 2016, the FASB issued ASU 2016-16, Income Taxes: Intra-Entity Transfers of Assets Other Than Inventory (Topic 740). This standard will require entities to recognize the income tax consequences of intra-entity transfers of assets other than inventory at the time of transfer. This standard requires a modified retrospective approach to adoption. ASU 2016-16 is effective for fiscal years and interim periods within those years beginning after December 31, 2018. The Company does not expect ASU 2016-16 to have a material impact to the Company’s consolidated financial statements.</w:t>
      </w:r>
    </w:p>
    <w:p>
      <w:pPr>
        <w:spacing w:after="0" w:line="80" w:lineRule="exact"/>
        <w:rPr>
          <w:sz w:val="20"/>
          <w:szCs w:val="20"/>
          <w:color w:val="auto"/>
        </w:rPr>
      </w:pPr>
    </w:p>
    <w:p>
      <w:pPr>
        <w:ind w:left="580" w:right="400"/>
        <w:spacing w:after="0" w:line="273" w:lineRule="auto"/>
        <w:rPr>
          <w:sz w:val="20"/>
          <w:szCs w:val="20"/>
          <w:color w:val="auto"/>
        </w:rPr>
      </w:pPr>
      <w:r>
        <w:rPr>
          <w:rFonts w:ascii="Arial" w:cs="Arial" w:eastAsia="Arial" w:hAnsi="Arial"/>
          <w:sz w:val="17"/>
          <w:szCs w:val="17"/>
          <w:color w:val="auto"/>
        </w:rPr>
        <w:t>In January 2017, the FASB issued ASU 2017-01, Business Combinations (Topic 805): Clarifying the Definition of a Business, which revises the definition of a business. To be considered a business, an acquisition would have to include an input and a substantive process that together significantly contribute to the ability to create outputs. To be a business without outputs, there will now need to be an organized workforce. ASU 2017-01 is effective for fiscal years and interim periods within those years beginning after December 15, 2017. The Company currently does not expect ASU 2017-01 to have a material impact to the Company’s consolidated financial statements, but will apply the guidance upon adoption to business acquisitions, disposals and segment changes, if any.</w:t>
      </w:r>
    </w:p>
    <w:p>
      <w:pPr>
        <w:spacing w:after="0" w:line="70" w:lineRule="exact"/>
        <w:rPr>
          <w:sz w:val="20"/>
          <w:szCs w:val="20"/>
          <w:color w:val="auto"/>
        </w:rPr>
      </w:pPr>
    </w:p>
    <w:p>
      <w:pPr>
        <w:ind w:left="580" w:right="120"/>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which requires entities to include restricted cash and restricted cash equivalents in the cash and cash equivalent balances in the statement of cash flows. The ASU is effective for fiscal years beginning after December 15, 2017, and interim periods within those fiscal years, with early adoption permitted. Retrospective transition method is required. The Company currently presents changes in restricted cash and cash equivalents depending on the nature of the cash flow within the consolidated statement of cash flows. The new guidance will not impact financial results, but will result in a change in the presentation of restricted cash and cash equivalents within the consolidated statement of cash flows. The Company currently plans to adopt this guidance from January 1, 2018.</w:t>
      </w:r>
    </w:p>
    <w:p>
      <w:pPr>
        <w:spacing w:after="0" w:line="81" w:lineRule="exact"/>
        <w:rPr>
          <w:sz w:val="20"/>
          <w:szCs w:val="20"/>
          <w:color w:val="auto"/>
        </w:rPr>
      </w:pPr>
    </w:p>
    <w:p>
      <w:pPr>
        <w:ind w:left="58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Company is currently evaluating the impact of adopting this standard on its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8"/>
          <w:szCs w:val="18"/>
          <w:b w:val="1"/>
          <w:bCs w:val="1"/>
          <w:color w:val="auto"/>
        </w:rPr>
        <w:t>Recently issued accounting pronouncements (Continued)</w:t>
      </w:r>
    </w:p>
    <w:p>
      <w:pPr>
        <w:spacing w:after="0" w:line="162"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color w:val="auto"/>
        </w:rPr>
        <w:t>In January 2016, the FASB issued ASU 2016-01—Financial Instruments—Overall (Subtopic 825-10): Recognition and Measurement of Financial Assets and Financial Liabilities (“ASU 2016-01”). ASU 2016-01 changes certain recognition, measurement, presentation, and disclosure requirements for financial instruments. The new guidance requires all equity investments, except those accounted for under the equity method of accounting or resulting in consolidation, to be measured at fair value with changes in fair value recognized in net income. The guidance also simplifies the impairment assessment for equity investments without readily determinable fair values, amends the presentation requirements for changes in the fair value of financial liabilities, requires presentation of financial instruments by measurement category and form of financial asset, and eliminates the requirement to disclose the methods and significant assumptions used in estimating the fair value of financial instruments. The new guidance is effective for interim and annual periods beginning after December 15, 2017, and early adoption is not permitted except for the amended presentation requirements for changes in the fair value of financial liabilities. The adoption of this new standard is not expected to have a material impact on the Company’s results of operations, financial position or cash flows.</w:t>
      </w:r>
    </w:p>
    <w:p>
      <w:pPr>
        <w:spacing w:after="0" w:line="70" w:lineRule="exact"/>
        <w:rPr>
          <w:sz w:val="20"/>
          <w:szCs w:val="20"/>
          <w:color w:val="auto"/>
        </w:rPr>
      </w:pPr>
    </w:p>
    <w:p>
      <w:pPr>
        <w:ind w:left="580"/>
        <w:spacing w:after="0" w:line="273" w:lineRule="auto"/>
        <w:rPr>
          <w:sz w:val="20"/>
          <w:szCs w:val="20"/>
          <w:color w:val="auto"/>
        </w:rPr>
      </w:pPr>
      <w:r>
        <w:rPr>
          <w:rFonts w:ascii="Arial" w:cs="Arial" w:eastAsia="Arial" w:hAnsi="Arial"/>
          <w:sz w:val="17"/>
          <w:szCs w:val="17"/>
          <w:color w:val="auto"/>
        </w:rPr>
        <w:t>In June 2016, the FASB issued ASU 2016-13—Financial Instruments—Credit Losses (Topic 326): Measurement of Credit Losses on Financial Instruments (“ASU 2016-13”), which changes the accounting for recognizing impairments of financial assets. Under ASU 2016-13, credit losses for certain types of financial instruments will be estimated based on expected losses. The new guidance also modifies the impairment models for available-for-sale debt securities and for purchased financial assets with credit deterioration since their origination. The new guidance will be effective for the Company starting in the first quarter of fiscal 2021. Early adoption is permitted starting in the first quarter of fiscal 2020. The Company is currently assessing the impact this guidance will have on its consolidated financial statements.</w:t>
      </w:r>
    </w:p>
    <w:p>
      <w:pPr>
        <w:spacing w:after="0" w:line="70" w:lineRule="exact"/>
        <w:rPr>
          <w:sz w:val="20"/>
          <w:szCs w:val="20"/>
          <w:color w:val="auto"/>
        </w:rPr>
      </w:pPr>
    </w:p>
    <w:p>
      <w:pPr>
        <w:ind w:left="580" w:right="20"/>
        <w:spacing w:after="0" w:line="270" w:lineRule="auto"/>
        <w:rPr>
          <w:sz w:val="20"/>
          <w:szCs w:val="20"/>
          <w:color w:val="auto"/>
        </w:rPr>
      </w:pPr>
      <w:r>
        <w:rPr>
          <w:rFonts w:ascii="Arial" w:cs="Arial" w:eastAsia="Arial" w:hAnsi="Arial"/>
          <w:sz w:val="17"/>
          <w:szCs w:val="17"/>
          <w:color w:val="auto"/>
        </w:rPr>
        <w:t>In May 2017, the FASB issued ASU 2017-09—Compensation—Stock Compensation (Topic 718): Scope of Modification Accounting (“ASU 2017-09”) to provide guidance about which changes to the terms and conditions of a share-based payment award require an entity to apply modification accounting. The guidance notes that an entity should account for the effects of a modification unless the fair value of the modified award is the same as the fair value of the original award immediately before the original award was modified and it did not change any of the inputs to the valuation technique used to value the award, the vesting conditions did not change, and the classification of the award as either equity or liability did not change. The guidance is effective for fiscal years, and interim periods within those fiscal years, beginning after December 15, 2017, and will be applied prospectively to any transactions occurring within the period of adoption. Early adoption is permitted, including for interim or annual periods in which the financial statements have not been issued or made available for issuance. The adoption of this update is not expected to have material impact on the Company’s results of operations, financial position or cash flows.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131"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121" w:lineRule="exact"/>
        <w:rPr>
          <w:rFonts w:ascii="Arial" w:cs="Arial" w:eastAsia="Arial" w:hAnsi="Arial"/>
          <w:sz w:val="18"/>
          <w:szCs w:val="18"/>
          <w:b w:val="1"/>
          <w:bCs w:val="1"/>
          <w:color w:val="auto"/>
        </w:rPr>
      </w:pPr>
    </w:p>
    <w:p>
      <w:pPr>
        <w:ind w:left="580" w:right="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China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China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294" w:lineRule="exact"/>
        <w:rPr>
          <w:rFonts w:ascii="Arial" w:cs="Arial" w:eastAsia="Arial" w:hAnsi="Arial"/>
          <w:sz w:val="18"/>
          <w:szCs w:val="18"/>
          <w:b w:val="1"/>
          <w:bCs w:val="1"/>
          <w:color w:val="auto"/>
        </w:rPr>
      </w:pPr>
    </w:p>
    <w:p>
      <w:pPr>
        <w:ind w:left="900" w:hanging="325"/>
        <w:spacing w:after="0"/>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the OptAim VIE;</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consolidated VIEs may not be able to comply;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China.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58" w:lineRule="exact"/>
        <w:rPr>
          <w:sz w:val="20"/>
          <w:szCs w:val="20"/>
          <w:color w:val="auto"/>
        </w:rPr>
      </w:pPr>
    </w:p>
    <w:p>
      <w:pPr>
        <w:ind w:left="580" w:hanging="572"/>
        <w:spacing w:after="0"/>
        <w:tabs>
          <w:tab w:leader="none" w:pos="5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61" w:lineRule="exact"/>
        <w:rPr>
          <w:rFonts w:ascii="Arial" w:cs="Arial" w:eastAsia="Arial" w:hAnsi="Arial"/>
          <w:sz w:val="18"/>
          <w:szCs w:val="18"/>
          <w:b w:val="1"/>
          <w:bCs w:val="1"/>
          <w:color w:val="auto"/>
        </w:rPr>
      </w:pPr>
    </w:p>
    <w:p>
      <w:pPr>
        <w:ind w:left="5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 The Company expects that by the end of 2018, OptAim WFOE will replace OptAim VIE and its subsidiary as contracting party for their businesses that are operated by OptAim VIE and its subsidiary.</w:t>
      </w:r>
    </w:p>
    <w:p>
      <w:pPr>
        <w:spacing w:after="0" w:line="74" w:lineRule="exact"/>
        <w:rPr>
          <w:rFonts w:ascii="Arial" w:cs="Arial" w:eastAsia="Arial" w:hAnsi="Arial"/>
          <w:sz w:val="18"/>
          <w:szCs w:val="18"/>
          <w:b w:val="1"/>
          <w:bCs w:val="1"/>
          <w:color w:val="auto"/>
        </w:rPr>
      </w:pPr>
    </w:p>
    <w:p>
      <w:pPr>
        <w:ind w:left="580" w:right="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69" w:lineRule="exact"/>
        <w:rPr>
          <w:rFonts w:ascii="Arial" w:cs="Arial" w:eastAsia="Arial" w:hAnsi="Arial"/>
          <w:sz w:val="18"/>
          <w:szCs w:val="18"/>
          <w:b w:val="1"/>
          <w:bCs w:val="1"/>
          <w:color w:val="auto"/>
        </w:rPr>
      </w:pPr>
    </w:p>
    <w:p>
      <w:pPr>
        <w:ind w:left="580" w:right="1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56" w:lineRule="exact"/>
        <w:rPr>
          <w:rFonts w:ascii="Arial" w:cs="Arial" w:eastAsia="Arial" w:hAnsi="Arial"/>
          <w:sz w:val="18"/>
          <w:szCs w:val="18"/>
          <w:b w:val="1"/>
          <w:bCs w:val="1"/>
          <w:color w:val="auto"/>
        </w:rPr>
      </w:pPr>
    </w:p>
    <w:p>
      <w:pPr>
        <w:ind w:left="58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China,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58" w:lineRule="exact"/>
        <w:rPr>
          <w:sz w:val="20"/>
          <w:szCs w:val="20"/>
          <w:color w:val="auto"/>
        </w:rPr>
      </w:pPr>
    </w:p>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161" w:lineRule="exact"/>
        <w:rPr>
          <w:rFonts w:ascii="Arial" w:cs="Arial" w:eastAsia="Arial" w:hAnsi="Arial"/>
          <w:sz w:val="18"/>
          <w:szCs w:val="18"/>
          <w:b w:val="1"/>
          <w:bCs w:val="1"/>
          <w:color w:val="auto"/>
        </w:rPr>
      </w:pPr>
    </w:p>
    <w:p>
      <w:pPr>
        <w:ind w:left="5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63" w:lineRule="exact"/>
        <w:rPr>
          <w:rFonts w:ascii="Arial" w:cs="Arial" w:eastAsia="Arial" w:hAnsi="Arial"/>
          <w:sz w:val="18"/>
          <w:szCs w:val="18"/>
          <w:b w:val="1"/>
          <w:bCs w:val="1"/>
          <w:color w:val="auto"/>
        </w:rPr>
      </w:pPr>
    </w:p>
    <w:p>
      <w:pPr>
        <w:jc w:val="both"/>
        <w:ind w:left="58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following financial information of the OptAim VIE and its subsidiary excluding the intercompany items with the Company’s subsidiaries was included in the accompanying financial statements as of December 31, 2016 and 2017 and for the years ended December 31, 2015, 2016 and 2017:</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560" w:type="dxa"/>
            <w:vAlign w:val="bottom"/>
            <w:gridSpan w:val="5"/>
          </w:tcPr>
          <w:p>
            <w:pPr>
              <w:ind w:left="16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4"/>
                <w:szCs w:val="14"/>
                <w:color w:val="auto"/>
              </w:rPr>
            </w:pP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3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8,129</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5,553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17,761</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26,936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27,135</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Accounts payable</w:t>
            </w:r>
          </w:p>
        </w:tc>
        <w:tc>
          <w:tcPr>
            <w:tcW w:w="3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3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11,878</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33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3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3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338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940" w:type="dxa"/>
            <w:vAlign w:val="bottom"/>
            <w:gridSpan w:val="6"/>
          </w:tcPr>
          <w:p>
            <w:pPr>
              <w:ind w:left="270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380" w:type="dxa"/>
            <w:vAlign w:val="bottom"/>
          </w:tcPr>
          <w:p>
            <w:pPr>
              <w:jc w:val="right"/>
              <w:ind w:right="397"/>
              <w:spacing w:after="0"/>
              <w:rPr>
                <w:sz w:val="20"/>
                <w:szCs w:val="20"/>
                <w:color w:val="auto"/>
              </w:rPr>
            </w:pPr>
            <w:r>
              <w:rPr>
                <w:rFonts w:ascii="Arial" w:cs="Arial" w:eastAsia="Arial" w:hAnsi="Arial"/>
                <w:sz w:val="14"/>
                <w:szCs w:val="14"/>
                <w:color w:val="auto"/>
              </w:rPr>
              <w:t>2015</w:t>
            </w:r>
          </w:p>
        </w:tc>
        <w:tc>
          <w:tcPr>
            <w:tcW w:w="560" w:type="dxa"/>
            <w:vAlign w:val="bottom"/>
          </w:tcPr>
          <w:p>
            <w:pPr>
              <w:jc w:val="right"/>
              <w:ind w:right="33"/>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4"/>
                <w:szCs w:val="14"/>
                <w:color w:val="auto"/>
              </w:rPr>
            </w:pPr>
          </w:p>
        </w:tc>
        <w:tc>
          <w:tcPr>
            <w:tcW w:w="680" w:type="dxa"/>
            <w:vAlign w:val="bottom"/>
            <w:gridSpan w:val="2"/>
          </w:tcPr>
          <w:p>
            <w:pPr>
              <w:jc w:val="right"/>
              <w:ind w:right="5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380" w:type="dxa"/>
            <w:vAlign w:val="bottom"/>
            <w:shd w:val="clear" w:color="auto" w:fill="CCEEFF"/>
          </w:tcPr>
          <w:p>
            <w:pPr>
              <w:jc w:val="right"/>
              <w:ind w:right="257"/>
              <w:spacing w:after="0"/>
              <w:rPr>
                <w:sz w:val="20"/>
                <w:szCs w:val="20"/>
                <w:color w:val="auto"/>
              </w:rPr>
            </w:pPr>
            <w:r>
              <w:rPr>
                <w:rFonts w:ascii="Arial" w:cs="Arial" w:eastAsia="Arial" w:hAnsi="Arial"/>
                <w:sz w:val="18"/>
                <w:szCs w:val="18"/>
                <w:color w:val="auto"/>
              </w:rPr>
              <w:t>11,653</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52,215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(loss)/profit</w:t>
            </w:r>
          </w:p>
        </w:tc>
        <w:tc>
          <w:tcPr>
            <w:tcW w:w="3380" w:type="dxa"/>
            <w:vAlign w:val="bottom"/>
          </w:tcPr>
          <w:p>
            <w:pPr>
              <w:jc w:val="right"/>
              <w:ind w:right="197"/>
              <w:spacing w:after="0"/>
              <w:rPr>
                <w:sz w:val="20"/>
                <w:szCs w:val="20"/>
                <w:color w:val="auto"/>
              </w:rPr>
            </w:pPr>
            <w:r>
              <w:rPr>
                <w:rFonts w:ascii="Arial" w:cs="Arial" w:eastAsia="Arial" w:hAnsi="Arial"/>
                <w:sz w:val="18"/>
                <w:szCs w:val="18"/>
                <w:color w:val="auto"/>
              </w:rPr>
              <w:t>(172)</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1,646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380" w:type="dxa"/>
            <w:vAlign w:val="bottom"/>
          </w:tcPr>
          <w:p>
            <w:pPr>
              <w:jc w:val="right"/>
              <w:ind w:right="2537"/>
              <w:spacing w:after="0"/>
              <w:rPr>
                <w:sz w:val="20"/>
                <w:szCs w:val="20"/>
                <w:color w:val="auto"/>
              </w:rPr>
            </w:pPr>
            <w:r>
              <w:rPr>
                <w:rFonts w:ascii="Arial" w:cs="Arial" w:eastAsia="Arial" w:hAnsi="Arial"/>
                <w:sz w:val="18"/>
                <w:szCs w:val="18"/>
                <w:color w:val="auto"/>
              </w:rPr>
              <w:t>F-33</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(a)</w:t>
            </w:r>
          </w:p>
        </w:tc>
        <w:tc>
          <w:tcPr>
            <w:tcW w:w="7740" w:type="dxa"/>
            <w:vAlign w:val="bottom"/>
            <w:gridSpan w:val="2"/>
          </w:tcPr>
          <w:p>
            <w:pPr>
              <w:ind w:left="180"/>
              <w:spacing w:after="0"/>
              <w:rPr>
                <w:sz w:val="20"/>
                <w:szCs w:val="20"/>
                <w:color w:val="auto"/>
              </w:rPr>
            </w:pPr>
            <w:r>
              <w:rPr>
                <w:rFonts w:ascii="Arial" w:cs="Arial" w:eastAsia="Arial" w:hAnsi="Arial"/>
                <w:sz w:val="18"/>
                <w:szCs w:val="18"/>
                <w:b w:val="1"/>
                <w:bCs w:val="1"/>
                <w:color w:val="auto"/>
              </w:rPr>
              <w:t>PRC regulations (Continued)</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8"/>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360" w:type="dxa"/>
            <w:vAlign w:val="bottom"/>
            <w:gridSpan w:val="6"/>
          </w:tcPr>
          <w:p>
            <w:pPr>
              <w:ind w:left="160"/>
              <w:spacing w:after="0"/>
              <w:rPr>
                <w:sz w:val="20"/>
                <w:szCs w:val="20"/>
                <w:color w:val="auto"/>
              </w:rPr>
            </w:pPr>
            <w:r>
              <w:rPr>
                <w:rFonts w:ascii="Arial" w:cs="Arial" w:eastAsia="Arial" w:hAnsi="Arial"/>
                <w:sz w:val="14"/>
                <w:szCs w:val="14"/>
                <w:color w:val="auto"/>
              </w:rPr>
              <w:t>For the years ended December 31,</w:t>
            </w:r>
          </w:p>
        </w:tc>
      </w:tr>
      <w:tr>
        <w:trPr>
          <w:trHeight w:val="167"/>
        </w:trPr>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auto"/>
              </w:rPr>
              <w:t>2015</w:t>
            </w:r>
          </w:p>
        </w:tc>
        <w:tc>
          <w:tcPr>
            <w:tcW w:w="38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color w:val="auto"/>
              </w:rPr>
              <w:t>2016</w:t>
            </w:r>
          </w:p>
        </w:tc>
        <w:tc>
          <w:tcPr>
            <w:tcW w:w="3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operating activities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(1,144)</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1,043</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539</w:t>
            </w: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46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7"/>
        </w:trPr>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(decrease)/increase in cash and cash equivalents</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(1,163)</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1,040</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539</w:t>
            </w:r>
          </w:p>
        </w:tc>
      </w:tr>
      <w:tr>
        <w:trPr>
          <w:trHeight w:val="20"/>
        </w:trPr>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right="120"/>
        <w:spacing w:after="0" w:line="308" w:lineRule="auto"/>
        <w:rPr>
          <w:sz w:val="20"/>
          <w:szCs w:val="20"/>
          <w:color w:val="auto"/>
        </w:rPr>
      </w:pPr>
      <w:r>
        <w:rPr>
          <w:rFonts w:ascii="Arial" w:cs="Arial" w:eastAsia="Arial" w:hAnsi="Arial"/>
          <w:sz w:val="17"/>
          <w:szCs w:val="17"/>
          <w:color w:val="auto"/>
        </w:rPr>
        <w:t>In accordance with the VIE arrangements, the Group has the power to direct activities of the OptAim VIE, and can have assets transferred out of the OptAim VIE. Therefore, the Group considers that there is no assets of the OptAim VIE can be used only to settle their obligations.</w:t>
      </w:r>
    </w:p>
    <w:p>
      <w:pPr>
        <w:spacing w:after="0" w:line="291" w:lineRule="exact"/>
        <w:rPr>
          <w:sz w:val="20"/>
          <w:szCs w:val="20"/>
          <w:color w:val="auto"/>
        </w:rPr>
      </w:pPr>
    </w:p>
    <w:p>
      <w:pPr>
        <w:ind w:left="580" w:hanging="572"/>
        <w:spacing w:after="0"/>
        <w:tabs>
          <w:tab w:leader="none" w:pos="5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121" w:lineRule="exact"/>
        <w:rPr>
          <w:rFonts w:ascii="Arial" w:cs="Arial" w:eastAsia="Arial" w:hAnsi="Arial"/>
          <w:sz w:val="18"/>
          <w:szCs w:val="18"/>
          <w:b w:val="1"/>
          <w:bCs w:val="1"/>
          <w:color w:val="auto"/>
        </w:rPr>
      </w:pPr>
    </w:p>
    <w:p>
      <w:pPr>
        <w:ind w:left="58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w:t>
      </w:r>
    </w:p>
    <w:p>
      <w:pPr>
        <w:spacing w:after="0" w:line="78" w:lineRule="exact"/>
        <w:rPr>
          <w:rFonts w:ascii="Arial" w:cs="Arial" w:eastAsia="Arial" w:hAnsi="Arial"/>
          <w:sz w:val="18"/>
          <w:szCs w:val="18"/>
          <w:b w:val="1"/>
          <w:bCs w:val="1"/>
          <w:color w:val="auto"/>
        </w:rPr>
      </w:pPr>
    </w:p>
    <w:p>
      <w:pPr>
        <w:ind w:left="580" w:right="2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73" w:lineRule="exact"/>
        <w:rPr>
          <w:rFonts w:ascii="Arial" w:cs="Arial" w:eastAsia="Arial" w:hAnsi="Arial"/>
          <w:sz w:val="18"/>
          <w:szCs w:val="18"/>
          <w:b w:val="1"/>
          <w:bCs w:val="1"/>
          <w:color w:val="auto"/>
        </w:rPr>
      </w:pPr>
    </w:p>
    <w:p>
      <w:pPr>
        <w:ind w:left="5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revenues and expenses of the Group’s subsidiaries and the VIE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69" w:lineRule="exact"/>
        <w:rPr>
          <w:rFonts w:ascii="Arial" w:cs="Arial" w:eastAsia="Arial" w:hAnsi="Arial"/>
          <w:sz w:val="18"/>
          <w:szCs w:val="18"/>
          <w:b w:val="1"/>
          <w:bCs w:val="1"/>
          <w:color w:val="auto"/>
        </w:rPr>
      </w:pPr>
    </w:p>
    <w:p>
      <w:pPr>
        <w:ind w:left="58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325" w:lineRule="exact"/>
        <w:rPr>
          <w:rFonts w:ascii="Arial" w:cs="Arial" w:eastAsia="Arial" w:hAnsi="Arial"/>
          <w:sz w:val="18"/>
          <w:szCs w:val="18"/>
          <w:b w:val="1"/>
          <w:bCs w:val="1"/>
          <w:color w:val="auto"/>
        </w:rPr>
      </w:pPr>
    </w:p>
    <w:p>
      <w:pPr>
        <w:ind w:left="580" w:hanging="572"/>
        <w:spacing w:after="0"/>
        <w:tabs>
          <w:tab w:leader="none" w:pos="5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58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considers assumptions that market participants would use when pricing the asset or liability.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58" w:lineRule="exact"/>
        <w:rPr>
          <w:sz w:val="20"/>
          <w:szCs w:val="20"/>
          <w:color w:val="auto"/>
        </w:rPr>
      </w:pPr>
    </w:p>
    <w:p>
      <w:pPr>
        <w:ind w:left="580" w:hanging="572"/>
        <w:spacing w:after="0"/>
        <w:tabs>
          <w:tab w:leader="none" w:pos="5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(Continued)</w:t>
      </w:r>
    </w:p>
    <w:p>
      <w:pPr>
        <w:spacing w:after="0" w:line="161" w:lineRule="exact"/>
        <w:rPr>
          <w:rFonts w:ascii="Arial" w:cs="Arial" w:eastAsia="Arial" w:hAnsi="Arial"/>
          <w:sz w:val="18"/>
          <w:szCs w:val="18"/>
          <w:b w:val="1"/>
          <w:bCs w:val="1"/>
          <w:color w:val="auto"/>
        </w:rPr>
      </w:pPr>
    </w:p>
    <w:p>
      <w:pPr>
        <w:ind w:left="5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There are three levels of inputs that may be used to measure fair value:</w:t>
      </w:r>
    </w:p>
    <w:p>
      <w:pPr>
        <w:spacing w:after="0" w:line="5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Level 1 applies to assets or liabilities for which there are quoted prices in active markets for identical assets or liabilities.</w:t>
      </w:r>
    </w:p>
    <w:p>
      <w:pPr>
        <w:spacing w:after="0" w:line="117" w:lineRule="exact"/>
        <w:rPr>
          <w:rFonts w:ascii="Arial" w:cs="Arial" w:eastAsia="Arial" w:hAnsi="Arial"/>
          <w:sz w:val="18"/>
          <w:szCs w:val="18"/>
          <w:b w:val="1"/>
          <w:bCs w:val="1"/>
          <w:color w:val="auto"/>
        </w:rPr>
      </w:pPr>
    </w:p>
    <w:p>
      <w:pPr>
        <w:ind w:left="58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78" w:lineRule="exact"/>
        <w:rPr>
          <w:rFonts w:ascii="Arial" w:cs="Arial" w:eastAsia="Arial" w:hAnsi="Arial"/>
          <w:sz w:val="18"/>
          <w:szCs w:val="18"/>
          <w:b w:val="1"/>
          <w:bCs w:val="1"/>
          <w:color w:val="auto"/>
        </w:rPr>
      </w:pPr>
    </w:p>
    <w:p>
      <w:pPr>
        <w:ind w:left="58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applies to assets or liabilities for which there are unobservable inputs to the valuation methodology that are significant to the measurement of the fair value of the assets or liabilities.</w:t>
      </w:r>
    </w:p>
    <w:p>
      <w:pPr>
        <w:spacing w:after="0" w:line="62" w:lineRule="exact"/>
        <w:rPr>
          <w:rFonts w:ascii="Arial" w:cs="Arial" w:eastAsia="Arial" w:hAnsi="Arial"/>
          <w:sz w:val="18"/>
          <w:szCs w:val="18"/>
          <w:b w:val="1"/>
          <w:bCs w:val="1"/>
          <w:color w:val="auto"/>
        </w:rPr>
      </w:pPr>
    </w:p>
    <w:p>
      <w:pPr>
        <w:ind w:left="58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estimated fair values of the Company’s financial assets and liabilities classified under the appropriate level of the fair value hierarchy as described above was as follows: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260" w:type="dxa"/>
            <w:vAlign w:val="bottom"/>
            <w:gridSpan w:val="2"/>
          </w:tcPr>
          <w:p>
            <w:pPr>
              <w:ind w:left="240"/>
              <w:spacing w:after="0"/>
              <w:rPr>
                <w:sz w:val="20"/>
                <w:szCs w:val="20"/>
                <w:color w:val="auto"/>
              </w:rPr>
            </w:pPr>
            <w:r>
              <w:rPr>
                <w:rFonts w:ascii="Arial" w:cs="Arial" w:eastAsia="Arial" w:hAnsi="Arial"/>
                <w:sz w:val="14"/>
                <w:szCs w:val="14"/>
                <w:b w:val="1"/>
                <w:bCs w:val="1"/>
                <w:color w:val="auto"/>
                <w:w w:val="95"/>
              </w:rPr>
              <w:t>Fair value measurements using</w:t>
            </w:r>
          </w:p>
        </w:tc>
        <w:tc>
          <w:tcPr>
            <w:tcW w:w="960" w:type="dxa"/>
            <w:vAlign w:val="bottom"/>
          </w:tcPr>
          <w:p>
            <w:pPr>
              <w:spacing w:after="0"/>
              <w:rPr>
                <w:sz w:val="14"/>
                <w:szCs w:val="14"/>
                <w:color w:val="auto"/>
              </w:rPr>
            </w:pPr>
          </w:p>
        </w:tc>
      </w:tr>
      <w:tr>
        <w:trPr>
          <w:trHeight w:val="149"/>
        </w:trPr>
        <w:tc>
          <w:tcPr>
            <w:tcW w:w="3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1"/>
              </w:rPr>
              <w:t>Quoted</w:t>
            </w: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0"/>
              </w:rPr>
              <w:t>prices</w:t>
            </w:r>
          </w:p>
        </w:tc>
        <w:tc>
          <w:tcPr>
            <w:tcW w:w="12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7"/>
              </w:rPr>
              <w:t>in active</w:t>
            </w: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5"/>
              </w:rPr>
              <w:t>Significant</w:t>
            </w:r>
          </w:p>
        </w:tc>
        <w:tc>
          <w:tcPr>
            <w:tcW w:w="960" w:type="dxa"/>
            <w:vAlign w:val="bottom"/>
          </w:tcPr>
          <w:p>
            <w:pPr>
              <w:spacing w:after="0"/>
              <w:rPr>
                <w:sz w:val="12"/>
                <w:szCs w:val="12"/>
                <w:color w:val="auto"/>
              </w:rPr>
            </w:pPr>
          </w:p>
        </w:tc>
      </w:tr>
      <w:tr>
        <w:trPr>
          <w:trHeight w:val="149"/>
        </w:trPr>
        <w:tc>
          <w:tcPr>
            <w:tcW w:w="3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5"/>
              </w:rPr>
              <w:t>market for</w:t>
            </w: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3"/>
              </w:rPr>
              <w:t>other</w:t>
            </w:r>
          </w:p>
        </w:tc>
        <w:tc>
          <w:tcPr>
            <w:tcW w:w="960" w:type="dxa"/>
            <w:vAlign w:val="bottom"/>
          </w:tcPr>
          <w:p>
            <w:pPr>
              <w:jc w:val="right"/>
              <w:ind w:right="57"/>
              <w:spacing w:after="0" w:line="149" w:lineRule="exact"/>
              <w:rPr>
                <w:sz w:val="20"/>
                <w:szCs w:val="20"/>
                <w:color w:val="auto"/>
              </w:rPr>
            </w:pPr>
            <w:r>
              <w:rPr>
                <w:rFonts w:ascii="Arial" w:cs="Arial" w:eastAsia="Arial" w:hAnsi="Arial"/>
                <w:sz w:val="14"/>
                <w:szCs w:val="14"/>
                <w:color w:val="auto"/>
              </w:rPr>
              <w:t>Significant</w:t>
            </w:r>
          </w:p>
        </w:tc>
      </w:tr>
      <w:tr>
        <w:trPr>
          <w:trHeight w:val="149"/>
        </w:trPr>
        <w:tc>
          <w:tcPr>
            <w:tcW w:w="350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7"/>
              </w:rPr>
              <w:t>identical</w:t>
            </w: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0"/>
              </w:rPr>
              <w:t>observable</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2"/>
              </w:rPr>
              <w:t>Unobservable</w:t>
            </w:r>
          </w:p>
        </w:tc>
      </w:tr>
      <w:tr>
        <w:trPr>
          <w:trHeight w:val="149"/>
        </w:trPr>
        <w:tc>
          <w:tcPr>
            <w:tcW w:w="3500" w:type="dxa"/>
            <w:vAlign w:val="bottom"/>
          </w:tcPr>
          <w:p>
            <w:pPr>
              <w:spacing w:after="0"/>
              <w:rPr>
                <w:sz w:val="12"/>
                <w:szCs w:val="12"/>
                <w:color w:val="auto"/>
              </w:rPr>
            </w:pPr>
          </w:p>
        </w:tc>
        <w:tc>
          <w:tcPr>
            <w:tcW w:w="378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Total fair</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3"/>
              </w:rPr>
              <w:t>assets</w:t>
            </w:r>
          </w:p>
        </w:tc>
        <w:tc>
          <w:tcPr>
            <w:tcW w:w="120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0"/>
              </w:rPr>
              <w:t>inputs</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6"/>
              </w:rPr>
              <w:t>inputs</w:t>
            </w:r>
          </w:p>
        </w:tc>
      </w:tr>
      <w:tr>
        <w:trPr>
          <w:trHeight w:val="181"/>
        </w:trPr>
        <w:tc>
          <w:tcPr>
            <w:tcW w:w="3500" w:type="dxa"/>
            <w:vAlign w:val="bottom"/>
          </w:tcPr>
          <w:p>
            <w:pPr>
              <w:spacing w:after="0"/>
              <w:rPr>
                <w:sz w:val="15"/>
                <w:szCs w:val="15"/>
                <w:color w:val="auto"/>
              </w:rPr>
            </w:pPr>
          </w:p>
        </w:tc>
        <w:tc>
          <w:tcPr>
            <w:tcW w:w="3780" w:type="dxa"/>
            <w:vAlign w:val="bottom"/>
          </w:tcPr>
          <w:p>
            <w:pPr>
              <w:jc w:val="right"/>
              <w:ind w:right="254"/>
              <w:spacing w:after="0"/>
              <w:rPr>
                <w:sz w:val="20"/>
                <w:szCs w:val="20"/>
                <w:color w:val="auto"/>
              </w:rPr>
            </w:pPr>
            <w:r>
              <w:rPr>
                <w:rFonts w:ascii="Arial" w:cs="Arial" w:eastAsia="Arial" w:hAnsi="Arial"/>
                <w:sz w:val="14"/>
                <w:szCs w:val="14"/>
                <w:color w:val="auto"/>
              </w:rPr>
              <w:t>value</w:t>
            </w:r>
          </w:p>
        </w:tc>
        <w:tc>
          <w:tcPr>
            <w:tcW w:w="1060" w:type="dxa"/>
            <w:vAlign w:val="bottom"/>
          </w:tcPr>
          <w:p>
            <w:pPr>
              <w:jc w:val="center"/>
              <w:spacing w:after="0"/>
              <w:rPr>
                <w:sz w:val="20"/>
                <w:szCs w:val="20"/>
                <w:color w:val="auto"/>
              </w:rPr>
            </w:pPr>
            <w:r>
              <w:rPr>
                <w:rFonts w:ascii="Arial" w:cs="Arial" w:eastAsia="Arial" w:hAnsi="Arial"/>
                <w:sz w:val="14"/>
                <w:szCs w:val="14"/>
                <w:color w:val="auto"/>
                <w:w w:val="99"/>
              </w:rPr>
              <w:t>(Level 1)</w:t>
            </w:r>
          </w:p>
        </w:tc>
        <w:tc>
          <w:tcPr>
            <w:tcW w:w="1200" w:type="dxa"/>
            <w:vAlign w:val="bottom"/>
          </w:tcPr>
          <w:p>
            <w:pPr>
              <w:jc w:val="center"/>
              <w:ind w:right="57"/>
              <w:spacing w:after="0"/>
              <w:rPr>
                <w:sz w:val="20"/>
                <w:szCs w:val="20"/>
                <w:color w:val="auto"/>
              </w:rPr>
            </w:pPr>
            <w:r>
              <w:rPr>
                <w:rFonts w:ascii="Arial" w:cs="Arial" w:eastAsia="Arial" w:hAnsi="Arial"/>
                <w:sz w:val="14"/>
                <w:szCs w:val="14"/>
                <w:color w:val="auto"/>
                <w:w w:val="99"/>
              </w:rPr>
              <w:t>(Level 2)</w:t>
            </w:r>
          </w:p>
        </w:tc>
        <w:tc>
          <w:tcPr>
            <w:tcW w:w="960" w:type="dxa"/>
            <w:vAlign w:val="bottom"/>
          </w:tcPr>
          <w:p>
            <w:pPr>
              <w:jc w:val="center"/>
              <w:spacing w:after="0"/>
              <w:rPr>
                <w:sz w:val="20"/>
                <w:szCs w:val="20"/>
                <w:color w:val="auto"/>
              </w:rPr>
            </w:pPr>
            <w:r>
              <w:rPr>
                <w:rFonts w:ascii="Arial" w:cs="Arial" w:eastAsia="Arial" w:hAnsi="Arial"/>
                <w:sz w:val="14"/>
                <w:szCs w:val="14"/>
                <w:color w:val="auto"/>
                <w:w w:val="95"/>
              </w:rPr>
              <w:t>(Level 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2016</w:t>
            </w:r>
          </w:p>
        </w:tc>
        <w:tc>
          <w:tcPr>
            <w:tcW w:w="3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780" w:type="dxa"/>
            <w:vAlign w:val="bottom"/>
          </w:tcPr>
          <w:p>
            <w:pPr>
              <w:jc w:val="right"/>
              <w:ind w:right="134"/>
              <w:spacing w:after="0"/>
              <w:rPr>
                <w:sz w:val="20"/>
                <w:szCs w:val="20"/>
                <w:color w:val="auto"/>
              </w:rPr>
            </w:pPr>
            <w:r>
              <w:rPr>
                <w:rFonts w:ascii="Arial" w:cs="Arial" w:eastAsia="Arial" w:hAnsi="Arial"/>
                <w:sz w:val="18"/>
                <w:szCs w:val="18"/>
                <w:color w:val="auto"/>
              </w:rPr>
              <w:t>27,280</w:t>
            </w:r>
          </w:p>
        </w:tc>
        <w:tc>
          <w:tcPr>
            <w:tcW w:w="1060" w:type="dxa"/>
            <w:vAlign w:val="bottom"/>
          </w:tcPr>
          <w:p>
            <w:pPr>
              <w:jc w:val="right"/>
              <w:ind w:right="140"/>
              <w:spacing w:after="0"/>
              <w:rPr>
                <w:sz w:val="20"/>
                <w:szCs w:val="20"/>
                <w:color w:val="auto"/>
              </w:rPr>
            </w:pPr>
            <w:r>
              <w:rPr>
                <w:rFonts w:ascii="Arial" w:cs="Arial" w:eastAsia="Arial" w:hAnsi="Arial"/>
                <w:sz w:val="18"/>
                <w:szCs w:val="18"/>
                <w:color w:val="auto"/>
              </w:rPr>
              <w:t>27,280</w:t>
            </w:r>
          </w:p>
        </w:tc>
        <w:tc>
          <w:tcPr>
            <w:tcW w:w="1200" w:type="dxa"/>
            <w:vAlign w:val="bottom"/>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5,234</w:t>
            </w: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5,234</w:t>
            </w:r>
          </w:p>
        </w:tc>
        <w:tc>
          <w:tcPr>
            <w:tcW w:w="1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Bank borrowings</w:t>
            </w:r>
          </w:p>
        </w:tc>
        <w:tc>
          <w:tcPr>
            <w:tcW w:w="3780" w:type="dxa"/>
            <w:vAlign w:val="bottom"/>
          </w:tcPr>
          <w:p>
            <w:pPr>
              <w:jc w:val="right"/>
              <w:ind w:right="134"/>
              <w:spacing w:after="0"/>
              <w:rPr>
                <w:sz w:val="20"/>
                <w:szCs w:val="20"/>
                <w:color w:val="auto"/>
              </w:rPr>
            </w:pPr>
            <w:r>
              <w:rPr>
                <w:rFonts w:ascii="Arial" w:cs="Arial" w:eastAsia="Arial" w:hAnsi="Arial"/>
                <w:sz w:val="18"/>
                <w:szCs w:val="18"/>
                <w:color w:val="auto"/>
              </w:rPr>
              <w:t>12,982</w:t>
            </w:r>
          </w:p>
        </w:tc>
        <w:tc>
          <w:tcPr>
            <w:tcW w:w="1060" w:type="dxa"/>
            <w:vAlign w:val="bottom"/>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tcPr>
          <w:p>
            <w:pPr>
              <w:ind w:left="360"/>
              <w:spacing w:after="0"/>
              <w:rPr>
                <w:sz w:val="20"/>
                <w:szCs w:val="20"/>
                <w:color w:val="auto"/>
              </w:rPr>
            </w:pPr>
            <w:r>
              <w:rPr>
                <w:rFonts w:ascii="Arial" w:cs="Arial" w:eastAsia="Arial" w:hAnsi="Arial"/>
                <w:sz w:val="18"/>
                <w:szCs w:val="18"/>
                <w:color w:val="auto"/>
              </w:rPr>
              <w:t>12,982</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3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60,525</w:t>
            </w: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60,525</w:t>
            </w:r>
          </w:p>
        </w:tc>
      </w:tr>
      <w:tr>
        <w:trPr>
          <w:trHeight w:val="324"/>
        </w:trPr>
        <w:tc>
          <w:tcPr>
            <w:tcW w:w="3500" w:type="dxa"/>
            <w:vAlign w:val="bottom"/>
          </w:tcPr>
          <w:p>
            <w:pPr>
              <w:spacing w:after="0"/>
              <w:rPr>
                <w:sz w:val="20"/>
                <w:szCs w:val="20"/>
                <w:color w:val="auto"/>
              </w:rPr>
            </w:pPr>
            <w:r>
              <w:rPr>
                <w:rFonts w:ascii="Arial" w:cs="Arial" w:eastAsia="Arial" w:hAnsi="Arial"/>
                <w:sz w:val="18"/>
                <w:szCs w:val="18"/>
                <w:b w:val="1"/>
                <w:bCs w:val="1"/>
                <w:color w:val="auto"/>
              </w:rPr>
              <w:t>As of December 31, 2017</w:t>
            </w:r>
          </w:p>
        </w:tc>
        <w:tc>
          <w:tcPr>
            <w:tcW w:w="3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19,401</w:t>
            </w:r>
          </w:p>
        </w:tc>
        <w:tc>
          <w:tcPr>
            <w:tcW w:w="106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19,401</w:t>
            </w:r>
          </w:p>
        </w:tc>
        <w:tc>
          <w:tcPr>
            <w:tcW w:w="1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Time deposit</w:t>
            </w:r>
          </w:p>
        </w:tc>
        <w:tc>
          <w:tcPr>
            <w:tcW w:w="3780" w:type="dxa"/>
            <w:vAlign w:val="bottom"/>
          </w:tcPr>
          <w:p>
            <w:pPr>
              <w:jc w:val="right"/>
              <w:ind w:right="134"/>
              <w:spacing w:after="0"/>
              <w:rPr>
                <w:sz w:val="20"/>
                <w:szCs w:val="20"/>
                <w:color w:val="auto"/>
              </w:rPr>
            </w:pPr>
            <w:r>
              <w:rPr>
                <w:rFonts w:ascii="Arial" w:cs="Arial" w:eastAsia="Arial" w:hAnsi="Arial"/>
                <w:sz w:val="18"/>
                <w:szCs w:val="18"/>
                <w:color w:val="auto"/>
              </w:rPr>
              <w:t>25,000</w:t>
            </w:r>
          </w:p>
        </w:tc>
        <w:tc>
          <w:tcPr>
            <w:tcW w:w="1060" w:type="dxa"/>
            <w:vAlign w:val="bottom"/>
          </w:tcPr>
          <w:p>
            <w:pPr>
              <w:jc w:val="right"/>
              <w:ind w:right="140"/>
              <w:spacing w:after="0"/>
              <w:rPr>
                <w:sz w:val="20"/>
                <w:szCs w:val="20"/>
                <w:color w:val="auto"/>
              </w:rPr>
            </w:pPr>
            <w:r>
              <w:rPr>
                <w:rFonts w:ascii="Arial" w:cs="Arial" w:eastAsia="Arial" w:hAnsi="Arial"/>
                <w:sz w:val="18"/>
                <w:szCs w:val="18"/>
                <w:color w:val="auto"/>
              </w:rPr>
              <w:t>25,000</w:t>
            </w:r>
          </w:p>
        </w:tc>
        <w:tc>
          <w:tcPr>
            <w:tcW w:w="1200" w:type="dxa"/>
            <w:vAlign w:val="bottom"/>
          </w:tcPr>
          <w:p>
            <w:pPr>
              <w:ind w:left="5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7"/>
              <w:spacing w:after="0"/>
              <w:rPr>
                <w:sz w:val="20"/>
                <w:szCs w:val="20"/>
                <w:color w:val="auto"/>
              </w:rPr>
            </w:pPr>
            <w:r>
              <w:rPr>
                <w:rFonts w:ascii="Arial" w:cs="Arial" w:eastAsia="Arial" w:hAnsi="Arial"/>
                <w:sz w:val="18"/>
                <w:szCs w:val="18"/>
                <w:color w:val="auto"/>
              </w:rPr>
              <w:t>—</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3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10,486</w:t>
            </w:r>
          </w:p>
        </w:tc>
        <w:tc>
          <w:tcPr>
            <w:tcW w:w="106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10,486</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w:t>
            </w:r>
          </w:p>
        </w:tc>
      </w:tr>
      <w:tr>
        <w:trPr>
          <w:trHeight w:val="365"/>
        </w:trPr>
        <w:tc>
          <w:tcPr>
            <w:tcW w:w="3500" w:type="dxa"/>
            <w:vAlign w:val="bottom"/>
          </w:tcPr>
          <w:p>
            <w:pPr>
              <w:spacing w:after="0"/>
              <w:rPr>
                <w:sz w:val="24"/>
                <w:szCs w:val="24"/>
                <w:color w:val="auto"/>
              </w:rPr>
            </w:pPr>
          </w:p>
        </w:tc>
        <w:tc>
          <w:tcPr>
            <w:tcW w:w="3780" w:type="dxa"/>
            <w:vAlign w:val="bottom"/>
          </w:tcPr>
          <w:p>
            <w:pPr>
              <w:jc w:val="right"/>
              <w:ind w:right="1774"/>
              <w:spacing w:after="0"/>
              <w:rPr>
                <w:sz w:val="20"/>
                <w:szCs w:val="20"/>
                <w:color w:val="auto"/>
              </w:rPr>
            </w:pPr>
            <w:r>
              <w:rPr>
                <w:rFonts w:ascii="Arial" w:cs="Arial" w:eastAsia="Arial" w:hAnsi="Arial"/>
                <w:sz w:val="18"/>
                <w:szCs w:val="18"/>
                <w:color w:val="auto"/>
              </w:rPr>
              <w:t>F-35</w:t>
            </w: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80"/>
          </w:cols>
          <w:pgMar w:left="240" w:top="460" w:right="2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158" w:lineRule="exact"/>
        <w:rPr>
          <w:sz w:val="20"/>
          <w:szCs w:val="20"/>
          <w:color w:val="auto"/>
        </w:rPr>
      </w:pPr>
    </w:p>
    <w:p>
      <w:pPr>
        <w:ind w:left="580" w:hanging="572"/>
        <w:spacing w:after="0"/>
        <w:tabs>
          <w:tab w:leader="none" w:pos="58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130"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121" w:lineRule="exact"/>
        <w:rPr>
          <w:rFonts w:ascii="Arial" w:cs="Arial" w:eastAsia="Arial" w:hAnsi="Arial"/>
          <w:sz w:val="18"/>
          <w:szCs w:val="18"/>
          <w:b w:val="1"/>
          <w:bCs w:val="1"/>
          <w:color w:val="auto"/>
        </w:rPr>
      </w:pPr>
    </w:p>
    <w:p>
      <w:pPr>
        <w:ind w:left="11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year ended December 31, 2017, no individual customer accounted for more than 10% of the net revenues. For the year ended December 31, 2016, two customers accounted for 18% and 11% of the net revenues, respectively. No individual customer accounted for more than 10% of the net revenues for the year ended December 31, 2015.</w:t>
      </w:r>
    </w:p>
    <w:p>
      <w:pPr>
        <w:spacing w:after="0" w:line="325"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121" w:lineRule="exact"/>
        <w:rPr>
          <w:rFonts w:ascii="Arial" w:cs="Arial" w:eastAsia="Arial" w:hAnsi="Arial"/>
          <w:sz w:val="18"/>
          <w:szCs w:val="18"/>
          <w:b w:val="1"/>
          <w:bCs w:val="1"/>
          <w:color w:val="auto"/>
        </w:rPr>
      </w:pPr>
    </w:p>
    <w:p>
      <w:pPr>
        <w:ind w:left="1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has not experienced any significant recoverability issue with respect to its accounts receivable. The Group conducts credit evaluations on its customers and generally does not require collateral or other security from such customers. The Group periodically evaluates the creditworthiness of the existing customers in determining an allowance for doubtful accounts primarily based upon the age of the receivables and factors surrounding the credit risk of specific customers.</w:t>
      </w:r>
    </w:p>
    <w:p>
      <w:pPr>
        <w:spacing w:after="0" w:line="78" w:lineRule="exact"/>
        <w:rPr>
          <w:rFonts w:ascii="Arial" w:cs="Arial" w:eastAsia="Arial" w:hAnsi="Arial"/>
          <w:sz w:val="18"/>
          <w:szCs w:val="18"/>
          <w:b w:val="1"/>
          <w:bCs w:val="1"/>
          <w:color w:val="auto"/>
        </w:rPr>
      </w:pPr>
    </w:p>
    <w:p>
      <w:pPr>
        <w:ind w:left="1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of December 31, 2016 and 2017, no individual customer accounted for more than 10% of the consolidated accounts receivable. The top 10 accounts receivable accounted for 39% and 42% of the consolidated accounts receivable as of December 31, 2016 and 2017, respectively.</w:t>
      </w:r>
    </w:p>
    <w:p>
      <w:pPr>
        <w:spacing w:after="0" w:line="268" w:lineRule="exact"/>
        <w:rPr>
          <w:rFonts w:ascii="Arial" w:cs="Arial" w:eastAsia="Arial" w:hAnsi="Arial"/>
          <w:sz w:val="18"/>
          <w:szCs w:val="18"/>
          <w:b w:val="1"/>
          <w:bCs w:val="1"/>
          <w:color w:val="auto"/>
        </w:rPr>
      </w:pPr>
    </w:p>
    <w:p>
      <w:pPr>
        <w:ind w:left="1140" w:hanging="565"/>
        <w:spacing w:after="0"/>
        <w:tabs>
          <w:tab w:leader="none" w:pos="1140"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140"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As of December 31, 2016 and 2017,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2015, 2016 and 2017 and believes that its credit risk to be minimal.</w:t>
      </w:r>
    </w:p>
    <w:p>
      <w:pPr>
        <w:spacing w:after="0" w:line="328"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121" w:lineRule="exact"/>
        <w:rPr>
          <w:rFonts w:ascii="Arial" w:cs="Arial" w:eastAsia="Arial" w:hAnsi="Arial"/>
          <w:sz w:val="18"/>
          <w:szCs w:val="18"/>
          <w:b w:val="1"/>
          <w:bCs w:val="1"/>
          <w:color w:val="auto"/>
        </w:rPr>
      </w:pPr>
    </w:p>
    <w:p>
      <w:pPr>
        <w:ind w:left="58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accounted for its acquisitions in accordance with ASC 805, “Business Combination” (“ASC 805”). The results of the acquirees’ operations have been included in the consolidated financial statements since the acquisition date. The excess of the fair value of the acquired entities over the fair value of net tangible and intangible assets acquired was recorded as goodwill, which is not deductible for corporate income taxation purposes.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80"/>
          </w:cols>
          <w:pgMar w:left="240" w:top="459" w:right="2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58" w:lineRule="exact"/>
        <w:rPr>
          <w:sz w:val="20"/>
          <w:szCs w:val="20"/>
          <w:color w:val="auto"/>
        </w:rPr>
      </w:pPr>
    </w:p>
    <w:p>
      <w:pPr>
        <w:ind w:left="580" w:hanging="572"/>
        <w:spacing w:after="0"/>
        <w:tabs>
          <w:tab w:leader="none" w:pos="5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w:t>
      </w:r>
    </w:p>
    <w:p>
      <w:pPr>
        <w:spacing w:after="0" w:line="121" w:lineRule="exact"/>
        <w:rPr>
          <w:rFonts w:ascii="Arial" w:cs="Arial" w:eastAsia="Arial" w:hAnsi="Arial"/>
          <w:sz w:val="18"/>
          <w:szCs w:val="18"/>
          <w:b w:val="1"/>
          <w:bCs w:val="1"/>
          <w:color w:val="auto"/>
        </w:rPr>
      </w:pPr>
    </w:p>
    <w:p>
      <w:pPr>
        <w:ind w:left="58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November 2014, the Company entered into a SPA with Buzzinate and its shareholders and acquired 33.3% equity interest in Buzzinate as the first tranche, at a cash consideration of US$750. In the SPA, the Company has also agreed to purchase up to 57.1% equity interests in Buzzinate in stages from April 2015 to April 2016, and there was an agreement to purchase the remaining 42.9% equity interests in Buzzinate when the purchase of equity interests up to 57.1% was completed.</w:t>
      </w:r>
    </w:p>
    <w:p>
      <w:pPr>
        <w:spacing w:after="0" w:line="78" w:lineRule="exact"/>
        <w:rPr>
          <w:rFonts w:ascii="Arial" w:cs="Arial" w:eastAsia="Arial" w:hAnsi="Arial"/>
          <w:sz w:val="18"/>
          <w:szCs w:val="18"/>
          <w:b w:val="1"/>
          <w:bCs w:val="1"/>
          <w:color w:val="auto"/>
        </w:rPr>
      </w:pPr>
    </w:p>
    <w:p>
      <w:pPr>
        <w:ind w:left="5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Pursuant to the SPA, the Company had an option to accelerate the completion dates of the remaining tranches by paying the cash consideration upon exercising the option. On February 13, 2015, the Company acquired in one go the equity interests in Buzzinate of the remaining five tranches at cash considerations of US$250 for each tranche purchased, and exercised the option to acquire the remaining equity interests in Buzzinate by issuing 142,151 shares of the Company which amounted to US$2,027. Buzzinate then became a wholly owned subsidiary of the Company.</w:t>
      </w:r>
    </w:p>
    <w:p>
      <w:pPr>
        <w:spacing w:after="0" w:line="46" w:lineRule="exact"/>
        <w:rPr>
          <w:rFonts w:ascii="Arial" w:cs="Arial" w:eastAsia="Arial" w:hAnsi="Arial"/>
          <w:sz w:val="18"/>
          <w:szCs w:val="18"/>
          <w:b w:val="1"/>
          <w:bCs w:val="1"/>
          <w:color w:val="auto"/>
        </w:rPr>
      </w:pPr>
    </w:p>
    <w:p>
      <w:pPr>
        <w:ind w:left="58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movement of carrying value of the equity method investment in Buzzinate from January 1, 2015 to February 13, 2015 (the “period”) is as follows:</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Share of loss of equity investee for the period</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February 13, 2015</w:t>
            </w:r>
          </w:p>
        </w:tc>
        <w:tc>
          <w:tcPr>
            <w:tcW w:w="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Fair value gain on re-measurement of equity investee</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1,656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Fair value of consideration transferred:</w:t>
            </w: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6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ind w:left="1260"/>
              <w:spacing w:after="0"/>
              <w:rPr>
                <w:sz w:val="20"/>
                <w:szCs w:val="20"/>
                <w:color w:val="auto"/>
              </w:rPr>
            </w:pPr>
            <w:r>
              <w:rPr>
                <w:rFonts w:ascii="Arial" w:cs="Arial" w:eastAsia="Arial" w:hAnsi="Arial"/>
                <w:sz w:val="18"/>
                <w:szCs w:val="18"/>
                <w:color w:val="auto"/>
              </w:rPr>
              <w:t>Fair value of previously held interest in Buzzinate</w:t>
            </w: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1,656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8440" w:type="dxa"/>
            <w:vAlign w:val="bottom"/>
            <w:gridSpan w:val="2"/>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6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46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1,439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current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Intangible asset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644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 acquired</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1,975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gridSpan w:val="2"/>
          </w:tcPr>
          <w:p>
            <w:pPr>
              <w:ind w:left="1260"/>
              <w:spacing w:after="0"/>
              <w:rPr>
                <w:sz w:val="20"/>
                <w:szCs w:val="20"/>
                <w:color w:val="auto"/>
              </w:rPr>
            </w:pPr>
            <w:r>
              <w:rPr>
                <w:rFonts w:ascii="Arial" w:cs="Arial" w:eastAsia="Arial" w:hAnsi="Arial"/>
                <w:sz w:val="18"/>
                <w:szCs w:val="18"/>
                <w:color w:val="auto"/>
              </w:rPr>
              <w:t>Goodwill (Note 11)</w:t>
            </w: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2,958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3,494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7180" w:type="dxa"/>
            <w:vAlign w:val="bottom"/>
            <w:vMerge w:val="restart"/>
          </w:tcPr>
          <w:p>
            <w:pPr>
              <w:ind w:left="3700"/>
              <w:spacing w:after="0"/>
              <w:rPr>
                <w:sz w:val="20"/>
                <w:szCs w:val="20"/>
                <w:color w:val="auto"/>
              </w:rPr>
            </w:pPr>
            <w:r>
              <w:rPr>
                <w:rFonts w:ascii="Arial" w:cs="Arial" w:eastAsia="Arial" w:hAnsi="Arial"/>
                <w:sz w:val="18"/>
                <w:szCs w:val="18"/>
                <w:color w:val="auto"/>
              </w:rPr>
              <w:t>F-37</w:t>
            </w: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60" w:type="dxa"/>
            <w:vAlign w:val="bottom"/>
          </w:tcPr>
          <w:p>
            <w:pPr>
              <w:spacing w:after="0"/>
              <w:rPr>
                <w:sz w:val="24"/>
                <w:szCs w:val="24"/>
                <w:color w:val="auto"/>
              </w:rPr>
            </w:pPr>
          </w:p>
        </w:tc>
        <w:tc>
          <w:tcPr>
            <w:tcW w:w="71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60" w:right="3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58" w:lineRule="exact"/>
        <w:rPr>
          <w:sz w:val="20"/>
          <w:szCs w:val="20"/>
          <w:color w:val="auto"/>
        </w:rPr>
      </w:pPr>
    </w:p>
    <w:p>
      <w:pPr>
        <w:ind w:left="580" w:hanging="572"/>
        <w:spacing w:after="0"/>
        <w:tabs>
          <w:tab w:leader="none" w:pos="5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Buzzinate (Continued)</w:t>
      </w:r>
    </w:p>
    <w:p>
      <w:pPr>
        <w:spacing w:after="0" w:line="161" w:lineRule="exact"/>
        <w:rPr>
          <w:rFonts w:ascii="Arial" w:cs="Arial" w:eastAsia="Arial" w:hAnsi="Arial"/>
          <w:sz w:val="18"/>
          <w:szCs w:val="18"/>
          <w:b w:val="1"/>
          <w:bCs w:val="1"/>
          <w:color w:val="auto"/>
        </w:rPr>
      </w:pPr>
    </w:p>
    <w:p>
      <w:pPr>
        <w:ind w:left="58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excess of purchase price over tangible assets and identifiable intangible assets acquired and liabilities assumed was recorded as goodwill. Goodwill associated with acquisition of Buzzinate was attributable to the expected synergy arising from the consolidated operations. The acquired goodwill is not deductible for tax purposes. Acquisition-related costs were insignificant and were included in general and administrative expenses for the year ended December 31, 2015.</w:t>
      </w:r>
    </w:p>
    <w:p>
      <w:pPr>
        <w:spacing w:after="0" w:line="78" w:lineRule="exact"/>
        <w:rPr>
          <w:rFonts w:ascii="Arial" w:cs="Arial" w:eastAsia="Arial" w:hAnsi="Arial"/>
          <w:sz w:val="18"/>
          <w:szCs w:val="18"/>
          <w:b w:val="1"/>
          <w:bCs w:val="1"/>
          <w:color w:val="auto"/>
        </w:rPr>
      </w:pPr>
    </w:p>
    <w:p>
      <w:pPr>
        <w:ind w:left="580" w:right="1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determining the fair value of previously held interest in Buzzinate, a business valuation of Buzzinate was undertaken by management with the assistance of an external valuer. Significant factor, assumptions and methodologies used in determining the business valuation include applying the discounted cash flow approach. Such approach involves certain significant estimates, which are terminal growth rate of 3.0%, weighted average cost of capital of 18.6%, and growth rate on average spending per customer ranges from 3.0% to 10.0%.</w:t>
      </w:r>
    </w:p>
    <w:p>
      <w:pPr>
        <w:spacing w:after="0" w:line="63" w:lineRule="exact"/>
        <w:rPr>
          <w:rFonts w:ascii="Arial" w:cs="Arial" w:eastAsia="Arial" w:hAnsi="Arial"/>
          <w:sz w:val="18"/>
          <w:szCs w:val="18"/>
          <w:b w:val="1"/>
          <w:bCs w:val="1"/>
          <w:color w:val="auto"/>
        </w:rPr>
      </w:pPr>
    </w:p>
    <w:p>
      <w:pPr>
        <w:ind w:left="58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19.6% and growth rate on average spending per customer ranges from 3.0% to 10.0%. The estimated amounts recognized on the acquired identifiable intangible asset and its estimated useful life are shown in the following table:</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4"/>
                <w:szCs w:val="14"/>
                <w:color w:val="auto"/>
              </w:rPr>
              <w:t>Gross carrying</w:t>
            </w:r>
          </w:p>
        </w:tc>
      </w:tr>
      <w:tr>
        <w:trPr>
          <w:trHeight w:val="181"/>
        </w:trPr>
        <w:tc>
          <w:tcPr>
            <w:tcW w:w="4620" w:type="dxa"/>
            <w:vAlign w:val="bottom"/>
          </w:tcPr>
          <w:p>
            <w:pPr>
              <w:spacing w:after="0"/>
              <w:rPr>
                <w:sz w:val="15"/>
                <w:szCs w:val="15"/>
                <w:color w:val="auto"/>
              </w:rPr>
            </w:pPr>
          </w:p>
        </w:tc>
        <w:tc>
          <w:tcPr>
            <w:tcW w:w="2700" w:type="dxa"/>
            <w:vAlign w:val="bottom"/>
          </w:tcPr>
          <w:p>
            <w:pPr>
              <w:jc w:val="center"/>
              <w:ind w:left="559"/>
              <w:spacing w:after="0"/>
              <w:rPr>
                <w:sz w:val="20"/>
                <w:szCs w:val="20"/>
                <w:color w:val="auto"/>
              </w:rPr>
            </w:pPr>
            <w:r>
              <w:rPr>
                <w:rFonts w:ascii="Arial" w:cs="Arial" w:eastAsia="Arial" w:hAnsi="Arial"/>
                <w:sz w:val="14"/>
                <w:szCs w:val="14"/>
                <w:color w:val="auto"/>
                <w:w w:val="94"/>
              </w:rPr>
              <w:t>Estimated useful life</w:t>
            </w:r>
          </w:p>
        </w:tc>
        <w:tc>
          <w:tcPr>
            <w:tcW w:w="440" w:type="dxa"/>
            <w:vAlign w:val="bottom"/>
          </w:tcPr>
          <w:p>
            <w:pPr>
              <w:spacing w:after="0"/>
              <w:rPr>
                <w:sz w:val="15"/>
                <w:szCs w:val="15"/>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amount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 self-developed computer software and systems</w:t>
            </w:r>
          </w:p>
        </w:tc>
        <w:tc>
          <w:tcPr>
            <w:tcW w:w="2700" w:type="dxa"/>
            <w:vAlign w:val="bottom"/>
            <w:shd w:val="clear" w:color="auto" w:fill="CCEEFF"/>
          </w:tcPr>
          <w:p>
            <w:pPr>
              <w:jc w:val="center"/>
              <w:ind w:left="539"/>
              <w:spacing w:after="0"/>
              <w:rPr>
                <w:sz w:val="20"/>
                <w:szCs w:val="20"/>
                <w:color w:val="auto"/>
              </w:rPr>
            </w:pPr>
            <w:r>
              <w:rPr>
                <w:rFonts w:ascii="Arial" w:cs="Arial" w:eastAsia="Arial" w:hAnsi="Arial"/>
                <w:sz w:val="18"/>
                <w:szCs w:val="18"/>
                <w:color w:val="auto"/>
                <w:w w:val="88"/>
              </w:rPr>
              <w:t>5 years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580" w:right="60"/>
        <w:spacing w:after="0" w:line="264" w:lineRule="auto"/>
        <w:rPr>
          <w:sz w:val="20"/>
          <w:szCs w:val="20"/>
          <w:color w:val="auto"/>
        </w:rPr>
      </w:pPr>
      <w:r>
        <w:rPr>
          <w:rFonts w:ascii="Arial" w:cs="Arial" w:eastAsia="Arial" w:hAnsi="Arial"/>
          <w:sz w:val="18"/>
          <w:szCs w:val="18"/>
          <w:color w:val="auto"/>
        </w:rPr>
        <w:t>Pro-forma results related to the acquisition in accordance with ASC 805 have not been presented because the acquisition of Buzzinate is not material, where net revenue and net loss of the acquired entities are less than 5% of the Company’s consolidated net revenue and net loss for the corresponding year.</w:t>
      </w:r>
    </w:p>
    <w:p>
      <w:pPr>
        <w:spacing w:after="0" w:line="326" w:lineRule="exact"/>
        <w:rPr>
          <w:sz w:val="20"/>
          <w:szCs w:val="20"/>
          <w:color w:val="auto"/>
        </w:rPr>
      </w:pPr>
    </w:p>
    <w:p>
      <w:pPr>
        <w:ind w:left="580" w:hanging="572"/>
        <w:spacing w:after="0"/>
        <w:tabs>
          <w:tab w:leader="none" w:pos="5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w:t>
      </w:r>
    </w:p>
    <w:p>
      <w:pPr>
        <w:spacing w:after="0" w:line="121" w:lineRule="exact"/>
        <w:rPr>
          <w:rFonts w:ascii="Arial" w:cs="Arial" w:eastAsia="Arial" w:hAnsi="Arial"/>
          <w:sz w:val="18"/>
          <w:szCs w:val="18"/>
          <w:b w:val="1"/>
          <w:bCs w:val="1"/>
          <w:color w:val="auto"/>
        </w:rPr>
      </w:pPr>
    </w:p>
    <w:p>
      <w:pPr>
        <w:ind w:left="58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July 2015, the Company acquired 100% equity interest of OptAim from several independent third parties. OptAim, through its VIE and its underlying subsidiary, is engaged in the provision of online and mobile marketing services in the PRC. The Company expects to increase its market shares in the PRC online marketing segment, particularly in relation to mobile platforms.</w:t>
      </w:r>
    </w:p>
    <w:p>
      <w:pPr>
        <w:spacing w:after="0" w:line="73" w:lineRule="exact"/>
        <w:rPr>
          <w:rFonts w:ascii="Arial" w:cs="Arial" w:eastAsia="Arial" w:hAnsi="Arial"/>
          <w:sz w:val="18"/>
          <w:szCs w:val="18"/>
          <w:b w:val="1"/>
          <w:bCs w:val="1"/>
          <w:color w:val="auto"/>
        </w:rPr>
      </w:pPr>
    </w:p>
    <w:p>
      <w:pPr>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all the equity interest of OptAim amounted to US$67,620. This is comprised of cash consideration of US$15,976, 2,535,091 shares of the Company amounted to US$50,843 and fair value of replacement awards attributable to pre-acquisition services amounted to US$801.</w:t>
      </w:r>
    </w:p>
    <w:p>
      <w:pPr>
        <w:spacing w:after="0" w:line="73" w:lineRule="exact"/>
        <w:rPr>
          <w:rFonts w:ascii="Arial" w:cs="Arial" w:eastAsia="Arial" w:hAnsi="Arial"/>
          <w:sz w:val="18"/>
          <w:szCs w:val="18"/>
          <w:b w:val="1"/>
          <w:bCs w:val="1"/>
          <w:color w:val="auto"/>
        </w:rPr>
      </w:pPr>
    </w:p>
    <w:p>
      <w:pPr>
        <w:ind w:left="580" w:right="7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6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Fair value of consideration transferred:</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Ordinary shares of the Company</w:t>
            </w:r>
          </w:p>
        </w:tc>
        <w:tc>
          <w:tcPr>
            <w:tcW w:w="820" w:type="dxa"/>
            <w:vAlign w:val="bottom"/>
          </w:tcPr>
          <w:p>
            <w:pPr>
              <w:jc w:val="right"/>
              <w:spacing w:after="0"/>
              <w:rPr>
                <w:sz w:val="20"/>
                <w:szCs w:val="20"/>
                <w:color w:val="auto"/>
              </w:rPr>
            </w:pPr>
            <w:r>
              <w:rPr>
                <w:rFonts w:ascii="Arial" w:cs="Arial" w:eastAsia="Arial" w:hAnsi="Arial"/>
                <w:sz w:val="18"/>
                <w:szCs w:val="18"/>
                <w:color w:val="auto"/>
              </w:rPr>
              <w:t>50,843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replacement awards attributable to pre-acquisition services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4160"/>
              <w:spacing w:after="0"/>
              <w:rPr>
                <w:sz w:val="20"/>
                <w:szCs w:val="20"/>
                <w:color w:val="auto"/>
              </w:rPr>
            </w:pPr>
            <w:r>
              <w:rPr>
                <w:rFonts w:ascii="Arial" w:cs="Arial" w:eastAsia="Arial" w:hAnsi="Arial"/>
                <w:sz w:val="18"/>
                <w:szCs w:val="18"/>
                <w:color w:val="auto"/>
              </w:rPr>
              <w:t>F-38</w:t>
            </w: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58" w:lineRule="exact"/>
        <w:rPr>
          <w:sz w:val="20"/>
          <w:szCs w:val="20"/>
          <w:color w:val="auto"/>
        </w:rPr>
      </w:pPr>
    </w:p>
    <w:p>
      <w:pPr>
        <w:ind w:left="580" w:hanging="572"/>
        <w:spacing w:after="0"/>
        <w:tabs>
          <w:tab w:leader="none" w:pos="5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 (Continued)</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8540" w:type="dxa"/>
            <w:vAlign w:val="bottom"/>
            <w:gridSpan w:val="2"/>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0" w:type="dxa"/>
            <w:vAlign w:val="bottom"/>
            <w:vMerge w:val="restart"/>
          </w:tcPr>
          <w:p>
            <w:pPr>
              <w:spacing w:after="0"/>
              <w:rPr>
                <w:sz w:val="21"/>
                <w:szCs w:val="21"/>
                <w:color w:val="auto"/>
              </w:rPr>
            </w:pPr>
          </w:p>
        </w:tc>
        <w:tc>
          <w:tcPr>
            <w:tcW w:w="7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Other current assets</w:t>
            </w:r>
          </w:p>
        </w:tc>
        <w:tc>
          <w:tcPr>
            <w:tcW w:w="820" w:type="dxa"/>
            <w:vAlign w:val="bottom"/>
          </w:tcPr>
          <w:p>
            <w:pPr>
              <w:jc w:val="right"/>
              <w:spacing w:after="0"/>
              <w:rPr>
                <w:sz w:val="20"/>
                <w:szCs w:val="20"/>
                <w:color w:val="auto"/>
              </w:rPr>
            </w:pPr>
            <w:r>
              <w:rPr>
                <w:rFonts w:ascii="Arial" w:cs="Arial" w:eastAsia="Arial" w:hAnsi="Arial"/>
                <w:sz w:val="18"/>
                <w:szCs w:val="18"/>
                <w:color w:val="auto"/>
              </w:rPr>
              <w:t>13,193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Intangible asset</w:t>
            </w:r>
          </w:p>
        </w:tc>
        <w:tc>
          <w:tcPr>
            <w:tcW w:w="820" w:type="dxa"/>
            <w:vAlign w:val="bottom"/>
          </w:tcPr>
          <w:p>
            <w:pPr>
              <w:jc w:val="right"/>
              <w:spacing w:after="0"/>
              <w:rPr>
                <w:sz w:val="20"/>
                <w:szCs w:val="20"/>
                <w:color w:val="auto"/>
              </w:rPr>
            </w:pPr>
            <w:r>
              <w:rPr>
                <w:rFonts w:ascii="Arial" w:cs="Arial" w:eastAsia="Arial" w:hAnsi="Arial"/>
                <w:sz w:val="18"/>
                <w:szCs w:val="18"/>
                <w:color w:val="auto"/>
              </w:rPr>
              <w:t>20,100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(7,571)</w:t>
            </w:r>
          </w:p>
        </w:tc>
        <w:tc>
          <w:tcPr>
            <w:tcW w:w="0" w:type="dxa"/>
            <w:vAlign w:val="bottom"/>
          </w:tcPr>
          <w:p>
            <w:pPr>
              <w:spacing w:after="0"/>
              <w:rPr>
                <w:sz w:val="1"/>
                <w:szCs w:val="1"/>
                <w:color w:val="auto"/>
              </w:rPr>
            </w:pPr>
          </w:p>
        </w:tc>
      </w:tr>
      <w:tr>
        <w:trPr>
          <w:trHeight w:val="223"/>
        </w:trPr>
        <w:tc>
          <w:tcPr>
            <w:tcW w:w="80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 acquired</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gridSpan w:val="2"/>
          </w:tcPr>
          <w:p>
            <w:pPr>
              <w:ind w:left="800"/>
              <w:spacing w:after="0"/>
              <w:rPr>
                <w:sz w:val="20"/>
                <w:szCs w:val="20"/>
                <w:color w:val="auto"/>
              </w:rPr>
            </w:pPr>
            <w:r>
              <w:rPr>
                <w:rFonts w:ascii="Arial" w:cs="Arial" w:eastAsia="Arial" w:hAnsi="Arial"/>
                <w:sz w:val="18"/>
                <w:szCs w:val="18"/>
                <w:color w:val="auto"/>
              </w:rPr>
              <w:t>Goodwill (Note 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consideration, net of cash acquired</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80" w:right="640"/>
        <w:spacing w:after="0" w:line="277" w:lineRule="auto"/>
        <w:rPr>
          <w:sz w:val="20"/>
          <w:szCs w:val="20"/>
          <w:color w:val="auto"/>
        </w:rPr>
      </w:pPr>
      <w:r>
        <w:rPr>
          <w:rFonts w:ascii="Arial" w:cs="Arial" w:eastAsia="Arial" w:hAnsi="Arial"/>
          <w:sz w:val="18"/>
          <w:szCs w:val="18"/>
          <w:color w:val="auto"/>
        </w:rPr>
        <w:t>As of December 31, 2015, purchase consideration payable of US$15,976 was settled and there is no adjustment to the purchase consideration amounts.</w:t>
      </w:r>
    </w:p>
    <w:p>
      <w:pPr>
        <w:spacing w:after="0" w:line="62" w:lineRule="exact"/>
        <w:rPr>
          <w:sz w:val="20"/>
          <w:szCs w:val="20"/>
          <w:color w:val="auto"/>
        </w:rPr>
      </w:pPr>
    </w:p>
    <w:p>
      <w:pPr>
        <w:ind w:left="580" w:right="100"/>
        <w:spacing w:after="0" w:line="259" w:lineRule="auto"/>
        <w:rPr>
          <w:sz w:val="20"/>
          <w:szCs w:val="20"/>
          <w:color w:val="auto"/>
        </w:rPr>
      </w:pPr>
      <w:r>
        <w:rPr>
          <w:rFonts w:ascii="Arial" w:cs="Arial" w:eastAsia="Arial" w:hAnsi="Arial"/>
          <w:sz w:val="18"/>
          <w:szCs w:val="18"/>
          <w:color w:val="auto"/>
        </w:rPr>
        <w:t>The excess of purchase price over tangible assets, identifiable intangible asset acquired and liabilities assumed was recorded as goodwill. Goodwill associated with the acquisition of OptAim was attributable to the expected synergy arising from the consolidated marketing operations. The acquired goodwill is not deductible for tax purposes. Acquisition-related costs were immaterial and were included in general and administrative expenses for the year ended December 31, 2015.</w:t>
      </w:r>
    </w:p>
    <w:p>
      <w:pPr>
        <w:spacing w:after="0" w:line="79" w:lineRule="exact"/>
        <w:rPr>
          <w:sz w:val="20"/>
          <w:szCs w:val="20"/>
          <w:color w:val="auto"/>
        </w:rPr>
      </w:pPr>
    </w:p>
    <w:p>
      <w:pPr>
        <w:ind w:left="580" w:right="80"/>
        <w:spacing w:after="0" w:line="302" w:lineRule="auto"/>
        <w:rPr>
          <w:sz w:val="20"/>
          <w:szCs w:val="20"/>
          <w:color w:val="auto"/>
        </w:rPr>
      </w:pPr>
      <w:r>
        <w:rPr>
          <w:rFonts w:ascii="Arial" w:cs="Arial" w:eastAsia="Arial" w:hAnsi="Arial"/>
          <w:sz w:val="16"/>
          <w:szCs w:val="16"/>
          <w:color w:val="auto"/>
        </w:rPr>
        <w:t>In determining the fair value of shares of the Company issued as part of the consideration of acquiring OptAim, a business valuation of the Company was performed by management with the assistance of an external valuer. Significant factors, assumptions and methodologies used in determining the business valuation include applying the discounted cash flow approach. Such approach involves certain significant estimates. They are terminal growth rate of 3.0%, weighted average cost of capital of 16.1%, and growth rate on average spending per customer ranges from 1.0% to 4.0%.</w:t>
      </w:r>
    </w:p>
    <w:p>
      <w:pPr>
        <w:spacing w:after="0" w:line="46" w:lineRule="exact"/>
        <w:rPr>
          <w:sz w:val="20"/>
          <w:szCs w:val="20"/>
          <w:color w:val="auto"/>
        </w:rPr>
      </w:pPr>
    </w:p>
    <w:p>
      <w:pPr>
        <w:ind w:left="580"/>
        <w:spacing w:after="0" w:line="264" w:lineRule="auto"/>
        <w:rPr>
          <w:sz w:val="20"/>
          <w:szCs w:val="20"/>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20.6% and a growth rate on average spending per customer ranges from 3.0% to 8.0%. The estimated amounts recognized on the acquired identifiable intangible asset and its estimated useful life are shown in the following table:</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Gross carrying</w:t>
            </w:r>
          </w:p>
        </w:tc>
      </w:tr>
      <w:tr>
        <w:trPr>
          <w:trHeight w:val="181"/>
        </w:trPr>
        <w:tc>
          <w:tcPr>
            <w:tcW w:w="4660" w:type="dxa"/>
            <w:vAlign w:val="bottom"/>
          </w:tcPr>
          <w:p>
            <w:pPr>
              <w:spacing w:after="0"/>
              <w:rPr>
                <w:sz w:val="15"/>
                <w:szCs w:val="15"/>
                <w:color w:val="auto"/>
              </w:rPr>
            </w:pPr>
          </w:p>
        </w:tc>
        <w:tc>
          <w:tcPr>
            <w:tcW w:w="2700" w:type="dxa"/>
            <w:vAlign w:val="bottom"/>
          </w:tcPr>
          <w:p>
            <w:pPr>
              <w:jc w:val="right"/>
              <w:ind w:right="339"/>
              <w:spacing w:after="0"/>
              <w:rPr>
                <w:sz w:val="20"/>
                <w:szCs w:val="20"/>
                <w:color w:val="auto"/>
              </w:rPr>
            </w:pPr>
            <w:r>
              <w:rPr>
                <w:rFonts w:ascii="Arial" w:cs="Arial" w:eastAsia="Arial" w:hAnsi="Arial"/>
                <w:sz w:val="14"/>
                <w:szCs w:val="14"/>
                <w:color w:val="auto"/>
              </w:rPr>
              <w:t>Estimated useful life</w:t>
            </w:r>
          </w:p>
        </w:tc>
        <w:tc>
          <w:tcPr>
            <w:tcW w:w="400" w:type="dxa"/>
            <w:vAlign w:val="bottom"/>
          </w:tcPr>
          <w:p>
            <w:pPr>
              <w:spacing w:after="0"/>
              <w:rPr>
                <w:sz w:val="15"/>
                <w:szCs w:val="15"/>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amount</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 self-developed computer software and systems</w:t>
            </w:r>
          </w:p>
        </w:tc>
        <w:tc>
          <w:tcPr>
            <w:tcW w:w="270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5 years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20,100</w:t>
            </w:r>
          </w:p>
        </w:tc>
        <w:tc>
          <w:tcPr>
            <w:tcW w:w="6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Unaudited pro forma operating results for the Company, assuming the acquisition of OptAim occurred on January 1, 2015 is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5820" w:type="dxa"/>
            <w:vAlign w:val="bottom"/>
          </w:tcPr>
          <w:p>
            <w:pPr>
              <w:jc w:val="center"/>
              <w:ind w:left="4678"/>
              <w:spacing w:after="0"/>
              <w:rPr>
                <w:sz w:val="20"/>
                <w:szCs w:val="20"/>
                <w:color w:val="auto"/>
              </w:rPr>
            </w:pPr>
            <w:r>
              <w:rPr>
                <w:rFonts w:ascii="Arial" w:cs="Arial" w:eastAsia="Arial" w:hAnsi="Arial"/>
                <w:sz w:val="14"/>
                <w:szCs w:val="14"/>
                <w:color w:val="auto"/>
                <w:w w:val="92"/>
              </w:rPr>
              <w:t>For the year</w:t>
            </w:r>
          </w:p>
        </w:tc>
      </w:tr>
      <w:tr>
        <w:trPr>
          <w:trHeight w:val="149"/>
        </w:trPr>
        <w:tc>
          <w:tcPr>
            <w:tcW w:w="2860" w:type="dxa"/>
            <w:vAlign w:val="bottom"/>
          </w:tcPr>
          <w:p>
            <w:pPr>
              <w:spacing w:after="0"/>
              <w:rPr>
                <w:sz w:val="12"/>
                <w:szCs w:val="12"/>
                <w:color w:val="auto"/>
              </w:rPr>
            </w:pPr>
          </w:p>
        </w:tc>
        <w:tc>
          <w:tcPr>
            <w:tcW w:w="5820" w:type="dxa"/>
            <w:vAlign w:val="bottom"/>
          </w:tcPr>
          <w:p>
            <w:pPr>
              <w:jc w:val="center"/>
              <w:ind w:left="4678"/>
              <w:spacing w:after="0" w:line="149" w:lineRule="exact"/>
              <w:rPr>
                <w:sz w:val="20"/>
                <w:szCs w:val="20"/>
                <w:color w:val="auto"/>
              </w:rPr>
            </w:pPr>
            <w:r>
              <w:rPr>
                <w:rFonts w:ascii="Arial" w:cs="Arial" w:eastAsia="Arial" w:hAnsi="Arial"/>
                <w:sz w:val="14"/>
                <w:szCs w:val="14"/>
                <w:color w:val="auto"/>
                <w:w w:val="87"/>
              </w:rPr>
              <w:t>ended</w:t>
            </w:r>
          </w:p>
        </w:tc>
      </w:tr>
      <w:tr>
        <w:trPr>
          <w:trHeight w:val="149"/>
        </w:trPr>
        <w:tc>
          <w:tcPr>
            <w:tcW w:w="2860" w:type="dxa"/>
            <w:vAlign w:val="bottom"/>
          </w:tcPr>
          <w:p>
            <w:pPr>
              <w:spacing w:after="0"/>
              <w:rPr>
                <w:sz w:val="12"/>
                <w:szCs w:val="12"/>
                <w:color w:val="auto"/>
              </w:rPr>
            </w:pPr>
          </w:p>
        </w:tc>
        <w:tc>
          <w:tcPr>
            <w:tcW w:w="5820" w:type="dxa"/>
            <w:vAlign w:val="bottom"/>
          </w:tcPr>
          <w:p>
            <w:pPr>
              <w:jc w:val="center"/>
              <w:ind w:left="4698"/>
              <w:spacing w:after="0" w:line="149" w:lineRule="exact"/>
              <w:rPr>
                <w:sz w:val="20"/>
                <w:szCs w:val="20"/>
                <w:color w:val="auto"/>
              </w:rPr>
            </w:pPr>
            <w:r>
              <w:rPr>
                <w:rFonts w:ascii="Arial" w:cs="Arial" w:eastAsia="Arial" w:hAnsi="Arial"/>
                <w:sz w:val="14"/>
                <w:szCs w:val="14"/>
                <w:color w:val="auto"/>
                <w:w w:val="90"/>
              </w:rPr>
              <w:t>December 31,</w:t>
            </w:r>
          </w:p>
        </w:tc>
      </w:tr>
      <w:tr>
        <w:trPr>
          <w:trHeight w:val="181"/>
        </w:trPr>
        <w:tc>
          <w:tcPr>
            <w:tcW w:w="2860" w:type="dxa"/>
            <w:vAlign w:val="bottom"/>
          </w:tcPr>
          <w:p>
            <w:pPr>
              <w:spacing w:after="0"/>
              <w:rPr>
                <w:sz w:val="15"/>
                <w:szCs w:val="15"/>
                <w:color w:val="auto"/>
              </w:rPr>
            </w:pPr>
          </w:p>
        </w:tc>
        <w:tc>
          <w:tcPr>
            <w:tcW w:w="5820" w:type="dxa"/>
            <w:vAlign w:val="bottom"/>
          </w:tcPr>
          <w:p>
            <w:pPr>
              <w:jc w:val="center"/>
              <w:ind w:left="4698"/>
              <w:spacing w:after="0"/>
              <w:rPr>
                <w:sz w:val="20"/>
                <w:szCs w:val="20"/>
                <w:color w:val="auto"/>
              </w:rPr>
            </w:pPr>
            <w:r>
              <w:rPr>
                <w:rFonts w:ascii="Arial" w:cs="Arial" w:eastAsia="Arial" w:hAnsi="Arial"/>
                <w:sz w:val="14"/>
                <w:szCs w:val="14"/>
                <w:color w:val="auto"/>
                <w:w w:val="89"/>
              </w:rPr>
              <w:t>2015</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82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69,025</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Net loss</w:t>
            </w:r>
          </w:p>
        </w:tc>
        <w:tc>
          <w:tcPr>
            <w:tcW w:w="5820" w:type="dxa"/>
            <w:vAlign w:val="bottom"/>
          </w:tcPr>
          <w:p>
            <w:pPr>
              <w:jc w:val="right"/>
              <w:spacing w:after="0"/>
              <w:rPr>
                <w:sz w:val="20"/>
                <w:szCs w:val="20"/>
                <w:color w:val="auto"/>
              </w:rPr>
            </w:pPr>
            <w:r>
              <w:rPr>
                <w:rFonts w:ascii="Arial" w:cs="Arial" w:eastAsia="Arial" w:hAnsi="Arial"/>
                <w:sz w:val="18"/>
                <w:szCs w:val="18"/>
                <w:color w:val="auto"/>
              </w:rPr>
              <w:t>(39,688)</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5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Diluted loss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350"/>
        </w:trPr>
        <w:tc>
          <w:tcPr>
            <w:tcW w:w="2860" w:type="dxa"/>
            <w:vAlign w:val="bottom"/>
          </w:tcPr>
          <w:p>
            <w:pPr>
              <w:spacing w:after="0"/>
              <w:rPr>
                <w:sz w:val="24"/>
                <w:szCs w:val="24"/>
                <w:color w:val="auto"/>
              </w:rPr>
            </w:pPr>
          </w:p>
        </w:tc>
        <w:tc>
          <w:tcPr>
            <w:tcW w:w="5820" w:type="dxa"/>
            <w:vAlign w:val="bottom"/>
          </w:tcPr>
          <w:p>
            <w:pPr>
              <w:jc w:val="right"/>
              <w:ind w:right="4098"/>
              <w:spacing w:after="0"/>
              <w:rPr>
                <w:sz w:val="20"/>
                <w:szCs w:val="20"/>
                <w:color w:val="auto"/>
              </w:rPr>
            </w:pPr>
            <w:r>
              <w:rPr>
                <w:rFonts w:ascii="Arial" w:cs="Arial" w:eastAsia="Arial" w:hAnsi="Arial"/>
                <w:sz w:val="18"/>
                <w:szCs w:val="18"/>
                <w:color w:val="auto"/>
              </w:rPr>
              <w:t>F-39</w:t>
            </w:r>
          </w:p>
        </w:tc>
      </w:tr>
    </w:tbl>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158" w:lineRule="exact"/>
        <w:rPr>
          <w:sz w:val="20"/>
          <w:szCs w:val="20"/>
          <w:color w:val="auto"/>
        </w:rPr>
      </w:pPr>
    </w:p>
    <w:p>
      <w:pPr>
        <w:ind w:left="580" w:hanging="572"/>
        <w:spacing w:after="0"/>
        <w:tabs>
          <w:tab w:leader="none" w:pos="58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OptAim (Continued)</w:t>
      </w:r>
    </w:p>
    <w:p>
      <w:pPr>
        <w:spacing w:after="0" w:line="161" w:lineRule="exact"/>
        <w:rPr>
          <w:rFonts w:ascii="Arial" w:cs="Arial" w:eastAsia="Arial" w:hAnsi="Arial"/>
          <w:sz w:val="18"/>
          <w:szCs w:val="18"/>
          <w:b w:val="1"/>
          <w:bCs w:val="1"/>
          <w:color w:val="auto"/>
        </w:rPr>
      </w:pPr>
    </w:p>
    <w:p>
      <w:pPr>
        <w:ind w:left="58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did not have any material, non-recurring pro-forma adjustments directly attributable to the business combination reflected in the reported pro-forma net revenue and net loss.</w:t>
      </w:r>
    </w:p>
    <w:p>
      <w:pPr>
        <w:spacing w:after="0" w:line="62" w:lineRule="exact"/>
        <w:rPr>
          <w:rFonts w:ascii="Arial" w:cs="Arial" w:eastAsia="Arial" w:hAnsi="Arial"/>
          <w:sz w:val="18"/>
          <w:szCs w:val="18"/>
          <w:b w:val="1"/>
          <w:bCs w:val="1"/>
          <w:color w:val="auto"/>
        </w:rPr>
      </w:pPr>
    </w:p>
    <w:p>
      <w:pPr>
        <w:ind w:left="58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pro forma information is not necessarily indicative of the actual results that would have been achieved had OptAim acquisition occurred as of January 1, 2015 or the results that may be achieved in future periods.</w:t>
      </w:r>
    </w:p>
    <w:p>
      <w:pPr>
        <w:spacing w:after="0" w:line="315" w:lineRule="exact"/>
        <w:rPr>
          <w:sz w:val="20"/>
          <w:szCs w:val="20"/>
          <w:color w:val="auto"/>
        </w:rPr>
      </w:pPr>
    </w:p>
    <w:p>
      <w:pPr>
        <w:ind w:left="580" w:hanging="572"/>
        <w:spacing w:after="0"/>
        <w:tabs>
          <w:tab w:leader="none" w:pos="58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time deposit</w:t>
      </w:r>
    </w:p>
    <w:p>
      <w:pPr>
        <w:spacing w:after="0" w:line="121" w:lineRule="exact"/>
        <w:rPr>
          <w:rFonts w:ascii="Arial" w:cs="Arial" w:eastAsia="Arial" w:hAnsi="Arial"/>
          <w:sz w:val="18"/>
          <w:szCs w:val="18"/>
          <w:b w:val="1"/>
          <w:bCs w:val="1"/>
          <w:color w:val="auto"/>
        </w:rPr>
      </w:pPr>
    </w:p>
    <w:p>
      <w:pPr>
        <w:ind w:left="58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short-term deposits placed with banks or other financial institutions, which have original maturities of three months or less.</w:t>
      </w:r>
    </w:p>
    <w:p>
      <w:pPr>
        <w:spacing w:after="0" w:line="62" w:lineRule="exact"/>
        <w:rPr>
          <w:rFonts w:ascii="Arial" w:cs="Arial" w:eastAsia="Arial" w:hAnsi="Arial"/>
          <w:sz w:val="18"/>
          <w:szCs w:val="18"/>
          <w:b w:val="1"/>
          <w:bCs w:val="1"/>
          <w:color w:val="auto"/>
        </w:rPr>
      </w:pPr>
    </w:p>
    <w:p>
      <w:pPr>
        <w:ind w:left="58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the Group had a time deposit of US$25,000 with an original maturity of 3.2 months denominated in US dollars (2016: US$nil).</w:t>
      </w:r>
    </w:p>
    <w:p>
      <w:pPr>
        <w:spacing w:after="0" w:line="6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Cash on hand and cash held at bank balance as of December 31, 2016 and 2017 primarily consist of the following currencies: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0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6"/>
              </w:rPr>
              <w:t>2016</w:t>
            </w:r>
          </w:p>
        </w:tc>
        <w:tc>
          <w:tcPr>
            <w:tcW w:w="1560" w:type="dxa"/>
            <w:vAlign w:val="bottom"/>
            <w:gridSpan w:val="3"/>
          </w:tcPr>
          <w:p>
            <w:pPr>
              <w:jc w:val="right"/>
              <w:ind w:right="92"/>
              <w:spacing w:after="0"/>
              <w:rPr>
                <w:sz w:val="20"/>
                <w:szCs w:val="20"/>
                <w:color w:val="auto"/>
              </w:rPr>
            </w:pPr>
            <w:r>
              <w:rPr>
                <w:rFonts w:ascii="Arial" w:cs="Arial" w:eastAsia="Arial" w:hAnsi="Arial"/>
                <w:sz w:val="14"/>
                <w:szCs w:val="14"/>
                <w:color w:val="auto"/>
              </w:rPr>
              <w:t>As of December 31,</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96"/>
              </w:rPr>
              <w:t>2017</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56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320" w:type="dxa"/>
            <w:vAlign w:val="bottom"/>
            <w:vMerge w:val="continue"/>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color w:val="auto"/>
                <w:w w:val="93"/>
              </w:rPr>
              <w:t>equivalent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Amount</w:t>
            </w:r>
          </w:p>
        </w:tc>
        <w:tc>
          <w:tcPr>
            <w:tcW w:w="340" w:type="dxa"/>
            <w:vAlign w:val="bottom"/>
            <w:vMerge w:val="continue"/>
          </w:tcPr>
          <w:p>
            <w:pPr>
              <w:spacing w:after="0"/>
              <w:rPr>
                <w:sz w:val="12"/>
                <w:szCs w:val="12"/>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w w:val="90"/>
              </w:rPr>
              <w:t>equivalent</w:t>
            </w:r>
          </w:p>
        </w:tc>
        <w:tc>
          <w:tcPr>
            <w:tcW w:w="0" w:type="dxa"/>
            <w:vAlign w:val="bottom"/>
          </w:tcPr>
          <w:p>
            <w:pPr>
              <w:spacing w:after="0"/>
              <w:rPr>
                <w:sz w:val="1"/>
                <w:szCs w:val="1"/>
                <w:color w:val="auto"/>
              </w:rPr>
            </w:pPr>
          </w:p>
        </w:tc>
      </w:tr>
      <w:tr>
        <w:trPr>
          <w:trHeight w:val="134"/>
        </w:trPr>
        <w:tc>
          <w:tcPr>
            <w:tcW w:w="4060" w:type="dxa"/>
            <w:vAlign w:val="bottom"/>
          </w:tcPr>
          <w:p>
            <w:pPr>
              <w:spacing w:after="0"/>
              <w:rPr>
                <w:sz w:val="11"/>
                <w:szCs w:val="11"/>
                <w:color w:val="auto"/>
              </w:rPr>
            </w:pPr>
          </w:p>
        </w:tc>
        <w:tc>
          <w:tcPr>
            <w:tcW w:w="35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9,771</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50,600</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HK$</w:t>
            </w:r>
          </w:p>
        </w:tc>
        <w:tc>
          <w:tcPr>
            <w:tcW w:w="3560" w:type="dxa"/>
            <w:vAlign w:val="bottom"/>
          </w:tcPr>
          <w:p>
            <w:pPr>
              <w:jc w:val="right"/>
              <w:spacing w:after="0"/>
              <w:rPr>
                <w:sz w:val="20"/>
                <w:szCs w:val="20"/>
                <w:color w:val="auto"/>
              </w:rPr>
            </w:pPr>
            <w:r>
              <w:rPr>
                <w:rFonts w:ascii="Arial" w:cs="Arial" w:eastAsia="Arial" w:hAnsi="Arial"/>
                <w:sz w:val="18"/>
                <w:szCs w:val="18"/>
                <w:color w:val="auto"/>
              </w:rPr>
              <w:t>15,666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18,099</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15,064</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15,064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33,639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SGD</w:t>
            </w:r>
          </w:p>
        </w:tc>
        <w:tc>
          <w:tcPr>
            <w:tcW w:w="3560" w:type="dxa"/>
            <w:vAlign w:val="bottom"/>
          </w:tcPr>
          <w:p>
            <w:pPr>
              <w:jc w:val="right"/>
              <w:spacing w:after="0"/>
              <w:rPr>
                <w:sz w:val="20"/>
                <w:szCs w:val="20"/>
                <w:color w:val="auto"/>
              </w:rPr>
            </w:pPr>
            <w:r>
              <w:rPr>
                <w:rFonts w:ascii="Arial" w:cs="Arial" w:eastAsia="Arial" w:hAnsi="Arial"/>
                <w:sz w:val="18"/>
                <w:szCs w:val="18"/>
                <w:color w:val="auto"/>
              </w:rPr>
              <w:t>235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165</w:t>
            </w:r>
          </w:p>
        </w:tc>
        <w:tc>
          <w:tcPr>
            <w:tcW w:w="920" w:type="dxa"/>
            <w:vAlign w:val="bottom"/>
          </w:tcPr>
          <w:p>
            <w:pPr>
              <w:jc w:val="right"/>
              <w:spacing w:after="0"/>
              <w:rPr>
                <w:sz w:val="20"/>
                <w:szCs w:val="20"/>
                <w:color w:val="auto"/>
              </w:rPr>
            </w:pPr>
            <w:r>
              <w:rPr>
                <w:rFonts w:ascii="Arial" w:cs="Arial" w:eastAsia="Arial" w:hAnsi="Arial"/>
                <w:sz w:val="18"/>
                <w:szCs w:val="18"/>
                <w:color w:val="auto"/>
              </w:rPr>
              <w:t>432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Euro (“EUR”)</w:t>
            </w:r>
          </w:p>
        </w:tc>
        <w:tc>
          <w:tcPr>
            <w:tcW w:w="3560" w:type="dxa"/>
            <w:vAlign w:val="bottom"/>
          </w:tcPr>
          <w:p>
            <w:pPr>
              <w:jc w:val="right"/>
              <w:spacing w:after="0"/>
              <w:rPr>
                <w:sz w:val="20"/>
                <w:szCs w:val="20"/>
                <w:color w:val="auto"/>
              </w:rPr>
            </w:pPr>
            <w:r>
              <w:rPr>
                <w:rFonts w:ascii="Arial" w:cs="Arial" w:eastAsia="Arial" w:hAnsi="Arial"/>
                <w:sz w:val="18"/>
                <w:szCs w:val="18"/>
                <w:color w:val="auto"/>
              </w:rPr>
              <w:t>125</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133</w:t>
            </w: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3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27,280</w:t>
            </w:r>
          </w:p>
        </w:tc>
        <w:tc>
          <w:tcPr>
            <w:tcW w:w="20" w:type="dxa"/>
            <w:vAlign w:val="bottom"/>
            <w:tcBorders>
              <w:bottom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80" w:hanging="572"/>
        <w:spacing w:after="0"/>
        <w:tabs>
          <w:tab w:leader="none" w:pos="58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restricted cash amounting to US$5,234 as of December 31, 2016 represented balance held in a restricted bank account pursuant to certain short term loan agreements (see Note 15 for details). The restricted cash was held in US$ and carried fixed interest at the rate of 0.05% per annum as of December 31, 2016. As of December 31, 2017, the Group did not have any restricted cash.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7220" w:type="dxa"/>
            <w:vAlign w:val="bottom"/>
            <w:gridSpan w:val="2"/>
          </w:tcPr>
          <w:p>
            <w:pPr>
              <w:ind w:left="240"/>
              <w:spacing w:after="0"/>
              <w:rPr>
                <w:sz w:val="20"/>
                <w:szCs w:val="20"/>
                <w:color w:val="auto"/>
              </w:rPr>
            </w:pPr>
            <w:r>
              <w:rPr>
                <w:rFonts w:ascii="Arial" w:cs="Arial" w:eastAsia="Arial" w:hAnsi="Arial"/>
                <w:sz w:val="18"/>
                <w:szCs w:val="18"/>
                <w:b w:val="1"/>
                <w:bCs w:val="1"/>
                <w:color w:val="auto"/>
              </w:rPr>
              <w:t>iCLICK INTERACTIVE ASIA GROUP LIMITED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40" w:type="dxa"/>
            <w:vAlign w:val="bottom"/>
          </w:tcPr>
          <w:p>
            <w:pPr>
              <w:spacing w:after="0"/>
              <w:rPr>
                <w:sz w:val="24"/>
                <w:szCs w:val="24"/>
                <w:color w:val="auto"/>
              </w:rPr>
            </w:pPr>
          </w:p>
        </w:tc>
        <w:tc>
          <w:tcPr>
            <w:tcW w:w="7220" w:type="dxa"/>
            <w:vAlign w:val="bottom"/>
            <w:gridSpan w:val="2"/>
          </w:tcPr>
          <w:p>
            <w:pPr>
              <w:ind w:left="24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220" w:type="dxa"/>
            <w:vAlign w:val="bottom"/>
            <w:gridSpan w:val="2"/>
          </w:tcPr>
          <w:p>
            <w:pPr>
              <w:ind w:left="240"/>
              <w:spacing w:after="0"/>
              <w:rPr>
                <w:sz w:val="20"/>
                <w:szCs w:val="20"/>
                <w:color w:val="auto"/>
              </w:rPr>
            </w:pPr>
            <w:r>
              <w:rPr>
                <w:rFonts w:ascii="Arial" w:cs="Arial" w:eastAsia="Arial" w:hAnsi="Arial"/>
                <w:sz w:val="18"/>
                <w:szCs w:val="18"/>
                <w:color w:val="auto"/>
              </w:rPr>
              <w:t>(US$’000, except share data and per share data, or otherwise noted)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7</w:t>
            </w:r>
          </w:p>
        </w:tc>
        <w:tc>
          <w:tcPr>
            <w:tcW w:w="7220" w:type="dxa"/>
            <w:vAlign w:val="bottom"/>
            <w:gridSpan w:val="2"/>
          </w:tcPr>
          <w:p>
            <w:pPr>
              <w:ind w:left="240"/>
              <w:spacing w:after="0"/>
              <w:rPr>
                <w:sz w:val="20"/>
                <w:szCs w:val="20"/>
                <w:color w:val="auto"/>
              </w:rPr>
            </w:pPr>
            <w:r>
              <w:rPr>
                <w:rFonts w:ascii="Arial" w:cs="Arial" w:eastAsia="Arial" w:hAnsi="Arial"/>
                <w:sz w:val="18"/>
                <w:szCs w:val="18"/>
                <w:b w:val="1"/>
                <w:bCs w:val="1"/>
                <w:color w:val="auto"/>
              </w:rPr>
              <w:t>Accounts receivable, net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6"/>
          </w:tcPr>
          <w:p>
            <w:pPr>
              <w:ind w:left="500"/>
              <w:spacing w:after="0"/>
              <w:rPr>
                <w:sz w:val="20"/>
                <w:szCs w:val="20"/>
                <w:color w:val="auto"/>
              </w:rPr>
            </w:pPr>
            <w:r>
              <w:rPr>
                <w:rFonts w:ascii="Arial" w:cs="Arial" w:eastAsia="Arial" w:hAnsi="Arial"/>
                <w:sz w:val="14"/>
                <w:szCs w:val="14"/>
                <w:color w:val="auto"/>
                <w:w w:val="93"/>
              </w:rPr>
              <w:t>As of December 31,</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40" w:type="dxa"/>
            <w:vAlign w:val="bottom"/>
            <w:gridSpan w:val="3"/>
          </w:tcPr>
          <w:p>
            <w:pPr>
              <w:ind w:left="26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193"/>
              <w:spacing w:after="0"/>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32,387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1480" w:type="dxa"/>
            <w:vAlign w:val="bottom"/>
            <w:gridSpan w:val="6"/>
          </w:tcPr>
          <w:p>
            <w:pPr>
              <w:jc w:val="right"/>
              <w:ind w:right="600"/>
              <w:spacing w:after="0"/>
              <w:rPr>
                <w:sz w:val="20"/>
                <w:szCs w:val="20"/>
                <w:color w:val="auto"/>
              </w:rPr>
            </w:pPr>
            <w:r>
              <w:rPr>
                <w:rFonts w:ascii="Arial" w:cs="Arial" w:eastAsia="Arial" w:hAnsi="Arial"/>
                <w:sz w:val="18"/>
                <w:szCs w:val="18"/>
                <w:color w:val="auto"/>
              </w:rPr>
              <w:t>(1,693)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30,694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40,798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20" w:type="dxa"/>
            <w:vAlign w:val="bottom"/>
            <w:gridSpan w:val="2"/>
            <w:vMerge w:val="restart"/>
          </w:tcPr>
          <w:p>
            <w:pPr>
              <w:ind w:left="240"/>
              <w:spacing w:after="0"/>
              <w:rPr>
                <w:sz w:val="20"/>
                <w:szCs w:val="20"/>
                <w:color w:val="auto"/>
              </w:rPr>
            </w:pPr>
            <w:r>
              <w:rPr>
                <w:rFonts w:ascii="Arial" w:cs="Arial" w:eastAsia="Arial" w:hAnsi="Arial"/>
                <w:sz w:val="18"/>
                <w:szCs w:val="18"/>
                <w:color w:val="auto"/>
              </w:rPr>
              <w:t>The following table presents the movement in the allowance for doubtful accounts:</w:t>
            </w: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0" w:type="dxa"/>
            <w:vAlign w:val="bottom"/>
          </w:tcPr>
          <w:p>
            <w:pPr>
              <w:spacing w:after="0"/>
              <w:rPr>
                <w:sz w:val="24"/>
                <w:szCs w:val="24"/>
                <w:color w:val="auto"/>
              </w:rPr>
            </w:pPr>
          </w:p>
        </w:tc>
        <w:tc>
          <w:tcPr>
            <w:tcW w:w="7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9"/>
          </w:tcPr>
          <w:p>
            <w:pPr>
              <w:ind w:left="14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40" w:type="dxa"/>
            <w:vAlign w:val="bottom"/>
            <w:gridSpan w:val="3"/>
          </w:tcPr>
          <w:p>
            <w:pPr>
              <w:jc w:val="right"/>
              <w:ind w:right="61"/>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213"/>
              <w:spacing w:after="0"/>
              <w:rPr>
                <w:sz w:val="20"/>
                <w:szCs w:val="20"/>
                <w:color w:val="auto"/>
              </w:rPr>
            </w:pPr>
            <w:r>
              <w:rPr>
                <w:rFonts w:ascii="Arial" w:cs="Arial" w:eastAsia="Arial" w:hAnsi="Arial"/>
                <w:sz w:val="14"/>
                <w:szCs w:val="14"/>
                <w:color w:val="auto"/>
                <w:w w:val="89"/>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Additions for the year</w:t>
            </w:r>
          </w:p>
        </w:tc>
        <w:tc>
          <w:tcPr>
            <w:tcW w:w="840" w:type="dxa"/>
            <w:vAlign w:val="bottom"/>
            <w:gridSpan w:val="5"/>
          </w:tcPr>
          <w:p>
            <w:pPr>
              <w:jc w:val="right"/>
              <w:spacing w:after="0"/>
              <w:rPr>
                <w:sz w:val="20"/>
                <w:szCs w:val="20"/>
                <w:color w:val="auto"/>
              </w:rPr>
            </w:pPr>
            <w:r>
              <w:rPr>
                <w:rFonts w:ascii="Arial" w:cs="Arial" w:eastAsia="Arial" w:hAnsi="Arial"/>
                <w:sz w:val="18"/>
                <w:szCs w:val="18"/>
                <w:color w:val="auto"/>
              </w:rPr>
              <w:t>99</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gridSpan w:val="6"/>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Accounts receivable written off</w:t>
            </w:r>
          </w:p>
        </w:tc>
        <w:tc>
          <w:tcPr>
            <w:tcW w:w="1480" w:type="dxa"/>
            <w:vAlign w:val="bottom"/>
            <w:gridSpan w:val="6"/>
          </w:tcPr>
          <w:p>
            <w:pPr>
              <w:jc w:val="right"/>
              <w:ind w:right="58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480" w:type="dxa"/>
            <w:vAlign w:val="bottom"/>
            <w:gridSpan w:val="6"/>
            <w:shd w:val="clear" w:color="auto" w:fill="CCEEFF"/>
          </w:tcPr>
          <w:p>
            <w:pPr>
              <w:jc w:val="right"/>
              <w:ind w:right="58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220" w:type="dxa"/>
            <w:vAlign w:val="bottom"/>
            <w:gridSpan w:val="2"/>
          </w:tcPr>
          <w:p>
            <w:pPr>
              <w:ind w:left="1040"/>
              <w:spacing w:after="0"/>
              <w:rPr>
                <w:sz w:val="20"/>
                <w:szCs w:val="20"/>
                <w:color w:val="auto"/>
              </w:rPr>
            </w:pPr>
            <w:r>
              <w:rPr>
                <w:rFonts w:ascii="Arial" w:cs="Arial" w:eastAsia="Arial" w:hAnsi="Arial"/>
                <w:sz w:val="18"/>
                <w:szCs w:val="18"/>
                <w:color w:val="auto"/>
              </w:rPr>
              <w:t>Balance at the end of year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1,693</w:t>
            </w:r>
          </w:p>
        </w:tc>
        <w:tc>
          <w:tcPr>
            <w:tcW w:w="6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8</w:t>
            </w:r>
          </w:p>
        </w:tc>
        <w:tc>
          <w:tcPr>
            <w:tcW w:w="72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Other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0" w:type="dxa"/>
            <w:vAlign w:val="bottom"/>
            <w:vMerge w:val="continue"/>
          </w:tcPr>
          <w:p>
            <w:pPr>
              <w:spacing w:after="0"/>
              <w:rPr>
                <w:sz w:val="24"/>
                <w:szCs w:val="24"/>
                <w:color w:val="auto"/>
              </w:rPr>
            </w:pPr>
          </w:p>
        </w:tc>
        <w:tc>
          <w:tcPr>
            <w:tcW w:w="72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7220" w:type="dxa"/>
            <w:vAlign w:val="bottom"/>
            <w:gridSpan w:val="2"/>
          </w:tcPr>
          <w:p>
            <w:pPr>
              <w:ind w:left="240"/>
              <w:spacing w:after="0"/>
              <w:rPr>
                <w:sz w:val="20"/>
                <w:szCs w:val="20"/>
                <w:color w:val="auto"/>
              </w:rPr>
            </w:pPr>
            <w:r>
              <w:rPr>
                <w:rFonts w:ascii="Arial" w:cs="Arial" w:eastAsia="Arial" w:hAnsi="Arial"/>
                <w:sz w:val="18"/>
                <w:szCs w:val="18"/>
                <w:color w:val="auto"/>
              </w:rPr>
              <w:t>The other assets consist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0" w:type="dxa"/>
            <w:vAlign w:val="bottom"/>
            <w:gridSpan w:val="9"/>
          </w:tcPr>
          <w:p>
            <w:pPr>
              <w:ind w:left="54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40" w:type="dxa"/>
            <w:vAlign w:val="bottom"/>
            <w:gridSpan w:val="3"/>
          </w:tcPr>
          <w:p>
            <w:pPr>
              <w:ind w:left="220"/>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193"/>
              <w:spacing w:after="0"/>
              <w:rPr>
                <w:sz w:val="20"/>
                <w:szCs w:val="20"/>
                <w:color w:val="auto"/>
              </w:rPr>
            </w:pPr>
            <w:r>
              <w:rPr>
                <w:rFonts w:ascii="Arial" w:cs="Arial" w:eastAsia="Arial" w:hAnsi="Arial"/>
                <w:sz w:val="14"/>
                <w:szCs w:val="14"/>
                <w:color w:val="auto"/>
                <w:w w:val="96"/>
              </w:rPr>
              <w:t>2017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Deposits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2,202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VAT receivable</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Prepayment for acquisition of fixed assets</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Rental deposits</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180" w:type="dxa"/>
            <w:vAlign w:val="bottom"/>
            <w:vMerge w:val="restart"/>
          </w:tcPr>
          <w:p>
            <w:pPr>
              <w:ind w:left="4160"/>
              <w:spacing w:after="0"/>
              <w:rPr>
                <w:sz w:val="20"/>
                <w:szCs w:val="20"/>
                <w:color w:val="auto"/>
              </w:rPr>
            </w:pPr>
            <w:r>
              <w:rPr>
                <w:rFonts w:ascii="Arial" w:cs="Arial" w:eastAsia="Arial" w:hAnsi="Arial"/>
                <w:sz w:val="18"/>
                <w:szCs w:val="18"/>
                <w:color w:val="auto"/>
              </w:rPr>
              <w:t>F-41</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8280" w:type="dxa"/>
            <w:vAlign w:val="bottom"/>
            <w:gridSpan w:val="2"/>
          </w:tcPr>
          <w:p>
            <w:pPr>
              <w:ind w:left="240"/>
              <w:spacing w:after="0"/>
              <w:rPr>
                <w:sz w:val="20"/>
                <w:szCs w:val="20"/>
                <w:color w:val="auto"/>
              </w:rPr>
            </w:pPr>
            <w:r>
              <w:rPr>
                <w:rFonts w:ascii="Arial" w:cs="Arial" w:eastAsia="Arial" w:hAnsi="Arial"/>
                <w:sz w:val="18"/>
                <w:szCs w:val="18"/>
                <w:b w:val="1"/>
                <w:bCs w:val="1"/>
                <w:color w:val="auto"/>
              </w:rPr>
              <w:t>iCLICK INTERACTIVE ASIA GROUP LIMITED</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0"/>
        </w:trPr>
        <w:tc>
          <w:tcPr>
            <w:tcW w:w="340" w:type="dxa"/>
            <w:vAlign w:val="bottom"/>
          </w:tcPr>
          <w:p>
            <w:pPr>
              <w:spacing w:after="0"/>
              <w:rPr>
                <w:sz w:val="24"/>
                <w:szCs w:val="24"/>
                <w:color w:val="auto"/>
              </w:rPr>
            </w:pPr>
          </w:p>
        </w:tc>
        <w:tc>
          <w:tcPr>
            <w:tcW w:w="8280" w:type="dxa"/>
            <w:vAlign w:val="bottom"/>
            <w:gridSpan w:val="2"/>
          </w:tcPr>
          <w:p>
            <w:pPr>
              <w:ind w:left="24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8280" w:type="dxa"/>
            <w:vAlign w:val="bottom"/>
            <w:gridSpan w:val="2"/>
          </w:tcPr>
          <w:p>
            <w:pPr>
              <w:ind w:left="240"/>
              <w:spacing w:after="0"/>
              <w:rPr>
                <w:sz w:val="20"/>
                <w:szCs w:val="20"/>
                <w:color w:val="auto"/>
              </w:rPr>
            </w:pPr>
            <w:r>
              <w:rPr>
                <w:rFonts w:ascii="Arial" w:cs="Arial" w:eastAsia="Arial" w:hAnsi="Arial"/>
                <w:sz w:val="18"/>
                <w:szCs w:val="18"/>
                <w:color w:val="auto"/>
              </w:rPr>
              <w:t>(US$’000, except share data and per share data, or otherwise noted)</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9</w:t>
            </w:r>
          </w:p>
        </w:tc>
        <w:tc>
          <w:tcPr>
            <w:tcW w:w="8280" w:type="dxa"/>
            <w:vAlign w:val="bottom"/>
            <w:gridSpan w:val="2"/>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8280" w:type="dxa"/>
            <w:vAlign w:val="bottom"/>
            <w:gridSpan w:val="2"/>
          </w:tcPr>
          <w:p>
            <w:pPr>
              <w:ind w:left="240"/>
              <w:spacing w:after="0"/>
              <w:rPr>
                <w:sz w:val="20"/>
                <w:szCs w:val="20"/>
                <w:color w:val="auto"/>
              </w:rPr>
            </w:pPr>
            <w:r>
              <w:rPr>
                <w:rFonts w:ascii="Arial" w:cs="Arial" w:eastAsia="Arial" w:hAnsi="Arial"/>
                <w:sz w:val="18"/>
                <w:szCs w:val="18"/>
                <w:color w:val="auto"/>
              </w:rPr>
              <w:t>Property and equipment consist of the following:</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840" w:type="dxa"/>
            <w:vAlign w:val="bottom"/>
            <w:gridSpan w:val="3"/>
          </w:tcPr>
          <w:p>
            <w:pPr>
              <w:ind w:left="500"/>
              <w:spacing w:after="0"/>
              <w:rPr>
                <w:sz w:val="20"/>
                <w:szCs w:val="20"/>
                <w:color w:val="auto"/>
              </w:rPr>
            </w:pPr>
            <w:r>
              <w:rPr>
                <w:rFonts w:ascii="Arial" w:cs="Arial" w:eastAsia="Arial" w:hAnsi="Arial"/>
                <w:sz w:val="14"/>
                <w:szCs w:val="14"/>
                <w:color w:val="auto"/>
              </w:rPr>
              <w:t>As of</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9"/>
        </w:trPr>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440" w:type="dxa"/>
            <w:vAlign w:val="bottom"/>
            <w:gridSpan w:val="5"/>
          </w:tcPr>
          <w:p>
            <w:pPr>
              <w:jc w:val="right"/>
              <w:ind w:right="380"/>
              <w:spacing w:after="0" w:line="149" w:lineRule="exact"/>
              <w:rPr>
                <w:sz w:val="20"/>
                <w:szCs w:val="20"/>
                <w:color w:val="auto"/>
              </w:rPr>
            </w:pPr>
            <w:r>
              <w:rPr>
                <w:rFonts w:ascii="Arial" w:cs="Arial" w:eastAsia="Arial" w:hAnsi="Arial"/>
                <w:sz w:val="14"/>
                <w:szCs w:val="14"/>
                <w:color w:val="auto"/>
              </w:rPr>
              <w:t>December 31,</w:t>
            </w:r>
          </w:p>
        </w:tc>
      </w:tr>
      <w:tr>
        <w:trPr>
          <w:trHeight w:val="167"/>
        </w:trPr>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jc w:val="right"/>
              <w:ind w:right="3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Office equipment</w:t>
            </w:r>
          </w:p>
        </w:tc>
        <w:tc>
          <w:tcPr>
            <w:tcW w:w="540" w:type="dxa"/>
            <w:vAlign w:val="bottom"/>
          </w:tcPr>
          <w:p>
            <w:pPr>
              <w:jc w:val="right"/>
              <w:spacing w:after="0"/>
              <w:rPr>
                <w:sz w:val="20"/>
                <w:szCs w:val="20"/>
                <w:color w:val="auto"/>
              </w:rPr>
            </w:pPr>
            <w:r>
              <w:rPr>
                <w:rFonts w:ascii="Arial" w:cs="Arial" w:eastAsia="Arial" w:hAnsi="Arial"/>
                <w:sz w:val="18"/>
                <w:szCs w:val="18"/>
                <w:color w:val="auto"/>
              </w:rPr>
              <w:t>4,629</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4,661</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Furniture and fixtures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cost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12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(4,519)</w:t>
            </w:r>
          </w:p>
        </w:tc>
        <w:tc>
          <w:tcPr>
            <w:tcW w:w="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(5,882)</w:t>
            </w:r>
          </w:p>
        </w:tc>
      </w:tr>
      <w:tr>
        <w:trPr>
          <w:trHeight w:val="216"/>
        </w:trPr>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r>
      <w:tr>
        <w:trPr>
          <w:trHeight w:val="223"/>
        </w:trPr>
        <w:tc>
          <w:tcPr>
            <w:tcW w:w="340" w:type="dxa"/>
            <w:vAlign w:val="bottom"/>
          </w:tcPr>
          <w:p>
            <w:pPr>
              <w:spacing w:after="0"/>
              <w:rPr>
                <w:sz w:val="19"/>
                <w:szCs w:val="19"/>
                <w:color w:val="auto"/>
              </w:rPr>
            </w:pPr>
          </w:p>
        </w:tc>
        <w:tc>
          <w:tcPr>
            <w:tcW w:w="8280" w:type="dxa"/>
            <w:vAlign w:val="bottom"/>
            <w:gridSpan w:val="2"/>
          </w:tcPr>
          <w:p>
            <w:pPr>
              <w:ind w:left="1040"/>
              <w:spacing w:after="0"/>
              <w:rPr>
                <w:sz w:val="20"/>
                <w:szCs w:val="20"/>
                <w:color w:val="auto"/>
              </w:rPr>
            </w:pPr>
            <w:r>
              <w:rPr>
                <w:rFonts w:ascii="Arial" w:cs="Arial" w:eastAsia="Arial" w:hAnsi="Arial"/>
                <w:sz w:val="18"/>
                <w:szCs w:val="18"/>
                <w:color w:val="auto"/>
              </w:rPr>
              <w:t>Property and equipment, net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2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1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Depreciation expense recognized for the years ended December 31, 2015, 2016 and 2017 are summarized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40" w:type="dxa"/>
            <w:vAlign w:val="bottom"/>
            <w:gridSpan w:val="6"/>
          </w:tcPr>
          <w:p>
            <w:pPr>
              <w:jc w:val="right"/>
              <w:ind w:right="220"/>
              <w:spacing w:after="0"/>
              <w:rPr>
                <w:sz w:val="20"/>
                <w:szCs w:val="20"/>
                <w:color w:val="auto"/>
              </w:rPr>
            </w:pPr>
            <w:r>
              <w:rPr>
                <w:rFonts w:ascii="Arial" w:cs="Arial" w:eastAsia="Arial" w:hAnsi="Arial"/>
                <w:sz w:val="14"/>
                <w:szCs w:val="14"/>
                <w:color w:val="auto"/>
                <w:w w:val="96"/>
              </w:rPr>
              <w:t>For the years ended December 31,</w:t>
            </w:r>
          </w:p>
        </w:tc>
      </w:tr>
      <w:tr>
        <w:trPr>
          <w:trHeight w:val="167"/>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460" w:type="dxa"/>
            <w:vAlign w:val="bottom"/>
            <w:gridSpan w:val="2"/>
          </w:tcPr>
          <w:p>
            <w:pPr>
              <w:jc w:val="right"/>
              <w:ind w:right="36"/>
              <w:spacing w:after="0"/>
              <w:rPr>
                <w:sz w:val="20"/>
                <w:szCs w:val="20"/>
                <w:color w:val="auto"/>
              </w:rPr>
            </w:pPr>
            <w:r>
              <w:rPr>
                <w:rFonts w:ascii="Arial" w:cs="Arial" w:eastAsia="Arial" w:hAnsi="Arial"/>
                <w:sz w:val="14"/>
                <w:szCs w:val="14"/>
                <w:color w:val="auto"/>
              </w:rPr>
              <w:t>2015</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2016</w:t>
            </w:r>
          </w:p>
        </w:tc>
        <w:tc>
          <w:tcPr>
            <w:tcW w:w="900" w:type="dxa"/>
            <w:vAlign w:val="bottom"/>
            <w:gridSpan w:val="2"/>
          </w:tcPr>
          <w:p>
            <w:pPr>
              <w:jc w:val="right"/>
              <w:ind w:right="7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9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60" w:type="dxa"/>
            <w:vAlign w:val="bottom"/>
            <w:gridSpan w:val="2"/>
          </w:tcPr>
          <w:p>
            <w:pPr>
              <w:jc w:val="right"/>
              <w:ind w:right="2276"/>
              <w:spacing w:after="0"/>
              <w:rPr>
                <w:sz w:val="20"/>
                <w:szCs w:val="20"/>
                <w:color w:val="auto"/>
              </w:rPr>
            </w:pPr>
            <w:r>
              <w:rPr>
                <w:rFonts w:ascii="Arial" w:cs="Arial" w:eastAsia="Arial" w:hAnsi="Arial"/>
                <w:sz w:val="18"/>
                <w:szCs w:val="18"/>
                <w:color w:val="auto"/>
              </w:rPr>
              <w:t>F-42</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219"/>
          </w:cols>
          <w:pgMar w:left="240" w:top="460" w:right="1440"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b w:val="1"/>
                <w:bCs w:val="1"/>
                <w:color w:val="auto"/>
              </w:rPr>
              <w:t>iCLICK INTERACTIVE ASIA GROUP LIMITED</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0"/>
        </w:trPr>
        <w:tc>
          <w:tcPr>
            <w:tcW w:w="380" w:type="dxa"/>
            <w:vAlign w:val="bottom"/>
          </w:tcPr>
          <w:p>
            <w:pPr>
              <w:spacing w:after="0"/>
              <w:rPr>
                <w:sz w:val="24"/>
                <w:szCs w:val="24"/>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(US$’000, except share data and per share data, or otherwise noted)</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10</w:t>
            </w:r>
          </w:p>
        </w:tc>
        <w:tc>
          <w:tcPr>
            <w:tcW w:w="81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Intangible assets, net</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8120" w:type="dxa"/>
            <w:vAlign w:val="bottom"/>
            <w:gridSpan w:val="2"/>
          </w:tcPr>
          <w:p>
            <w:pPr>
              <w:ind w:left="200"/>
              <w:spacing w:after="0"/>
              <w:rPr>
                <w:sz w:val="20"/>
                <w:szCs w:val="20"/>
                <w:color w:val="auto"/>
              </w:rPr>
            </w:pPr>
            <w:r>
              <w:rPr>
                <w:rFonts w:ascii="Arial" w:cs="Arial" w:eastAsia="Arial" w:hAnsi="Arial"/>
                <w:sz w:val="18"/>
                <w:szCs w:val="18"/>
                <w:color w:val="auto"/>
              </w:rPr>
              <w:t>Intangible assets consist of the following:</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4"/>
                <w:szCs w:val="14"/>
                <w:color w:val="auto"/>
              </w:rPr>
              <w:t>As of December 31,</w:t>
            </w:r>
          </w:p>
        </w:tc>
      </w:tr>
      <w:tr>
        <w:trPr>
          <w:trHeight w:val="167"/>
        </w:trPr>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color w:val="auto"/>
              </w:rPr>
              <w:t>2016</w:t>
            </w:r>
          </w:p>
        </w:tc>
        <w:tc>
          <w:tcPr>
            <w:tcW w:w="260" w:type="dxa"/>
            <w:vAlign w:val="bottom"/>
          </w:tcPr>
          <w:p>
            <w:pPr>
              <w:spacing w:after="0"/>
              <w:rPr>
                <w:sz w:val="14"/>
                <w:szCs w:val="14"/>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21,576</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21,593</w:t>
            </w:r>
          </w:p>
        </w:tc>
        <w:tc>
          <w:tcPr>
            <w:tcW w:w="12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20" w:type="dxa"/>
            <w:vAlign w:val="bottom"/>
          </w:tcPr>
          <w:p>
            <w:pPr>
              <w:ind w:left="360"/>
              <w:spacing w:after="0"/>
              <w:rPr>
                <w:sz w:val="20"/>
                <w:szCs w:val="20"/>
                <w:color w:val="auto"/>
              </w:rPr>
            </w:pPr>
            <w:r>
              <w:rPr>
                <w:rFonts w:ascii="Arial" w:cs="Arial" w:eastAsia="Arial" w:hAnsi="Arial"/>
                <w:sz w:val="18"/>
                <w:szCs w:val="18"/>
                <w:color w:val="auto"/>
              </w:rPr>
              <w:t>Computer software</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(6,773)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(10,994)</w:t>
            </w: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8120" w:type="dxa"/>
            <w:vAlign w:val="bottom"/>
            <w:gridSpan w:val="2"/>
          </w:tcPr>
          <w:p>
            <w:pPr>
              <w:ind w:left="1000"/>
              <w:spacing w:after="0"/>
              <w:rPr>
                <w:sz w:val="20"/>
                <w:szCs w:val="20"/>
                <w:color w:val="auto"/>
              </w:rPr>
            </w:pPr>
            <w:r>
              <w:rPr>
                <w:rFonts w:ascii="Arial" w:cs="Arial" w:eastAsia="Arial" w:hAnsi="Arial"/>
                <w:sz w:val="18"/>
                <w:szCs w:val="18"/>
                <w:color w:val="auto"/>
              </w:rPr>
              <w:t>Intangible assets, net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14,804</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10,600</w:t>
            </w:r>
          </w:p>
        </w:tc>
        <w:tc>
          <w:tcPr>
            <w:tcW w:w="12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Amortization expense recognized for the years ended December 31, 2015, 2016 and 2017 are summarized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360" w:type="dxa"/>
            <w:vAlign w:val="bottom"/>
            <w:gridSpan w:val="6"/>
          </w:tcPr>
          <w:p>
            <w:pPr>
              <w:ind w:left="160"/>
              <w:spacing w:after="0"/>
              <w:rPr>
                <w:sz w:val="20"/>
                <w:szCs w:val="20"/>
                <w:color w:val="auto"/>
              </w:rPr>
            </w:pPr>
            <w:r>
              <w:rPr>
                <w:rFonts w:ascii="Arial" w:cs="Arial" w:eastAsia="Arial" w:hAnsi="Arial"/>
                <w:sz w:val="14"/>
                <w:szCs w:val="14"/>
                <w:color w:val="auto"/>
              </w:rPr>
              <w:t>For the years ended December 31,</w:t>
            </w:r>
          </w:p>
        </w:tc>
      </w:tr>
      <w:tr>
        <w:trPr>
          <w:trHeight w:val="167"/>
        </w:trPr>
        <w:tc>
          <w:tcPr>
            <w:tcW w:w="632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color w:val="auto"/>
              </w:rPr>
              <w:t>2015</w:t>
            </w:r>
          </w:p>
        </w:tc>
        <w:tc>
          <w:tcPr>
            <w:tcW w:w="880" w:type="dxa"/>
            <w:vAlign w:val="bottom"/>
            <w:gridSpan w:val="2"/>
          </w:tcPr>
          <w:p>
            <w:pPr>
              <w:jc w:val="right"/>
              <w:ind w:right="50"/>
              <w:spacing w:after="0"/>
              <w:rPr>
                <w:sz w:val="20"/>
                <w:szCs w:val="20"/>
                <w:color w:val="auto"/>
              </w:rPr>
            </w:pPr>
            <w:r>
              <w:rPr>
                <w:rFonts w:ascii="Arial" w:cs="Arial" w:eastAsia="Arial" w:hAnsi="Arial"/>
                <w:sz w:val="14"/>
                <w:szCs w:val="14"/>
                <w:color w:val="auto"/>
              </w:rPr>
              <w:t>2016</w:t>
            </w:r>
          </w:p>
        </w:tc>
        <w:tc>
          <w:tcPr>
            <w:tcW w:w="880" w:type="dxa"/>
            <w:vAlign w:val="bottom"/>
            <w:gridSpan w:val="2"/>
          </w:tcPr>
          <w:p>
            <w:pPr>
              <w:jc w:val="right"/>
              <w:ind w:right="7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6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60" w:type="dxa"/>
            <w:vAlign w:val="bottom"/>
            <w:shd w:val="clear" w:color="auto" w:fill="CCEEFF"/>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estimated aggregate amortization expense for each of the next five years as of December 31, 2017 is: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6420" w:type="dxa"/>
            <w:vAlign w:val="bottom"/>
            <w:gridSpan w:val="3"/>
          </w:tcPr>
          <w:p>
            <w:pPr>
              <w:jc w:val="center"/>
              <w:ind w:left="5634"/>
              <w:spacing w:after="0"/>
              <w:rPr>
                <w:sz w:val="20"/>
                <w:szCs w:val="20"/>
                <w:color w:val="auto"/>
              </w:rPr>
            </w:pPr>
            <w:r>
              <w:rPr>
                <w:rFonts w:ascii="Arial" w:cs="Arial" w:eastAsia="Arial" w:hAnsi="Arial"/>
                <w:sz w:val="14"/>
                <w:szCs w:val="14"/>
                <w:color w:val="auto"/>
                <w:w w:val="94"/>
              </w:rPr>
              <w:t>Computer</w:t>
            </w:r>
          </w:p>
        </w:tc>
      </w:tr>
      <w:tr>
        <w:trPr>
          <w:trHeight w:val="181"/>
        </w:trPr>
        <w:tc>
          <w:tcPr>
            <w:tcW w:w="226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software</w:t>
            </w:r>
          </w:p>
        </w:tc>
      </w:tr>
      <w:tr>
        <w:trPr>
          <w:trHeight w:val="216"/>
        </w:trPr>
        <w:tc>
          <w:tcPr>
            <w:tcW w:w="226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84"/>
              </w:rPr>
              <w:t>2018</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jc w:val="right"/>
              <w:ind w:right="1810"/>
              <w:spacing w:after="0"/>
              <w:rPr>
                <w:sz w:val="20"/>
                <w:szCs w:val="20"/>
                <w:color w:val="auto"/>
              </w:rPr>
            </w:pPr>
            <w:r>
              <w:rPr>
                <w:rFonts w:ascii="Arial" w:cs="Arial" w:eastAsia="Arial" w:hAnsi="Arial"/>
                <w:sz w:val="18"/>
                <w:szCs w:val="18"/>
                <w:color w:val="auto"/>
                <w:w w:val="84"/>
              </w:rPr>
              <w:t>2019</w:t>
            </w:r>
          </w:p>
        </w:tc>
        <w:tc>
          <w:tcPr>
            <w:tcW w:w="6360" w:type="dxa"/>
            <w:vAlign w:val="bottom"/>
            <w:gridSpan w:val="2"/>
          </w:tcPr>
          <w:p>
            <w:pPr>
              <w:jc w:val="right"/>
              <w:spacing w:after="0"/>
              <w:rPr>
                <w:sz w:val="20"/>
                <w:szCs w:val="20"/>
                <w:color w:val="auto"/>
              </w:rPr>
            </w:pPr>
            <w:r>
              <w:rPr>
                <w:rFonts w:ascii="Arial" w:cs="Arial" w:eastAsia="Arial" w:hAnsi="Arial"/>
                <w:sz w:val="18"/>
                <w:szCs w:val="18"/>
                <w:color w:val="auto"/>
              </w:rPr>
              <w:t>4,149</w:t>
            </w:r>
          </w:p>
        </w:tc>
        <w:tc>
          <w:tcPr>
            <w:tcW w:w="60" w:type="dxa"/>
            <w:vAlign w:val="bottom"/>
          </w:tcPr>
          <w:p>
            <w:pPr>
              <w:spacing w:after="0"/>
              <w:rPr>
                <w:sz w:val="18"/>
                <w:szCs w:val="18"/>
                <w:color w:val="auto"/>
              </w:rPr>
            </w:pPr>
          </w:p>
        </w:tc>
      </w:tr>
      <w:tr>
        <w:trPr>
          <w:trHeight w:val="216"/>
        </w:trPr>
        <w:tc>
          <w:tcPr>
            <w:tcW w:w="226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84"/>
              </w:rPr>
              <w:t>2020</w:t>
            </w:r>
          </w:p>
        </w:tc>
        <w:tc>
          <w:tcPr>
            <w:tcW w:w="6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jc w:val="right"/>
              <w:ind w:right="1810"/>
              <w:spacing w:after="0"/>
              <w:rPr>
                <w:sz w:val="20"/>
                <w:szCs w:val="20"/>
                <w:color w:val="auto"/>
              </w:rPr>
            </w:pPr>
            <w:r>
              <w:rPr>
                <w:rFonts w:ascii="Arial" w:cs="Arial" w:eastAsia="Arial" w:hAnsi="Arial"/>
                <w:sz w:val="18"/>
                <w:szCs w:val="18"/>
                <w:color w:val="auto"/>
                <w:w w:val="84"/>
              </w:rPr>
              <w:t>2021</w:t>
            </w:r>
          </w:p>
        </w:tc>
        <w:tc>
          <w:tcPr>
            <w:tcW w:w="578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26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84"/>
              </w:rPr>
              <w:t>2022</w:t>
            </w:r>
          </w:p>
        </w:tc>
        <w:tc>
          <w:tcPr>
            <w:tcW w:w="5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23"/>
        </w:trPr>
        <w:tc>
          <w:tcPr>
            <w:tcW w:w="226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10,600</w:t>
            </w:r>
          </w:p>
        </w:tc>
        <w:tc>
          <w:tcPr>
            <w:tcW w:w="6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260" w:type="dxa"/>
            <w:vAlign w:val="bottom"/>
          </w:tcPr>
          <w:p>
            <w:pPr>
              <w:spacing w:after="0"/>
              <w:rPr>
                <w:sz w:val="24"/>
                <w:szCs w:val="24"/>
                <w:color w:val="auto"/>
              </w:rPr>
            </w:pPr>
          </w:p>
        </w:tc>
        <w:tc>
          <w:tcPr>
            <w:tcW w:w="6420" w:type="dxa"/>
            <w:vAlign w:val="bottom"/>
            <w:gridSpan w:val="3"/>
          </w:tcPr>
          <w:p>
            <w:pPr>
              <w:ind w:left="1900"/>
              <w:spacing w:after="0"/>
              <w:rPr>
                <w:sz w:val="20"/>
                <w:szCs w:val="20"/>
                <w:color w:val="auto"/>
              </w:rPr>
            </w:pPr>
            <w:r>
              <w:rPr>
                <w:rFonts w:ascii="Arial" w:cs="Arial" w:eastAsia="Arial" w:hAnsi="Arial"/>
                <w:sz w:val="18"/>
                <w:szCs w:val="18"/>
                <w:color w:val="auto"/>
              </w:rPr>
              <w:t>F-43</w:t>
            </w:r>
          </w:p>
        </w:tc>
      </w:tr>
    </w:tbl>
    <w:p>
      <w:pPr>
        <w:sectPr>
          <w:pgSz w:w="11900" w:h="16838" w:orient="portrait"/>
          <w:cols w:equalWidth="0" w:num="1">
            <w:col w:w="10219"/>
          </w:cols>
          <w:pgMar w:left="240" w:top="460" w:right="1440"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6280" w:type="dxa"/>
            <w:vAlign w:val="bottom"/>
            <w:gridSpan w:val="2"/>
          </w:tcPr>
          <w:p>
            <w:pPr>
              <w:ind w:left="200"/>
              <w:spacing w:after="0"/>
              <w:rPr>
                <w:sz w:val="20"/>
                <w:szCs w:val="20"/>
                <w:color w:val="auto"/>
              </w:rPr>
            </w:pPr>
            <w:r>
              <w:rPr>
                <w:rFonts w:ascii="Arial" w:cs="Arial" w:eastAsia="Arial" w:hAnsi="Arial"/>
                <w:sz w:val="18"/>
                <w:szCs w:val="18"/>
                <w:b w:val="1"/>
                <w:bCs w:val="1"/>
                <w:color w:val="auto"/>
              </w:rPr>
              <w:t>iCLICK INTERACTIVE ASIA GROUP LIMITED</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380" w:type="dxa"/>
            <w:vAlign w:val="bottom"/>
          </w:tcPr>
          <w:p>
            <w:pPr>
              <w:spacing w:after="0"/>
              <w:rPr>
                <w:sz w:val="24"/>
                <w:szCs w:val="24"/>
                <w:color w:val="auto"/>
              </w:rPr>
            </w:pPr>
          </w:p>
        </w:tc>
        <w:tc>
          <w:tcPr>
            <w:tcW w:w="628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6280" w:type="dxa"/>
            <w:vAlign w:val="bottom"/>
            <w:gridSpan w:val="2"/>
          </w:tcPr>
          <w:p>
            <w:pPr>
              <w:ind w:left="200"/>
              <w:spacing w:after="0"/>
              <w:rPr>
                <w:sz w:val="20"/>
                <w:szCs w:val="20"/>
                <w:color w:val="auto"/>
              </w:rPr>
            </w:pPr>
            <w:r>
              <w:rPr>
                <w:rFonts w:ascii="Arial" w:cs="Arial" w:eastAsia="Arial" w:hAnsi="Arial"/>
                <w:sz w:val="18"/>
                <w:szCs w:val="18"/>
                <w:color w:val="auto"/>
              </w:rPr>
              <w:t>(US$’000, except share data and per share data, or otherwise noted)</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5"/>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11</w:t>
            </w:r>
          </w:p>
        </w:tc>
        <w:tc>
          <w:tcPr>
            <w:tcW w:w="6280" w:type="dxa"/>
            <w:vAlign w:val="bottom"/>
            <w:gridSpan w:val="2"/>
          </w:tcPr>
          <w:p>
            <w:pPr>
              <w:ind w:left="200"/>
              <w:spacing w:after="0"/>
              <w:rPr>
                <w:sz w:val="20"/>
                <w:szCs w:val="20"/>
                <w:color w:val="auto"/>
              </w:rPr>
            </w:pPr>
            <w:r>
              <w:rPr>
                <w:rFonts w:ascii="Arial" w:cs="Arial" w:eastAsia="Arial" w:hAnsi="Arial"/>
                <w:sz w:val="18"/>
                <w:szCs w:val="18"/>
                <w:b w:val="1"/>
                <w:bCs w:val="1"/>
                <w:color w:val="auto"/>
              </w:rPr>
              <w:t>Goodwill</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380" w:type="dxa"/>
            <w:vAlign w:val="bottom"/>
          </w:tcPr>
          <w:p>
            <w:pPr>
              <w:spacing w:after="0"/>
              <w:rPr>
                <w:sz w:val="24"/>
                <w:szCs w:val="24"/>
                <w:color w:val="auto"/>
              </w:rPr>
            </w:pPr>
          </w:p>
        </w:tc>
        <w:tc>
          <w:tcPr>
            <w:tcW w:w="6280" w:type="dxa"/>
            <w:vAlign w:val="bottom"/>
            <w:gridSpan w:val="2"/>
          </w:tcPr>
          <w:p>
            <w:pPr>
              <w:ind w:left="200"/>
              <w:spacing w:after="0"/>
              <w:rPr>
                <w:sz w:val="20"/>
                <w:szCs w:val="20"/>
                <w:color w:val="auto"/>
              </w:rPr>
            </w:pPr>
            <w:r>
              <w:rPr>
                <w:rFonts w:ascii="Arial" w:cs="Arial" w:eastAsia="Arial" w:hAnsi="Arial"/>
                <w:sz w:val="18"/>
                <w:szCs w:val="18"/>
                <w:color w:val="auto"/>
              </w:rPr>
              <w:t>Movements on goodwill during the year were as follows: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2"/>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4"/>
                <w:szCs w:val="14"/>
                <w:color w:val="auto"/>
              </w:rPr>
              <w:t>Buzzinate</w:t>
            </w:r>
          </w:p>
        </w:tc>
        <w:tc>
          <w:tcPr>
            <w:tcW w:w="380" w:type="dxa"/>
            <w:vAlign w:val="bottom"/>
          </w:tcPr>
          <w:p>
            <w:pPr>
              <w:spacing w:after="0"/>
              <w:rPr>
                <w:sz w:val="24"/>
                <w:szCs w:val="24"/>
                <w:color w:val="auto"/>
              </w:rPr>
            </w:pPr>
          </w:p>
        </w:tc>
        <w:tc>
          <w:tcPr>
            <w:tcW w:w="560" w:type="dxa"/>
            <w:vAlign w:val="bottom"/>
          </w:tcPr>
          <w:p>
            <w:pPr>
              <w:ind w:left="40"/>
              <w:spacing w:after="0"/>
              <w:rPr>
                <w:sz w:val="20"/>
                <w:szCs w:val="20"/>
                <w:color w:val="auto"/>
              </w:rPr>
            </w:pPr>
            <w:r>
              <w:rPr>
                <w:rFonts w:ascii="Arial" w:cs="Arial" w:eastAsia="Arial" w:hAnsi="Arial"/>
                <w:sz w:val="14"/>
                <w:szCs w:val="14"/>
                <w:color w:val="auto"/>
              </w:rPr>
              <w:t>OptAim</w:t>
            </w:r>
          </w:p>
        </w:tc>
        <w:tc>
          <w:tcPr>
            <w:tcW w:w="360" w:type="dxa"/>
            <w:vAlign w:val="bottom"/>
          </w:tcPr>
          <w:p>
            <w:pPr>
              <w:spacing w:after="0"/>
              <w:rPr>
                <w:sz w:val="24"/>
                <w:szCs w:val="2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Total</w:t>
            </w: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2016, December 31, 2016 and 2017</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0"/>
              </w:rPr>
              <w:t>45,538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48,496</w:t>
            </w:r>
          </w:p>
        </w:tc>
        <w:tc>
          <w:tcPr>
            <w:tcW w:w="60" w:type="dxa"/>
            <w:vAlign w:val="bottom"/>
            <w:shd w:val="clear" w:color="auto" w:fill="CCEEFF"/>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using a two-step process as explained in Note 2(q). In the first step of the goodwill impairment test, the Group estimated the fair value of its reporting unit using the market approach. Under the market approach, the Company utilized the market capitalization of its publicly-traded shares to determine the fair value of the Group, as a single reporting unit. According to the assessment of the first step, the fair value of the reporting unit exceeded its carrying amount and goodwill was not considered impaired. Accordingly, the second step was not required. Based on the impairment tests performed, no impairment of goodwill was recorded for all years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12</w:t>
            </w:r>
          </w:p>
        </w:tc>
        <w:tc>
          <w:tcPr>
            <w:tcW w:w="8200" w:type="dxa"/>
            <w:vAlign w:val="bottom"/>
            <w:gridSpan w:val="2"/>
          </w:tcPr>
          <w:p>
            <w:pPr>
              <w:ind w:left="200"/>
              <w:spacing w:after="0"/>
              <w:rPr>
                <w:sz w:val="20"/>
                <w:szCs w:val="20"/>
                <w:color w:val="auto"/>
              </w:rPr>
            </w:pPr>
            <w:r>
              <w:rPr>
                <w:rFonts w:ascii="Arial" w:cs="Arial" w:eastAsia="Arial" w:hAnsi="Arial"/>
                <w:sz w:val="18"/>
                <w:szCs w:val="18"/>
                <w:b w:val="1"/>
                <w:bCs w:val="1"/>
                <w:color w:val="auto"/>
              </w:rPr>
              <w:t>Deferred revenue</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3"/>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color w:val="auto"/>
              </w:rPr>
              <w:t>As of December 31,</w:t>
            </w:r>
          </w:p>
        </w:tc>
      </w:tr>
      <w:tr>
        <w:trPr>
          <w:trHeight w:val="167"/>
        </w:trPr>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rPr>
              <w:t>2016</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25,697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33,037</w:t>
            </w:r>
          </w:p>
        </w:tc>
        <w:tc>
          <w:tcPr>
            <w:tcW w:w="60" w:type="dxa"/>
            <w:vAlign w:val="bottom"/>
            <w:shd w:val="clear" w:color="auto" w:fill="CCEEFF"/>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13</w:t>
            </w:r>
          </w:p>
        </w:tc>
        <w:tc>
          <w:tcPr>
            <w:tcW w:w="8200" w:type="dxa"/>
            <w:vAlign w:val="bottom"/>
            <w:gridSpan w:val="2"/>
          </w:tcPr>
          <w:p>
            <w:pPr>
              <w:ind w:left="200"/>
              <w:spacing w:after="0"/>
              <w:rPr>
                <w:sz w:val="20"/>
                <w:szCs w:val="20"/>
                <w:color w:val="auto"/>
              </w:rPr>
            </w:pPr>
            <w:r>
              <w:rPr>
                <w:rFonts w:ascii="Arial" w:cs="Arial" w:eastAsia="Arial" w:hAnsi="Arial"/>
                <w:sz w:val="18"/>
                <w:szCs w:val="18"/>
                <w:b w:val="1"/>
                <w:bCs w:val="1"/>
                <w:color w:val="auto"/>
              </w:rPr>
              <w:t>Accrued liabilities and other current liabilities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73"/>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color w:val="auto"/>
              </w:rPr>
              <w:t>As of December 31,</w:t>
            </w:r>
          </w:p>
        </w:tc>
      </w:tr>
      <w:tr>
        <w:trPr>
          <w:trHeight w:val="167"/>
        </w:trPr>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rPr>
              <w:t>2016</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Rebates payable to customers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VAT and other taxes payable</w:t>
            </w:r>
          </w:p>
        </w:tc>
        <w:tc>
          <w:tcPr>
            <w:tcW w:w="560" w:type="dxa"/>
            <w:vAlign w:val="bottom"/>
          </w:tcPr>
          <w:p>
            <w:pPr>
              <w:jc w:val="right"/>
              <w:spacing w:after="0"/>
              <w:rPr>
                <w:sz w:val="20"/>
                <w:szCs w:val="20"/>
                <w:color w:val="auto"/>
              </w:rPr>
            </w:pPr>
            <w:r>
              <w:rPr>
                <w:rFonts w:ascii="Arial" w:cs="Arial" w:eastAsia="Arial" w:hAnsi="Arial"/>
                <w:sz w:val="18"/>
                <w:szCs w:val="18"/>
                <w:color w:val="auto"/>
              </w:rPr>
              <w:t>1,679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2,659</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 received from customers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560" w:type="dxa"/>
            <w:vAlign w:val="bottom"/>
          </w:tcPr>
          <w:p>
            <w:pPr>
              <w:jc w:val="right"/>
              <w:spacing w:after="0"/>
              <w:rPr>
                <w:sz w:val="20"/>
                <w:szCs w:val="20"/>
                <w:color w:val="auto"/>
              </w:rPr>
            </w:pPr>
            <w:r>
              <w:rPr>
                <w:rFonts w:ascii="Arial" w:cs="Arial" w:eastAsia="Arial" w:hAnsi="Arial"/>
                <w:sz w:val="18"/>
                <w:szCs w:val="18"/>
                <w:color w:val="auto"/>
              </w:rPr>
              <w:t>3,257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2,741</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6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Accrued marketing and hosting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1,424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1,831</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6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15,091</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16,129</w:t>
            </w:r>
          </w:p>
        </w:tc>
        <w:tc>
          <w:tcPr>
            <w:tcW w:w="6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14</w:t>
            </w:r>
          </w:p>
        </w:tc>
        <w:tc>
          <w:tcPr>
            <w:tcW w:w="8200" w:type="dxa"/>
            <w:vAlign w:val="bottom"/>
            <w:gridSpan w:val="2"/>
          </w:tcPr>
          <w:p>
            <w:pPr>
              <w:ind w:left="200"/>
              <w:spacing w:after="0"/>
              <w:rPr>
                <w:sz w:val="20"/>
                <w:szCs w:val="20"/>
                <w:color w:val="auto"/>
              </w:rPr>
            </w:pPr>
            <w:r>
              <w:rPr>
                <w:rFonts w:ascii="Arial" w:cs="Arial" w:eastAsia="Arial" w:hAnsi="Arial"/>
                <w:sz w:val="18"/>
                <w:szCs w:val="18"/>
                <w:b w:val="1"/>
                <w:bCs w:val="1"/>
                <w:color w:val="auto"/>
              </w:rPr>
              <w:t>Bank borrowings</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480" w:type="dxa"/>
            <w:vAlign w:val="bottom"/>
            <w:gridSpan w:val="4"/>
          </w:tcPr>
          <w:p>
            <w:pPr>
              <w:jc w:val="right"/>
              <w:ind w:righ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2016</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(vii))</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1-year revolving loan denominated in US$ (Note (ii), (vii))</w:t>
            </w:r>
          </w:p>
        </w:tc>
        <w:tc>
          <w:tcPr>
            <w:tcW w:w="560" w:type="dxa"/>
            <w:vAlign w:val="bottom"/>
          </w:tcPr>
          <w:p>
            <w:pPr>
              <w:jc w:val="right"/>
              <w:spacing w:after="0"/>
              <w:rPr>
                <w:sz w:val="20"/>
                <w:szCs w:val="20"/>
                <w:color w:val="auto"/>
              </w:rPr>
            </w:pPr>
            <w:r>
              <w:rPr>
                <w:rFonts w:ascii="Arial" w:cs="Arial" w:eastAsia="Arial" w:hAnsi="Arial"/>
                <w:sz w:val="18"/>
                <w:szCs w:val="18"/>
                <w:color w:val="auto"/>
              </w:rPr>
              <w:t>2,950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2-year demand loan agreement denominated in US$ (Note (iii), (vii))</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6-month revolving loan denominated in RMB (Note (iv))</w:t>
            </w:r>
          </w:p>
        </w:tc>
        <w:tc>
          <w:tcPr>
            <w:tcW w:w="560" w:type="dxa"/>
            <w:vAlign w:val="bottom"/>
          </w:tcPr>
          <w:p>
            <w:pPr>
              <w:jc w:val="right"/>
              <w:spacing w:after="0"/>
              <w:rPr>
                <w:sz w:val="20"/>
                <w:szCs w:val="20"/>
                <w:color w:val="auto"/>
              </w:rPr>
            </w:pPr>
            <w:r>
              <w:rPr>
                <w:rFonts w:ascii="Arial" w:cs="Arial" w:eastAsia="Arial" w:hAnsi="Arial"/>
                <w:sz w:val="18"/>
                <w:szCs w:val="18"/>
                <w:color w:val="auto"/>
              </w:rPr>
              <w:t>1,444</w:t>
            </w:r>
          </w:p>
        </w:tc>
        <w:tc>
          <w:tcPr>
            <w:tcW w:w="30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(v), (vii))</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3-month loan denominated in RMB (Note (vi), (vii))</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30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12,982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0" w:type="dxa"/>
            <w:vAlign w:val="bottom"/>
            <w:vMerge w:val="restart"/>
          </w:tcPr>
          <w:p>
            <w:pPr>
              <w:ind w:left="4160"/>
              <w:spacing w:after="0"/>
              <w:rPr>
                <w:sz w:val="20"/>
                <w:szCs w:val="20"/>
                <w:color w:val="auto"/>
              </w:rPr>
            </w:pPr>
            <w:r>
              <w:rPr>
                <w:rFonts w:ascii="Arial" w:cs="Arial" w:eastAsia="Arial" w:hAnsi="Arial"/>
                <w:sz w:val="18"/>
                <w:szCs w:val="18"/>
                <w:color w:val="auto"/>
              </w:rPr>
              <w:t>F-44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8540" w:hanging="572"/>
        <w:spacing w:after="0" w:line="409" w:lineRule="auto"/>
        <w:tabs>
          <w:tab w:leader="none" w:pos="577"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Bank borrowings (Continued) </w:t>
      </w:r>
      <w:r>
        <w:rPr>
          <w:rFonts w:ascii="Arial" w:cs="Arial" w:eastAsia="Arial" w:hAnsi="Arial"/>
          <w:sz w:val="18"/>
          <w:szCs w:val="18"/>
          <w:color w:val="auto"/>
        </w:rPr>
        <w:t>Note:</w:t>
      </w:r>
    </w:p>
    <w:p>
      <w:pPr>
        <w:ind w:left="1140" w:right="140" w:hanging="565"/>
        <w:spacing w:after="0" w:line="279" w:lineRule="auto"/>
        <w:tabs>
          <w:tab w:leader="none" w:pos="11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On December 19, 2016, the Company, through its PRC subsidiaries, renewed a one-year revolving loan agreement with a bank amounting to RMB30 million (equivalent to US$4,330). The interest rate of this loan facility was the benchmark interest rate determined by the People’s Bank of China for loans over one year granted by financial institutions plus 1.65% per annum. This loan was subsequently renewed for one year in December 2017 amounting to RMB50 million (equivalent to US$7,603) at the same interest rate.</w:t>
      </w:r>
    </w:p>
    <w:p>
      <w:pPr>
        <w:spacing w:after="0" w:line="76" w:lineRule="exact"/>
        <w:rPr>
          <w:rFonts w:ascii="Arial" w:cs="Arial" w:eastAsia="Arial" w:hAnsi="Arial"/>
          <w:sz w:val="17"/>
          <w:szCs w:val="17"/>
          <w:color w:val="auto"/>
        </w:rPr>
      </w:pPr>
    </w:p>
    <w:p>
      <w:pPr>
        <w:ind w:left="1140" w:hanging="565"/>
        <w:spacing w:after="0" w:line="259" w:lineRule="auto"/>
        <w:tabs>
          <w:tab w:leader="none" w:pos="11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On December 21, 2016, the Company, through its Hong Kong subsidiaries, renewed a one-year loan facility agreement with a bank amounting to US$3,000. Out of this loan facility, the Hong Kong subsidiary had utilized US$2,950 and US$ 2,800 as of December 31, 2016 and 2017, respectively. The interest rate of this short-term loan facility was determined by three-month LIBOR plus 5.75% and three-month LIBOR plus 5.55% for the years ended December 31, 2016 and 2017.</w:t>
      </w:r>
    </w:p>
    <w:p>
      <w:pPr>
        <w:spacing w:after="0" w:line="92" w:lineRule="exact"/>
        <w:rPr>
          <w:rFonts w:ascii="Arial" w:cs="Arial" w:eastAsia="Arial" w:hAnsi="Arial"/>
          <w:sz w:val="18"/>
          <w:szCs w:val="18"/>
          <w:color w:val="auto"/>
        </w:rPr>
      </w:pPr>
    </w:p>
    <w:p>
      <w:pPr>
        <w:ind w:left="1140" w:right="300" w:hanging="565"/>
        <w:spacing w:after="0" w:line="257" w:lineRule="auto"/>
        <w:tabs>
          <w:tab w:leader="none" w:pos="11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On January 20, 2016, the Company, through its Hong Kong subsidiaries, entered into a two-year loan agreement with a bank amounting to US$2,000. Out of this loan facility, the Hong Kong subsidiaries had utilized US$1,083 and US$83 as of December 31, 2016 and 2017, respectively. The interest rate of this loan was the benchmark interest rate determined by three-month LIBOR plus 7.00% per annum. The bank facility agreement includes repayable on demand clauses such that the bank borrowing are classified as current liabilities as of December 31, 2016 and 2017.</w:t>
      </w:r>
    </w:p>
    <w:p>
      <w:pPr>
        <w:spacing w:after="0" w:line="93" w:lineRule="exact"/>
        <w:rPr>
          <w:rFonts w:ascii="Arial" w:cs="Arial" w:eastAsia="Arial" w:hAnsi="Arial"/>
          <w:sz w:val="18"/>
          <w:szCs w:val="18"/>
          <w:color w:val="auto"/>
        </w:rPr>
      </w:pPr>
    </w:p>
    <w:p>
      <w:pPr>
        <w:ind w:left="1140" w:right="100" w:hanging="565"/>
        <w:spacing w:after="0" w:line="276" w:lineRule="auto"/>
        <w:tabs>
          <w:tab w:leader="none" w:pos="114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On May 20, 2016, the Company, through one of its PRC subsidiaries, entered into a six-month revolving loan agreement with a bank of limit up to RMB20 million. Out of this loan facility, the PRC subsidiary had utilized RMB10 million (equivalent to US$1,444) as of December 31, 2016. The interest rate of this loan facility was the benchmark interest rate determined by the People’s Bank of China for loans over six months granted by financial institutions plus 20.0% per annum. Restricted cash amounting to US$1,568 was held as required by this loan agreement as of December 31, 2016. The loan was repaid on January 13, 2017.</w:t>
      </w:r>
    </w:p>
    <w:p>
      <w:pPr>
        <w:spacing w:after="0" w:line="77" w:lineRule="exact"/>
        <w:rPr>
          <w:rFonts w:ascii="Arial" w:cs="Arial" w:eastAsia="Arial" w:hAnsi="Arial"/>
          <w:sz w:val="17"/>
          <w:szCs w:val="17"/>
          <w:color w:val="auto"/>
        </w:rPr>
      </w:pPr>
    </w:p>
    <w:p>
      <w:pPr>
        <w:ind w:left="1140" w:right="20" w:hanging="565"/>
        <w:spacing w:after="0" w:line="257" w:lineRule="auto"/>
        <w:tabs>
          <w:tab w:leader="none" w:pos="11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On July 28, 2016, the Company, through one of its PRC subsidiaries, entered into a one-year revolving loan agreement with a bank amounting to a total of RMB12 million (equivalent to US$1,732). The interest rate of this loan facility was the benchmark interest rate determined by the People’s Bank of China for loans over one year granted by financial institutions plus 0.435% per annum. Restricted cash amounting to US$2,000 was held in a restricted bank account as required by this loan agreement as of December 31, 2016. The loan was repaid on July 28, 2017.</w:t>
      </w:r>
    </w:p>
    <w:p>
      <w:pPr>
        <w:spacing w:after="0" w:line="93" w:lineRule="exact"/>
        <w:rPr>
          <w:rFonts w:ascii="Arial" w:cs="Arial" w:eastAsia="Arial" w:hAnsi="Arial"/>
          <w:sz w:val="18"/>
          <w:szCs w:val="18"/>
          <w:color w:val="auto"/>
        </w:rPr>
      </w:pPr>
    </w:p>
    <w:p>
      <w:pPr>
        <w:ind w:left="1140" w:right="60" w:hanging="565"/>
        <w:spacing w:after="0" w:line="257" w:lineRule="auto"/>
        <w:tabs>
          <w:tab w:leader="none" w:pos="114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On November 14, 2016, the Company, through one of its PRC subsidiaries, entered into a three-month revolving loan agreement with a bank amounting to a total of RMB10 million (equivalent to US$1,443). The interest rate of this loan facility was the benchmark interest rate determined by the People’s Bank of China for loans over three months granted by financial institutions plus 0.435% per annum. Restricted cash amounting to US$1,666 was held in a restricted bank account as required by this loan agreement as of December 31, 2016. The loan was repaid on February 14, 2017.</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8520" w:hanging="572"/>
        <w:spacing w:after="0" w:line="478" w:lineRule="auto"/>
        <w:tabs>
          <w:tab w:leader="none" w:pos="577"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Bank borrowings (Continued) </w:t>
      </w:r>
      <w:r>
        <w:rPr>
          <w:rFonts w:ascii="Arial" w:cs="Arial" w:eastAsia="Arial" w:hAnsi="Arial"/>
          <w:sz w:val="16"/>
          <w:szCs w:val="16"/>
          <w:color w:val="auto"/>
        </w:rPr>
        <w:t>Note: (Continued)</w:t>
      </w:r>
    </w:p>
    <w:p>
      <w:pPr>
        <w:ind w:left="1140" w:right="120" w:hanging="565"/>
        <w:spacing w:after="0" w:line="259" w:lineRule="auto"/>
        <w:tabs>
          <w:tab w:leader="none" w:pos="11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As of December 31, 2016 and 2017,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As of the date of this report, the bank cannot demand for immediate repayment.</w:t>
      </w:r>
    </w:p>
    <w:p>
      <w:pPr>
        <w:spacing w:after="0" w:line="92" w:lineRule="exact"/>
        <w:rPr>
          <w:rFonts w:ascii="Arial" w:cs="Arial" w:eastAsia="Arial" w:hAnsi="Arial"/>
          <w:sz w:val="18"/>
          <w:szCs w:val="18"/>
          <w:color w:val="auto"/>
        </w:rPr>
      </w:pPr>
    </w:p>
    <w:p>
      <w:pPr>
        <w:ind w:left="1140" w:right="260" w:hanging="565"/>
        <w:spacing w:after="0" w:line="259" w:lineRule="auto"/>
        <w:tabs>
          <w:tab w:leader="none" w:pos="114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March 2017, the Company entered into a facility agreement for working capital loans with a bank, which provides for a RMB30 million (US$4.3 million) 18-month revolving loan. The Company provide corporate guarantee and account receivables as pledge to secure the obligations under this revolving loan. The interest rate of this loan facility is fixed at 5.75% per annum. As of December 31, 2017, the Company had not drawn down under this revolving loan.</w:t>
      </w:r>
    </w:p>
    <w:p>
      <w:pPr>
        <w:spacing w:after="0" w:line="79" w:lineRule="exact"/>
        <w:rPr>
          <w:sz w:val="20"/>
          <w:szCs w:val="20"/>
          <w:color w:val="auto"/>
        </w:rPr>
      </w:pPr>
    </w:p>
    <w:p>
      <w:pPr>
        <w:ind w:left="580" w:right="180"/>
        <w:spacing w:after="0" w:line="264" w:lineRule="auto"/>
        <w:rPr>
          <w:sz w:val="20"/>
          <w:szCs w:val="20"/>
          <w:color w:val="auto"/>
        </w:rPr>
      </w:pPr>
      <w:r>
        <w:rPr>
          <w:rFonts w:ascii="Arial" w:cs="Arial" w:eastAsia="Arial" w:hAnsi="Arial"/>
          <w:sz w:val="18"/>
          <w:szCs w:val="18"/>
          <w:color w:val="auto"/>
        </w:rPr>
        <w:t>The weighted average interest rate for bank loans outstanding as of December 31, 2016 and 2017 was 5.99% and 6.33% per annum, respectively. Other than those shown above, the Company did not have any significant capital and other commitments, long-term obligations, or guarantees as of December 31, 2016 and 2017.</w:t>
      </w:r>
    </w:p>
    <w:p>
      <w:pPr>
        <w:spacing w:after="0" w:line="326" w:lineRule="exact"/>
        <w:rPr>
          <w:sz w:val="20"/>
          <w:szCs w:val="20"/>
          <w:color w:val="auto"/>
        </w:rPr>
      </w:pPr>
    </w:p>
    <w:p>
      <w:pPr>
        <w:ind w:left="580" w:right="7680" w:hanging="572"/>
        <w:spacing w:after="0" w:line="378" w:lineRule="auto"/>
        <w:tabs>
          <w:tab w:leader="none" w:pos="577"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5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7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In December 2017, Series A preferred shares had been automatically converted into 2,476,190 Class A ordinary shares after closing of IPO.</w:t>
      </w:r>
    </w:p>
    <w:p>
      <w:pPr>
        <w:spacing w:after="0" w:line="34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B preferred shares</w:t>
      </w:r>
    </w:p>
    <w:p>
      <w:pPr>
        <w:spacing w:after="0" w:line="117" w:lineRule="exact"/>
        <w:rPr>
          <w:rFonts w:ascii="Arial" w:cs="Arial" w:eastAsia="Arial" w:hAnsi="Arial"/>
          <w:sz w:val="18"/>
          <w:szCs w:val="18"/>
          <w:b w:val="1"/>
          <w:bCs w:val="1"/>
          <w:color w:val="auto"/>
        </w:rPr>
      </w:pPr>
    </w:p>
    <w:p>
      <w:pPr>
        <w:ind w:left="58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6720" w:hanging="572"/>
        <w:spacing w:after="0" w:line="425" w:lineRule="auto"/>
        <w:tabs>
          <w:tab w:leader="none" w:pos="577"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B preferred shares (Continued)</w:t>
      </w:r>
    </w:p>
    <w:p>
      <w:pPr>
        <w:ind w:left="58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7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128" w:lineRule="exact"/>
        <w:rPr>
          <w:rFonts w:ascii="Arial" w:cs="Arial" w:eastAsia="Arial" w:hAnsi="Arial"/>
          <w:sz w:val="18"/>
          <w:szCs w:val="18"/>
          <w:b w:val="1"/>
          <w:bCs w:val="1"/>
          <w:color w:val="auto"/>
        </w:rPr>
      </w:pPr>
    </w:p>
    <w:p>
      <w:pPr>
        <w:ind w:left="58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6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In December 2017, Series B preferred shares had been automatically converted into 1,889,249 Class A ordinary shares after closing of IPO.</w:t>
      </w:r>
    </w:p>
    <w:p>
      <w:pPr>
        <w:spacing w:after="0" w:line="34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C preferred shares</w:t>
      </w:r>
    </w:p>
    <w:p>
      <w:pPr>
        <w:spacing w:after="0" w:line="117" w:lineRule="exact"/>
        <w:rPr>
          <w:rFonts w:ascii="Arial" w:cs="Arial" w:eastAsia="Arial" w:hAnsi="Arial"/>
          <w:sz w:val="18"/>
          <w:szCs w:val="18"/>
          <w:b w:val="1"/>
          <w:bCs w:val="1"/>
          <w:color w:val="auto"/>
        </w:rPr>
      </w:pPr>
    </w:p>
    <w:p>
      <w:pPr>
        <w:jc w:val="both"/>
        <w:ind w:left="580"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73"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In December 2017, Series C preferred shares had been automatically converted into 1,599,186 Class A ordinary shares after closing of IPO.</w:t>
      </w:r>
    </w:p>
    <w:p>
      <w:pPr>
        <w:spacing w:after="0" w:line="344"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 preferred shares</w:t>
      </w:r>
    </w:p>
    <w:p>
      <w:pPr>
        <w:spacing w:after="0" w:line="117" w:lineRule="exact"/>
        <w:rPr>
          <w:rFonts w:ascii="Arial" w:cs="Arial" w:eastAsia="Arial" w:hAnsi="Arial"/>
          <w:sz w:val="18"/>
          <w:szCs w:val="18"/>
          <w:b w:val="1"/>
          <w:bCs w:val="1"/>
          <w:color w:val="auto"/>
        </w:rPr>
      </w:pPr>
    </w:p>
    <w:p>
      <w:pPr>
        <w:jc w:val="both"/>
        <w:ind w:left="580"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73" w:lineRule="exact"/>
        <w:rPr>
          <w:rFonts w:ascii="Arial" w:cs="Arial" w:eastAsia="Arial" w:hAnsi="Arial"/>
          <w:sz w:val="18"/>
          <w:szCs w:val="18"/>
          <w:b w:val="1"/>
          <w:bCs w:val="1"/>
          <w:color w:val="auto"/>
        </w:rPr>
      </w:pPr>
    </w:p>
    <w:p>
      <w:pPr>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2016 is less than US$85,000. Considering the gross billing of the Group as defined in the Series D Agreement for the year ended December 31, 2016 was more than US$85,000, no additional Series D preferred shares were issued. Furthermore, the Company determines that the fair value of this obligation is zero as of December 31, 2016.</w:t>
      </w:r>
    </w:p>
    <w:p>
      <w:pPr>
        <w:spacing w:after="0" w:line="8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In December 2017, Series D preferred shares had been automatically converted into 2,493,018 Class A ordinary shares after closing of IPO.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6700" w:hanging="572"/>
        <w:spacing w:after="0" w:line="401" w:lineRule="auto"/>
        <w:tabs>
          <w:tab w:leader="none" w:pos="577"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 preferred shares</w:t>
      </w:r>
    </w:p>
    <w:p>
      <w:pPr>
        <w:spacing w:after="0" w:line="1" w:lineRule="exact"/>
        <w:rPr>
          <w:rFonts w:ascii="Arial" w:cs="Arial" w:eastAsia="Arial" w:hAnsi="Arial"/>
          <w:sz w:val="18"/>
          <w:szCs w:val="18"/>
          <w:b w:val="1"/>
          <w:bCs w:val="1"/>
          <w:color w:val="auto"/>
        </w:rPr>
      </w:pPr>
    </w:p>
    <w:p>
      <w:pPr>
        <w:jc w:val="both"/>
        <w:ind w:left="58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73" w:lineRule="exact"/>
        <w:rPr>
          <w:rFonts w:ascii="Arial" w:cs="Arial" w:eastAsia="Arial" w:hAnsi="Arial"/>
          <w:sz w:val="18"/>
          <w:szCs w:val="18"/>
          <w:b w:val="1"/>
          <w:bCs w:val="1"/>
          <w:color w:val="auto"/>
        </w:rPr>
      </w:pPr>
    </w:p>
    <w:p>
      <w:pPr>
        <w:ind w:left="580" w:right="780"/>
        <w:spacing w:after="0" w:line="402" w:lineRule="auto"/>
        <w:rPr>
          <w:rFonts w:ascii="Arial" w:cs="Arial" w:eastAsia="Arial" w:hAnsi="Arial"/>
          <w:sz w:val="18"/>
          <w:szCs w:val="18"/>
          <w:b w:val="1"/>
          <w:bCs w:val="1"/>
          <w:color w:val="auto"/>
        </w:rPr>
      </w:pPr>
      <w:r>
        <w:rPr>
          <w:rFonts w:ascii="Arial" w:cs="Arial" w:eastAsia="Arial" w:hAnsi="Arial"/>
          <w:sz w:val="18"/>
          <w:szCs w:val="18"/>
          <w:color w:val="auto"/>
        </w:rPr>
        <w:t>In December 2017, Series E preferred shares had been automatically converted into 1,068,114 Class A ordinary shares after closing of IPO. The key terms of the Series A, B, C, D and E preferred shares are as follows:</w:t>
      </w:r>
    </w:p>
    <w:p>
      <w:pPr>
        <w:spacing w:after="0" w:line="17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117" w:lineRule="exact"/>
        <w:rPr>
          <w:rFonts w:ascii="Arial" w:cs="Arial" w:eastAsia="Arial" w:hAnsi="Arial"/>
          <w:sz w:val="18"/>
          <w:szCs w:val="18"/>
          <w:b w:val="1"/>
          <w:bCs w:val="1"/>
          <w:color w:val="auto"/>
        </w:rPr>
      </w:pPr>
    </w:p>
    <w:p>
      <w:pPr>
        <w:ind w:left="58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75" w:lineRule="exact"/>
        <w:rPr>
          <w:rFonts w:ascii="Arial" w:cs="Arial" w:eastAsia="Arial" w:hAnsi="Arial"/>
          <w:sz w:val="18"/>
          <w:szCs w:val="18"/>
          <w:b w:val="1"/>
          <w:bCs w:val="1"/>
          <w:color w:val="auto"/>
        </w:rPr>
      </w:pPr>
    </w:p>
    <w:p>
      <w:pPr>
        <w:jc w:val="both"/>
        <w:ind w:left="1120" w:right="120" w:hanging="545"/>
        <w:spacing w:after="0" w:line="264" w:lineRule="auto"/>
        <w:tabs>
          <w:tab w:leader="none" w:pos="11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86" w:lineRule="exact"/>
        <w:rPr>
          <w:rFonts w:ascii="Arial" w:cs="Arial" w:eastAsia="Arial" w:hAnsi="Arial"/>
          <w:sz w:val="18"/>
          <w:szCs w:val="18"/>
          <w:color w:val="auto"/>
        </w:rPr>
      </w:pPr>
    </w:p>
    <w:p>
      <w:pPr>
        <w:ind w:left="1120" w:right="180" w:hanging="545"/>
        <w:spacing w:after="0" w:line="342" w:lineRule="auto"/>
        <w:tabs>
          <w:tab w:leader="none" w:pos="1120" w:val="left"/>
        </w:tabs>
        <w:numPr>
          <w:ilvl w:val="1"/>
          <w:numId w:val="157"/>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29" w:lineRule="exact"/>
        <w:rPr>
          <w:rFonts w:ascii="Arial" w:cs="Arial" w:eastAsia="Arial" w:hAnsi="Arial"/>
          <w:sz w:val="16"/>
          <w:szCs w:val="16"/>
          <w:color w:val="auto"/>
        </w:rPr>
      </w:pPr>
    </w:p>
    <w:p>
      <w:pPr>
        <w:ind w:left="1120" w:right="180" w:hanging="545"/>
        <w:spacing w:after="0" w:line="308" w:lineRule="auto"/>
        <w:tabs>
          <w:tab w:leader="none" w:pos="11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51" w:lineRule="exact"/>
        <w:rPr>
          <w:rFonts w:ascii="Arial" w:cs="Arial" w:eastAsia="Arial" w:hAnsi="Arial"/>
          <w:sz w:val="17"/>
          <w:szCs w:val="17"/>
          <w:color w:val="auto"/>
        </w:rPr>
      </w:pPr>
    </w:p>
    <w:p>
      <w:pPr>
        <w:ind w:left="1120" w:right="180" w:hanging="545"/>
        <w:spacing w:after="0" w:line="277" w:lineRule="auto"/>
        <w:tabs>
          <w:tab w:leader="none" w:pos="11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75" w:lineRule="exact"/>
        <w:rPr>
          <w:rFonts w:ascii="Arial" w:cs="Arial" w:eastAsia="Arial" w:hAnsi="Arial"/>
          <w:sz w:val="18"/>
          <w:szCs w:val="18"/>
          <w:color w:val="auto"/>
        </w:rPr>
      </w:pPr>
    </w:p>
    <w:p>
      <w:pPr>
        <w:ind w:left="1120" w:right="40" w:hanging="545"/>
        <w:spacing w:after="0" w:line="277" w:lineRule="auto"/>
        <w:tabs>
          <w:tab w:leader="none" w:pos="11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580" w:right="28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Liquidation preference</w:t>
      </w:r>
    </w:p>
    <w:p>
      <w:pPr>
        <w:spacing w:after="0" w:line="117" w:lineRule="exact"/>
        <w:rPr>
          <w:sz w:val="20"/>
          <w:szCs w:val="20"/>
          <w:color w:val="auto"/>
        </w:rPr>
      </w:pPr>
    </w:p>
    <w:p>
      <w:pPr>
        <w:ind w:left="580"/>
        <w:spacing w:after="0" w:line="293"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00"/>
          </w:cols>
          <w:pgMar w:left="240" w:top="459" w:right="2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6720" w:hanging="572"/>
        <w:spacing w:after="0" w:line="425" w:lineRule="auto"/>
        <w:tabs>
          <w:tab w:leader="none" w:pos="577"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 (Continued)</w:t>
      </w:r>
    </w:p>
    <w:p>
      <w:pPr>
        <w:ind w:left="58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81" w:lineRule="exact"/>
        <w:rPr>
          <w:rFonts w:ascii="Arial" w:cs="Arial" w:eastAsia="Arial" w:hAnsi="Arial"/>
          <w:sz w:val="18"/>
          <w:szCs w:val="18"/>
          <w:b w:val="1"/>
          <w:bCs w:val="1"/>
          <w:color w:val="auto"/>
        </w:rPr>
      </w:pPr>
    </w:p>
    <w:p>
      <w:pPr>
        <w:ind w:left="580" w:right="2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85" w:lineRule="exact"/>
        <w:rPr>
          <w:rFonts w:ascii="Arial" w:cs="Arial" w:eastAsia="Arial" w:hAnsi="Arial"/>
          <w:sz w:val="18"/>
          <w:szCs w:val="18"/>
          <w:b w:val="1"/>
          <w:bCs w:val="1"/>
          <w:color w:val="auto"/>
        </w:rPr>
      </w:pPr>
    </w:p>
    <w:p>
      <w:pPr>
        <w:ind w:left="58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28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117" w:lineRule="exact"/>
        <w:rPr>
          <w:rFonts w:ascii="Arial" w:cs="Arial" w:eastAsia="Arial" w:hAnsi="Arial"/>
          <w:sz w:val="18"/>
          <w:szCs w:val="18"/>
          <w:b w:val="1"/>
          <w:bCs w:val="1"/>
          <w:color w:val="auto"/>
        </w:rPr>
      </w:pPr>
    </w:p>
    <w:p>
      <w:pPr>
        <w:ind w:left="580" w:right="1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50" w:lineRule="exact"/>
        <w:rPr>
          <w:rFonts w:ascii="Arial" w:cs="Arial" w:eastAsia="Arial" w:hAnsi="Arial"/>
          <w:sz w:val="18"/>
          <w:szCs w:val="18"/>
          <w:b w:val="1"/>
          <w:bCs w:val="1"/>
          <w:color w:val="auto"/>
        </w:rPr>
      </w:pPr>
    </w:p>
    <w:p>
      <w:pPr>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each share of the Series A, B, C, D and E preferred shares would automatically be converted into ordinary shares of the Company (i) upon the closing of an initial public offering of the Company’s shares or (ii) upon the election of holders of at least a majority of the then issued and outstanding preferred shares, voting together as a single class on an as-if-converted basis.</w:t>
      </w:r>
    </w:p>
    <w:p>
      <w:pPr>
        <w:spacing w:after="0" w:line="73" w:lineRule="exact"/>
        <w:rPr>
          <w:rFonts w:ascii="Arial" w:cs="Arial" w:eastAsia="Arial" w:hAnsi="Arial"/>
          <w:sz w:val="18"/>
          <w:szCs w:val="18"/>
          <w:b w:val="1"/>
          <w:bCs w:val="1"/>
          <w:color w:val="auto"/>
        </w:rPr>
      </w:pPr>
    </w:p>
    <w:p>
      <w:pPr>
        <w:ind w:left="58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there was no beneficial conversion feature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28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Anti-dilution provision</w:t>
      </w:r>
    </w:p>
    <w:p>
      <w:pPr>
        <w:spacing w:after="0" w:line="117" w:lineRule="exact"/>
        <w:rPr>
          <w:rFonts w:ascii="Arial" w:cs="Arial" w:eastAsia="Arial" w:hAnsi="Arial"/>
          <w:sz w:val="18"/>
          <w:szCs w:val="18"/>
          <w:b w:val="1"/>
          <w:bCs w:val="1"/>
          <w:color w:val="auto"/>
        </w:rPr>
      </w:pPr>
    </w:p>
    <w:p>
      <w:pPr>
        <w:ind w:left="58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6700" w:hanging="572"/>
        <w:spacing w:after="0" w:line="425" w:lineRule="auto"/>
        <w:tabs>
          <w:tab w:leader="none" w:pos="577"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Anti-dilution provision (Continued)</w:t>
      </w:r>
    </w:p>
    <w:p>
      <w:pPr>
        <w:ind w:left="580"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beneficial conversion features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58" w:lineRule="exact"/>
        <w:rPr>
          <w:rFonts w:ascii="Arial" w:cs="Arial" w:eastAsia="Arial" w:hAnsi="Arial"/>
          <w:sz w:val="18"/>
          <w:szCs w:val="18"/>
          <w:b w:val="1"/>
          <w:bCs w:val="1"/>
          <w:color w:val="auto"/>
        </w:rPr>
      </w:pPr>
    </w:p>
    <w:p>
      <w:pPr>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289"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117" w:lineRule="exact"/>
        <w:rPr>
          <w:rFonts w:ascii="Arial" w:cs="Arial" w:eastAsia="Arial" w:hAnsi="Arial"/>
          <w:sz w:val="18"/>
          <w:szCs w:val="18"/>
          <w:b w:val="1"/>
          <w:bCs w:val="1"/>
          <w:color w:val="auto"/>
        </w:rPr>
      </w:pPr>
    </w:p>
    <w:p>
      <w:pPr>
        <w:ind w:left="58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5" w:lineRule="exact"/>
        <w:rPr>
          <w:rFonts w:ascii="Arial" w:cs="Arial" w:eastAsia="Arial" w:hAnsi="Arial"/>
          <w:sz w:val="18"/>
          <w:szCs w:val="18"/>
          <w:b w:val="1"/>
          <w:bCs w:val="1"/>
          <w:color w:val="auto"/>
        </w:rPr>
      </w:pPr>
    </w:p>
    <w:p>
      <w:pPr>
        <w:ind w:left="58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holders of Series C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46" w:lineRule="exact"/>
        <w:rPr>
          <w:rFonts w:ascii="Arial" w:cs="Arial" w:eastAsia="Arial" w:hAnsi="Arial"/>
          <w:sz w:val="18"/>
          <w:szCs w:val="18"/>
          <w:b w:val="1"/>
          <w:bCs w:val="1"/>
          <w:color w:val="auto"/>
        </w:rPr>
      </w:pPr>
    </w:p>
    <w:p>
      <w:pPr>
        <w:ind w:left="580" w:right="1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13"/>
          <w:szCs w:val="13"/>
          <w:color w:val="auto"/>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ind w:left="580" w:right="1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59" w:right="2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6680" w:hanging="572"/>
        <w:spacing w:after="0" w:line="425" w:lineRule="auto"/>
        <w:tabs>
          <w:tab w:leader="none" w:pos="577"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ind w:left="580"/>
        <w:spacing w:after="0"/>
        <w:rPr>
          <w:rFonts w:ascii="Arial" w:cs="Arial" w:eastAsia="Arial" w:hAnsi="Arial"/>
          <w:sz w:val="18"/>
          <w:szCs w:val="18"/>
          <w:b w:val="1"/>
          <w:bCs w:val="1"/>
          <w:color w:val="auto"/>
        </w:rPr>
      </w:pPr>
      <w:r>
        <w:rPr>
          <w:rFonts w:ascii="Arial" w:cs="Arial" w:eastAsia="Arial" w:hAnsi="Arial"/>
          <w:sz w:val="17"/>
          <w:szCs w:val="17"/>
          <w:color w:val="auto"/>
        </w:rPr>
        <w:t>The holders of Series E preferred shares can redeem the preferred shares at any time after the earlier of: (i) the occurrence of any liquidating</w:t>
      </w:r>
    </w:p>
    <w:p>
      <w:pPr>
        <w:spacing w:after="0" w:line="34" w:lineRule="exact"/>
        <w:rPr>
          <w:rFonts w:ascii="Arial" w:cs="Arial" w:eastAsia="Arial" w:hAnsi="Arial"/>
          <w:sz w:val="18"/>
          <w:szCs w:val="18"/>
          <w:b w:val="1"/>
          <w:bCs w:val="1"/>
          <w:color w:val="auto"/>
        </w:rPr>
      </w:pPr>
    </w:p>
    <w:p>
      <w:pPr>
        <w:ind w:left="58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75" w:lineRule="exact"/>
        <w:rPr>
          <w:rFonts w:ascii="Arial" w:cs="Arial" w:eastAsia="Arial" w:hAnsi="Arial"/>
          <w:sz w:val="18"/>
          <w:szCs w:val="18"/>
          <w:b w:val="1"/>
          <w:bCs w:val="1"/>
          <w:color w:val="auto"/>
        </w:rPr>
      </w:pPr>
    </w:p>
    <w:p>
      <w:pPr>
        <w:ind w:left="58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80"/>
          </w:cols>
          <w:pgMar w:left="240" w:top="459" w:right="2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6700" w:hanging="572"/>
        <w:spacing w:after="0" w:line="425" w:lineRule="auto"/>
        <w:tabs>
          <w:tab w:leader="none" w:pos="577"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ind w:left="58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 Furthermore, due to the change of redemption date of Series C preferred share to December 28, 2018, the corresponding derivatives liabilities relating to the redemption feature were reclassified from current liabilities to non-current liabilities as of December 31, 2016.</w:t>
      </w:r>
    </w:p>
    <w:p>
      <w:pPr>
        <w:spacing w:after="0" w:line="73" w:lineRule="exact"/>
        <w:rPr>
          <w:rFonts w:ascii="Arial" w:cs="Arial" w:eastAsia="Arial" w:hAnsi="Arial"/>
          <w:sz w:val="18"/>
          <w:szCs w:val="18"/>
          <w:b w:val="1"/>
          <w:bCs w:val="1"/>
          <w:color w:val="auto"/>
        </w:rPr>
      </w:pPr>
    </w:p>
    <w:p>
      <w:pPr>
        <w:ind w:left="58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beneficial conversion features for the Series A, A-1, B, B-1, C, D and E preferred shares.</w:t>
      </w:r>
    </w:p>
    <w:p>
      <w:pPr>
        <w:spacing w:after="0" w:line="80" w:lineRule="exact"/>
        <w:rPr>
          <w:rFonts w:ascii="Arial" w:cs="Arial" w:eastAsia="Arial" w:hAnsi="Arial"/>
          <w:sz w:val="18"/>
          <w:szCs w:val="18"/>
          <w:b w:val="1"/>
          <w:bCs w:val="1"/>
          <w:color w:val="auto"/>
        </w:rPr>
      </w:pPr>
    </w:p>
    <w:p>
      <w:pPr>
        <w:ind w:left="58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78" w:lineRule="exact"/>
        <w:rPr>
          <w:rFonts w:ascii="Arial" w:cs="Arial" w:eastAsia="Arial" w:hAnsi="Arial"/>
          <w:sz w:val="18"/>
          <w:szCs w:val="18"/>
          <w:b w:val="1"/>
          <w:bCs w:val="1"/>
          <w:color w:val="auto"/>
        </w:rPr>
      </w:pPr>
    </w:p>
    <w:p>
      <w:pPr>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80" w:lineRule="exact"/>
        <w:rPr>
          <w:rFonts w:ascii="Arial" w:cs="Arial" w:eastAsia="Arial" w:hAnsi="Arial"/>
          <w:sz w:val="18"/>
          <w:szCs w:val="18"/>
          <w:b w:val="1"/>
          <w:bCs w:val="1"/>
          <w:color w:val="auto"/>
        </w:rPr>
      </w:pPr>
    </w:p>
    <w:p>
      <w:pPr>
        <w:ind w:left="58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2016, the fair values of these conversion features and redemption features which required to be bifurcated and accounted for as derivative liabilities are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60" w:type="dxa"/>
            <w:vAlign w:val="bottom"/>
            <w:gridSpan w:val="3"/>
          </w:tcPr>
          <w:p>
            <w:pPr>
              <w:jc w:val="right"/>
              <w:ind w:right="120"/>
              <w:spacing w:after="0"/>
              <w:rPr>
                <w:sz w:val="20"/>
                <w:szCs w:val="20"/>
                <w:color w:val="auto"/>
              </w:rPr>
            </w:pPr>
            <w:r>
              <w:rPr>
                <w:rFonts w:ascii="Arial" w:cs="Arial" w:eastAsia="Arial" w:hAnsi="Arial"/>
                <w:sz w:val="14"/>
                <w:szCs w:val="14"/>
                <w:color w:val="auto"/>
              </w:rPr>
              <w:t>As of December 31,</w:t>
            </w:r>
          </w:p>
        </w:tc>
      </w:tr>
      <w:tr>
        <w:trPr>
          <w:trHeight w:val="167"/>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94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1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Financial derivatives - conversion features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56,916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Financial derivatives - redemption features</w:t>
            </w:r>
          </w:p>
        </w:tc>
        <w:tc>
          <w:tcPr>
            <w:tcW w:w="37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60,884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Less: current portion</w:t>
            </w:r>
          </w:p>
        </w:tc>
        <w:tc>
          <w:tcPr>
            <w:tcW w:w="37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(60,525)</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3780" w:type="dxa"/>
            <w:vAlign w:val="bottom"/>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060" w:type="dxa"/>
            <w:vAlign w:val="bottom"/>
            <w:gridSpan w:val="3"/>
          </w:tcPr>
          <w:p>
            <w:pPr>
              <w:jc w:val="right"/>
              <w:ind w:right="4180"/>
              <w:spacing w:after="0"/>
              <w:rPr>
                <w:sz w:val="20"/>
                <w:szCs w:val="20"/>
                <w:color w:val="auto"/>
              </w:rPr>
            </w:pPr>
            <w:r>
              <w:rPr>
                <w:rFonts w:ascii="Arial" w:cs="Arial" w:eastAsia="Arial" w:hAnsi="Arial"/>
                <w:sz w:val="18"/>
                <w:szCs w:val="18"/>
                <w:color w:val="auto"/>
              </w:rPr>
              <w:t>F-52</w:t>
            </w:r>
          </w:p>
        </w:tc>
      </w:tr>
    </w:tbl>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6700" w:hanging="572"/>
        <w:spacing w:after="0" w:line="425" w:lineRule="auto"/>
        <w:tabs>
          <w:tab w:leader="none" w:pos="577"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ind w:left="5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80" w:lineRule="exact"/>
        <w:rPr>
          <w:rFonts w:ascii="Arial" w:cs="Arial" w:eastAsia="Arial" w:hAnsi="Arial"/>
          <w:sz w:val="18"/>
          <w:szCs w:val="18"/>
          <w:b w:val="1"/>
          <w:bCs w:val="1"/>
          <w:color w:val="auto"/>
        </w:rPr>
      </w:pPr>
    </w:p>
    <w:p>
      <w:pPr>
        <w:ind w:left="58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determining the fair value of these preferred shares for purposes of determining the conversion feature and redemption feature as of December 31, 2016,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3260" w:type="dxa"/>
            <w:vAlign w:val="bottom"/>
          </w:tcPr>
          <w:p>
            <w:pPr>
              <w:jc w:val="right"/>
              <w:spacing w:after="0"/>
              <w:rPr>
                <w:sz w:val="20"/>
                <w:szCs w:val="20"/>
                <w:color w:val="auto"/>
              </w:rPr>
            </w:pPr>
            <w:r>
              <w:rPr>
                <w:rFonts w:ascii="Arial" w:cs="Arial" w:eastAsia="Arial" w:hAnsi="Arial"/>
                <w:sz w:val="14"/>
                <w:szCs w:val="14"/>
                <w:color w:val="auto"/>
              </w:rPr>
              <w:t>As of December 31,</w:t>
            </w:r>
          </w:p>
        </w:tc>
      </w:tr>
      <w:tr>
        <w:trPr>
          <w:trHeight w:val="167"/>
        </w:trPr>
        <w:tc>
          <w:tcPr>
            <w:tcW w:w="5420" w:type="dxa"/>
            <w:vAlign w:val="bottom"/>
          </w:tcPr>
          <w:p>
            <w:pPr>
              <w:spacing w:after="0"/>
              <w:rPr>
                <w:sz w:val="14"/>
                <w:szCs w:val="14"/>
                <w:color w:val="auto"/>
              </w:rPr>
            </w:pPr>
          </w:p>
        </w:tc>
        <w:tc>
          <w:tcPr>
            <w:tcW w:w="326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32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Growth rate on average spending per customer</w:t>
            </w:r>
          </w:p>
        </w:tc>
        <w:tc>
          <w:tcPr>
            <w:tcW w:w="3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- 19.0%</w:t>
            </w:r>
          </w:p>
        </w:tc>
      </w:tr>
    </w:tbl>
    <w:p>
      <w:pPr>
        <w:spacing w:after="0" w:line="31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Series A</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860" w:type="dxa"/>
            <w:vAlign w:val="bottom"/>
            <w:gridSpan w:val="4"/>
          </w:tcPr>
          <w:p>
            <w:pPr>
              <w:jc w:val="right"/>
              <w:ind w:right="220"/>
              <w:spacing w:after="0"/>
              <w:rPr>
                <w:sz w:val="20"/>
                <w:szCs w:val="20"/>
                <w:color w:val="auto"/>
              </w:rPr>
            </w:pPr>
            <w:r>
              <w:rPr>
                <w:rFonts w:ascii="Arial" w:cs="Arial" w:eastAsia="Arial" w:hAnsi="Arial"/>
                <w:sz w:val="14"/>
                <w:szCs w:val="14"/>
                <w:color w:val="auto"/>
                <w:w w:val="94"/>
              </w:rPr>
              <w:t>Years ended December 31,</w:t>
            </w:r>
          </w:p>
        </w:tc>
      </w:tr>
      <w:tr>
        <w:trPr>
          <w:trHeight w:val="167"/>
        </w:trPr>
        <w:tc>
          <w:tcPr>
            <w:tcW w:w="6820" w:type="dxa"/>
            <w:vAlign w:val="bottom"/>
          </w:tcPr>
          <w:p>
            <w:pPr>
              <w:spacing w:after="0"/>
              <w:rPr>
                <w:sz w:val="14"/>
                <w:szCs w:val="14"/>
                <w:color w:val="auto"/>
              </w:rPr>
            </w:pPr>
          </w:p>
        </w:tc>
        <w:tc>
          <w:tcPr>
            <w:tcW w:w="620" w:type="dxa"/>
            <w:vAlign w:val="bottom"/>
          </w:tcPr>
          <w:p>
            <w:pPr>
              <w:jc w:val="right"/>
              <w:ind w:right="96"/>
              <w:spacing w:after="0"/>
              <w:rPr>
                <w:sz w:val="20"/>
                <w:szCs w:val="20"/>
                <w:color w:val="auto"/>
              </w:rPr>
            </w:pPr>
            <w:r>
              <w:rPr>
                <w:rFonts w:ascii="Arial" w:cs="Arial" w:eastAsia="Arial" w:hAnsi="Arial"/>
                <w:sz w:val="14"/>
                <w:szCs w:val="14"/>
                <w:color w:val="auto"/>
              </w:rPr>
              <w:t>2016</w:t>
            </w:r>
          </w:p>
        </w:tc>
        <w:tc>
          <w:tcPr>
            <w:tcW w:w="1120" w:type="dxa"/>
            <w:vAlign w:val="bottom"/>
            <w:gridSpan w:val="2"/>
          </w:tcPr>
          <w:p>
            <w:pPr>
              <w:jc w:val="right"/>
              <w:ind w:right="13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12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Conversion to Class A ordinary shares</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(5,832)</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Ending balance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3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Series B</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0" w:type="dxa"/>
            <w:vAlign w:val="bottom"/>
            <w:gridSpan w:val="4"/>
          </w:tcPr>
          <w:p>
            <w:pPr>
              <w:jc w:val="right"/>
              <w:ind w:right="200"/>
              <w:spacing w:after="0"/>
              <w:rPr>
                <w:sz w:val="20"/>
                <w:szCs w:val="20"/>
                <w:color w:val="auto"/>
              </w:rPr>
            </w:pPr>
            <w:r>
              <w:rPr>
                <w:rFonts w:ascii="Arial" w:cs="Arial" w:eastAsia="Arial" w:hAnsi="Arial"/>
                <w:sz w:val="14"/>
                <w:szCs w:val="14"/>
                <w:color w:val="auto"/>
                <w:w w:val="92"/>
              </w:rPr>
              <w:t>Years ended December 31,</w:t>
            </w:r>
          </w:p>
        </w:tc>
      </w:tr>
      <w:tr>
        <w:trPr>
          <w:trHeight w:val="167"/>
        </w:trPr>
        <w:tc>
          <w:tcPr>
            <w:tcW w:w="3460" w:type="dxa"/>
            <w:vAlign w:val="bottom"/>
          </w:tcPr>
          <w:p>
            <w:pPr>
              <w:spacing w:after="0"/>
              <w:rPr>
                <w:sz w:val="14"/>
                <w:szCs w:val="14"/>
                <w:color w:val="auto"/>
              </w:rPr>
            </w:pPr>
          </w:p>
        </w:tc>
        <w:tc>
          <w:tcPr>
            <w:tcW w:w="4000" w:type="dxa"/>
            <w:vAlign w:val="bottom"/>
            <w:gridSpan w:val="2"/>
          </w:tcPr>
          <w:p>
            <w:pPr>
              <w:jc w:val="right"/>
              <w:ind w:right="76"/>
              <w:spacing w:after="0"/>
              <w:rPr>
                <w:sz w:val="20"/>
                <w:szCs w:val="20"/>
                <w:color w:val="auto"/>
              </w:rPr>
            </w:pPr>
            <w:r>
              <w:rPr>
                <w:rFonts w:ascii="Arial" w:cs="Arial" w:eastAsia="Arial" w:hAnsi="Arial"/>
                <w:sz w:val="14"/>
                <w:szCs w:val="14"/>
                <w:color w:val="auto"/>
              </w:rPr>
              <w:t>2016</w:t>
            </w:r>
          </w:p>
        </w:tc>
        <w:tc>
          <w:tcPr>
            <w:tcW w:w="1100" w:type="dxa"/>
            <w:vAlign w:val="bottom"/>
            <w:gridSpan w:val="2"/>
          </w:tcPr>
          <w:p>
            <w:pPr>
              <w:jc w:val="right"/>
              <w:ind w:right="15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9,807</w:t>
            </w:r>
          </w:p>
        </w:tc>
        <w:tc>
          <w:tcPr>
            <w:tcW w:w="12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662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Conversion to Class A ordinary shares</w:t>
            </w:r>
          </w:p>
        </w:tc>
        <w:tc>
          <w:tcPr>
            <w:tcW w:w="34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(11,234)</w:t>
            </w:r>
          </w:p>
        </w:tc>
      </w:tr>
      <w:tr>
        <w:trPr>
          <w:trHeight w:val="223"/>
        </w:trPr>
        <w:tc>
          <w:tcPr>
            <w:tcW w:w="3460" w:type="dxa"/>
            <w:vAlign w:val="bottom"/>
          </w:tcPr>
          <w:p>
            <w:pPr>
              <w:spacing w:after="0"/>
              <w:rPr>
                <w:sz w:val="20"/>
                <w:szCs w:val="20"/>
                <w:color w:val="auto"/>
              </w:rPr>
            </w:pPr>
            <w:r>
              <w:rPr>
                <w:rFonts w:ascii="Arial" w:cs="Arial" w:eastAsia="Arial" w:hAnsi="Arial"/>
                <w:sz w:val="18"/>
                <w:szCs w:val="18"/>
                <w:color w:val="auto"/>
              </w:rPr>
              <w:t>Ending balance</w:t>
            </w:r>
          </w:p>
        </w:tc>
        <w:tc>
          <w:tcPr>
            <w:tcW w:w="3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9,807</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34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4000" w:type="dxa"/>
            <w:vAlign w:val="bottom"/>
            <w:gridSpan w:val="2"/>
          </w:tcPr>
          <w:p>
            <w:pPr>
              <w:jc w:val="right"/>
              <w:ind w:right="2876"/>
              <w:spacing w:after="0"/>
              <w:rPr>
                <w:sz w:val="20"/>
                <w:szCs w:val="20"/>
                <w:color w:val="auto"/>
              </w:rPr>
            </w:pPr>
            <w:r>
              <w:rPr>
                <w:rFonts w:ascii="Arial" w:cs="Arial" w:eastAsia="Arial" w:hAnsi="Arial"/>
                <w:sz w:val="18"/>
                <w:szCs w:val="18"/>
                <w:color w:val="auto"/>
              </w:rPr>
              <w:t>F-53</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7860" w:type="dxa"/>
            <w:vAlign w:val="bottom"/>
            <w:gridSpan w:val="2"/>
          </w:tcPr>
          <w:p>
            <w:pPr>
              <w:ind w:left="200"/>
              <w:spacing w:after="0"/>
              <w:rPr>
                <w:sz w:val="20"/>
                <w:szCs w:val="20"/>
                <w:color w:val="auto"/>
              </w:rPr>
            </w:pPr>
            <w:r>
              <w:rPr>
                <w:rFonts w:ascii="Arial" w:cs="Arial" w:eastAsia="Arial" w:hAnsi="Arial"/>
                <w:sz w:val="18"/>
                <w:szCs w:val="18"/>
                <w:b w:val="1"/>
                <w:bCs w:val="1"/>
                <w:color w:val="auto"/>
              </w:rPr>
              <w:t>iCLICK INTERACTIVE ASIA GROUP LIMITED</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10"/>
        </w:trPr>
        <w:tc>
          <w:tcPr>
            <w:tcW w:w="380" w:type="dxa"/>
            <w:vAlign w:val="bottom"/>
          </w:tcPr>
          <w:p>
            <w:pPr>
              <w:spacing w:after="0"/>
              <w:rPr>
                <w:sz w:val="24"/>
                <w:szCs w:val="24"/>
                <w:color w:val="auto"/>
              </w:rPr>
            </w:pPr>
          </w:p>
        </w:tc>
        <w:tc>
          <w:tcPr>
            <w:tcW w:w="7860" w:type="dxa"/>
            <w:vAlign w:val="bottom"/>
            <w:gridSpan w:val="2"/>
          </w:tcPr>
          <w:p>
            <w:pPr>
              <w:ind w:left="20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7860" w:type="dxa"/>
            <w:vAlign w:val="bottom"/>
            <w:gridSpan w:val="2"/>
          </w:tcPr>
          <w:p>
            <w:pPr>
              <w:ind w:left="200"/>
              <w:spacing w:after="0"/>
              <w:rPr>
                <w:sz w:val="20"/>
                <w:szCs w:val="20"/>
                <w:color w:val="auto"/>
              </w:rPr>
            </w:pPr>
            <w:r>
              <w:rPr>
                <w:rFonts w:ascii="Arial" w:cs="Arial" w:eastAsia="Arial" w:hAnsi="Arial"/>
                <w:sz w:val="18"/>
                <w:szCs w:val="18"/>
                <w:color w:val="auto"/>
              </w:rPr>
              <w:t>(US$’000, except share data and per share data, or otherwise noted)</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15</w:t>
            </w:r>
          </w:p>
        </w:tc>
        <w:tc>
          <w:tcPr>
            <w:tcW w:w="7860" w:type="dxa"/>
            <w:vAlign w:val="bottom"/>
            <w:gridSpan w:val="2"/>
          </w:tcPr>
          <w:p>
            <w:pPr>
              <w:ind w:left="200"/>
              <w:spacing w:after="0"/>
              <w:rPr>
                <w:sz w:val="20"/>
                <w:szCs w:val="20"/>
                <w:color w:val="auto"/>
              </w:rPr>
            </w:pPr>
            <w:r>
              <w:rPr>
                <w:rFonts w:ascii="Arial" w:cs="Arial" w:eastAsia="Arial" w:hAnsi="Arial"/>
                <w:sz w:val="18"/>
                <w:szCs w:val="18"/>
                <w:b w:val="1"/>
                <w:bCs w:val="1"/>
                <w:color w:val="auto"/>
              </w:rPr>
              <w:t>Redeemable convertible preferred shares (Continued)</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380" w:type="dxa"/>
            <w:vAlign w:val="bottom"/>
          </w:tcPr>
          <w:p>
            <w:pPr>
              <w:spacing w:after="0"/>
              <w:rPr>
                <w:sz w:val="24"/>
                <w:szCs w:val="24"/>
                <w:color w:val="auto"/>
              </w:rPr>
            </w:pPr>
          </w:p>
        </w:tc>
        <w:tc>
          <w:tcPr>
            <w:tcW w:w="7860" w:type="dxa"/>
            <w:vAlign w:val="bottom"/>
            <w:gridSpan w:val="2"/>
          </w:tcPr>
          <w:p>
            <w:pPr>
              <w:ind w:left="200"/>
              <w:spacing w:after="0"/>
              <w:rPr>
                <w:sz w:val="20"/>
                <w:szCs w:val="20"/>
                <w:color w:val="auto"/>
              </w:rPr>
            </w:pPr>
            <w:r>
              <w:rPr>
                <w:rFonts w:ascii="Arial" w:cs="Arial" w:eastAsia="Arial" w:hAnsi="Arial"/>
                <w:sz w:val="18"/>
                <w:szCs w:val="18"/>
                <w:i w:val="1"/>
                <w:iCs w:val="1"/>
                <w:color w:val="auto"/>
              </w:rPr>
              <w:t>Series C</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820" w:type="dxa"/>
            <w:vAlign w:val="bottom"/>
            <w:gridSpan w:val="4"/>
          </w:tcPr>
          <w:p>
            <w:pPr>
              <w:jc w:val="right"/>
              <w:ind w:right="200"/>
              <w:spacing w:after="0"/>
              <w:rPr>
                <w:sz w:val="20"/>
                <w:szCs w:val="20"/>
                <w:color w:val="auto"/>
              </w:rPr>
            </w:pPr>
            <w:r>
              <w:rPr>
                <w:rFonts w:ascii="Arial" w:cs="Arial" w:eastAsia="Arial" w:hAnsi="Arial"/>
                <w:sz w:val="14"/>
                <w:szCs w:val="14"/>
                <w:color w:val="auto"/>
                <w:w w:val="93"/>
              </w:rPr>
              <w:t>Years ended December 31,</w:t>
            </w:r>
          </w:p>
        </w:tc>
      </w:tr>
      <w:tr>
        <w:trPr>
          <w:trHeight w:val="167"/>
        </w:trPr>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color w:val="auto"/>
              </w:rPr>
              <w:t>2016</w:t>
            </w:r>
          </w:p>
        </w:tc>
        <w:tc>
          <w:tcPr>
            <w:tcW w:w="1060" w:type="dxa"/>
            <w:vAlign w:val="bottom"/>
            <w:gridSpan w:val="2"/>
          </w:tcPr>
          <w:p>
            <w:pPr>
              <w:jc w:val="right"/>
              <w:ind w:right="15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20" w:type="dxa"/>
            <w:vAlign w:val="bottom"/>
            <w:shd w:val="clear" w:color="auto" w:fill="CCEEFF"/>
          </w:tcPr>
          <w:p>
            <w:pPr>
              <w:spacing w:after="0"/>
              <w:rPr>
                <w:sz w:val="18"/>
                <w:szCs w:val="18"/>
                <w:color w:val="auto"/>
              </w:rPr>
            </w:pPr>
          </w:p>
        </w:tc>
      </w:tr>
      <w:tr>
        <w:trPr>
          <w:trHeight w:val="223"/>
        </w:trPr>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Conversion to Class A ordinary shares</w:t>
            </w: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(10,733)</w:t>
            </w:r>
          </w:p>
        </w:tc>
      </w:tr>
      <w:tr>
        <w:trPr>
          <w:trHeight w:val="216"/>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3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Series D</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ind w:left="80"/>
              <w:spacing w:after="0"/>
              <w:rPr>
                <w:sz w:val="20"/>
                <w:szCs w:val="20"/>
                <w:color w:val="auto"/>
              </w:rPr>
            </w:pPr>
            <w:r>
              <w:rPr>
                <w:rFonts w:ascii="Arial" w:cs="Arial" w:eastAsia="Arial" w:hAnsi="Arial"/>
                <w:sz w:val="14"/>
                <w:szCs w:val="14"/>
                <w:color w:val="auto"/>
              </w:rPr>
              <w:t>Years ended December 31,</w:t>
            </w:r>
          </w:p>
        </w:tc>
      </w:tr>
      <w:tr>
        <w:trPr>
          <w:trHeight w:val="167"/>
        </w:trPr>
        <w:tc>
          <w:tcPr>
            <w:tcW w:w="686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color w:val="auto"/>
              </w:rPr>
              <w:t>2016</w:t>
            </w:r>
          </w:p>
        </w:tc>
        <w:tc>
          <w:tcPr>
            <w:tcW w:w="1060" w:type="dxa"/>
            <w:vAlign w:val="bottom"/>
            <w:gridSpan w:val="2"/>
          </w:tcPr>
          <w:p>
            <w:pPr>
              <w:jc w:val="right"/>
              <w:ind w:right="15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43,956</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Gain from wavier on anti-dilution</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(632)</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Conversion to Class A ordinary shares</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(43,324)</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Ending balance</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43,956</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Series 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820" w:type="dxa"/>
            <w:vAlign w:val="bottom"/>
            <w:gridSpan w:val="4"/>
          </w:tcPr>
          <w:p>
            <w:pPr>
              <w:jc w:val="right"/>
              <w:ind w:right="200"/>
              <w:spacing w:after="0"/>
              <w:rPr>
                <w:sz w:val="20"/>
                <w:szCs w:val="20"/>
                <w:color w:val="auto"/>
              </w:rPr>
            </w:pPr>
            <w:r>
              <w:rPr>
                <w:rFonts w:ascii="Arial" w:cs="Arial" w:eastAsia="Arial" w:hAnsi="Arial"/>
                <w:sz w:val="14"/>
                <w:szCs w:val="14"/>
                <w:color w:val="auto"/>
                <w:w w:val="93"/>
              </w:rPr>
              <w:t>Years ended December 31,</w:t>
            </w:r>
          </w:p>
        </w:tc>
      </w:tr>
      <w:tr>
        <w:trPr>
          <w:trHeight w:val="167"/>
        </w:trPr>
        <w:tc>
          <w:tcPr>
            <w:tcW w:w="6860" w:type="dxa"/>
            <w:vAlign w:val="bottom"/>
          </w:tcPr>
          <w:p>
            <w:pPr>
              <w:spacing w:after="0"/>
              <w:rPr>
                <w:sz w:val="14"/>
                <w:szCs w:val="14"/>
                <w:color w:val="auto"/>
              </w:rPr>
            </w:pPr>
          </w:p>
        </w:tc>
        <w:tc>
          <w:tcPr>
            <w:tcW w:w="640" w:type="dxa"/>
            <w:vAlign w:val="bottom"/>
          </w:tcPr>
          <w:p>
            <w:pPr>
              <w:jc w:val="right"/>
              <w:ind w:right="96"/>
              <w:spacing w:after="0"/>
              <w:rPr>
                <w:sz w:val="20"/>
                <w:szCs w:val="20"/>
                <w:color w:val="auto"/>
              </w:rPr>
            </w:pPr>
            <w:r>
              <w:rPr>
                <w:rFonts w:ascii="Arial" w:cs="Arial" w:eastAsia="Arial" w:hAnsi="Arial"/>
                <w:sz w:val="14"/>
                <w:szCs w:val="14"/>
                <w:color w:val="auto"/>
              </w:rPr>
              <w:t>2016</w:t>
            </w:r>
          </w:p>
        </w:tc>
        <w:tc>
          <w:tcPr>
            <w:tcW w:w="1060" w:type="dxa"/>
            <w:vAlign w:val="bottom"/>
            <w:gridSpan w:val="2"/>
          </w:tcPr>
          <w:p>
            <w:pPr>
              <w:jc w:val="right"/>
              <w:ind w:right="15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18,845</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Issuance of preferred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18,845</w:t>
            </w:r>
          </w:p>
        </w:tc>
        <w:tc>
          <w:tcPr>
            <w:tcW w:w="3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Conversion to Class A ordinary shares</w:t>
            </w:r>
          </w:p>
        </w:tc>
        <w:tc>
          <w:tcPr>
            <w:tcW w:w="6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(18,845)</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Ending balance</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18,845</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121" w:lineRule="exact"/>
        <w:rPr>
          <w:rFonts w:ascii="Arial" w:cs="Arial" w:eastAsia="Arial" w:hAnsi="Arial"/>
          <w:sz w:val="18"/>
          <w:szCs w:val="18"/>
          <w:b w:val="1"/>
          <w:bCs w:val="1"/>
          <w:color w:val="auto"/>
        </w:rPr>
      </w:pPr>
    </w:p>
    <w:p>
      <w:pPr>
        <w:ind w:left="5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73" w:lineRule="exact"/>
        <w:rPr>
          <w:rFonts w:ascii="Arial" w:cs="Arial" w:eastAsia="Arial" w:hAnsi="Arial"/>
          <w:sz w:val="18"/>
          <w:szCs w:val="18"/>
          <w:b w:val="1"/>
          <w:bCs w:val="1"/>
          <w:color w:val="auto"/>
        </w:rPr>
      </w:pPr>
    </w:p>
    <w:p>
      <w:pPr>
        <w:ind w:left="580"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Investor D shall have an option to require the Company to repurchase all of the ordinary shares if a qualified IPO is not consummated by the 2</w:t>
      </w:r>
      <w:r>
        <w:rPr>
          <w:rFonts w:ascii="Arial" w:cs="Arial" w:eastAsia="Arial" w:hAnsi="Arial"/>
          <w:sz w:val="15"/>
          <w:szCs w:val="15"/>
          <w:color w:val="auto"/>
        </w:rPr>
        <w:t>nd</w:t>
      </w:r>
      <w:r>
        <w:rPr>
          <w:rFonts w:ascii="Arial" w:cs="Arial" w:eastAsia="Arial" w:hAnsi="Arial"/>
          <w:sz w:val="18"/>
          <w:szCs w:val="18"/>
          <w:color w:val="auto"/>
        </w:rPr>
        <w:t xml:space="preserve"> anniversary of the closing of sale and purchase of the Series D preferred shares. The redemption price shall equal to the issue price, plus accrued interest at a non-compound interest rate of 18% and 12% per annum for each of 2016 and 2017. In December 2016, the redeemable date of the ordinary shares was further changed to December 28, 2017 upon the completion of Series E Agreement. The change in value of such modification was insignificant.</w:t>
      </w:r>
    </w:p>
    <w:p>
      <w:pPr>
        <w:spacing w:after="0" w:line="80" w:lineRule="exact"/>
        <w:rPr>
          <w:rFonts w:ascii="Arial" w:cs="Arial" w:eastAsia="Arial" w:hAnsi="Arial"/>
          <w:sz w:val="18"/>
          <w:szCs w:val="18"/>
          <w:b w:val="1"/>
          <w:bCs w:val="1"/>
          <w:color w:val="auto"/>
        </w:rPr>
      </w:pPr>
    </w:p>
    <w:p>
      <w:pPr>
        <w:ind w:left="58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6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6"/>
          <w:szCs w:val="16"/>
          <w:color w:val="auto"/>
        </w:rPr>
        <w:t>In December 2017, redeemable ordinary shares had been automatically converted into 742,320 Class A ordinary shares after the closing of IPO.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380"/>
          </w:cols>
          <w:pgMar w:left="240" w:top="460" w:right="2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121" w:lineRule="exact"/>
        <w:rPr>
          <w:rFonts w:ascii="Arial" w:cs="Arial" w:eastAsia="Arial" w:hAnsi="Arial"/>
          <w:sz w:val="18"/>
          <w:szCs w:val="18"/>
          <w:b w:val="1"/>
          <w:bCs w:val="1"/>
          <w:color w:val="auto"/>
        </w:rPr>
      </w:pPr>
    </w:p>
    <w:p>
      <w:pPr>
        <w:ind w:left="580" w:right="1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Company’s Memorandum and Articles of Association authorizes the Company to issue 37,150,000 shares and 100,000,000 shares of US$0.001 par value per ordinary share as of December 31, 2016 and 2017,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2016 and 2017, there were 13,609,208 and 26,059,433 ordinary shares outstanding, respectively.</w:t>
      </w:r>
    </w:p>
    <w:p>
      <w:pPr>
        <w:spacing w:after="0" w:line="70" w:lineRule="exact"/>
        <w:rPr>
          <w:rFonts w:ascii="Arial" w:cs="Arial" w:eastAsia="Arial" w:hAnsi="Arial"/>
          <w:sz w:val="18"/>
          <w:szCs w:val="18"/>
          <w:b w:val="1"/>
          <w:bCs w:val="1"/>
          <w:color w:val="auto"/>
        </w:rPr>
      </w:pPr>
    </w:p>
    <w:p>
      <w:pPr>
        <w:ind w:left="58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and 788,459 and 762,561 shares during the years ended December 31, 2016 and 2017 to Arda. Arda does not hold any other assets or liabilities as at December 31, 2016 and 2017, nor earn any income nor incur any expenses for the years ended December 31, 2015, 2016 and 2017.</w:t>
      </w:r>
    </w:p>
    <w:p>
      <w:pPr>
        <w:spacing w:after="0" w:line="60" w:lineRule="exact"/>
        <w:rPr>
          <w:rFonts w:ascii="Arial" w:cs="Arial" w:eastAsia="Arial" w:hAnsi="Arial"/>
          <w:sz w:val="18"/>
          <w:szCs w:val="18"/>
          <w:b w:val="1"/>
          <w:bCs w:val="1"/>
          <w:color w:val="auto"/>
        </w:rPr>
      </w:pPr>
    </w:p>
    <w:p>
      <w:pPr>
        <w:jc w:val="both"/>
        <w:ind w:left="58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December 2017, the Company completed its initial public offering in which the Company newly issued 2,156,250 Class A ordinary shares and all of the Company’s Series A, Series B, Series C, Series D, Series E preferred shares and redeemable ordinary shares were automatically converted into 10,268,077 Class A ordinary shares.</w:t>
      </w:r>
    </w:p>
    <w:p>
      <w:pPr>
        <w:spacing w:after="0" w:line="73" w:lineRule="exact"/>
        <w:rPr>
          <w:rFonts w:ascii="Arial" w:cs="Arial" w:eastAsia="Arial" w:hAnsi="Arial"/>
          <w:sz w:val="18"/>
          <w:szCs w:val="18"/>
          <w:b w:val="1"/>
          <w:bCs w:val="1"/>
          <w:color w:val="auto"/>
        </w:rPr>
      </w:pPr>
    </w:p>
    <w:p>
      <w:pPr>
        <w:ind w:left="58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completion of IPO in December 2017, the Company redesignated 2,500,580 Class A ordinary shares held by Wing Hong Sammy Hsieh and 2,320,028 Class A ordinary shares held by Jian Tang into Class B ordinary shares on a one-for-one basis. The holders of Class A ordinary shares shall have one vote in respect of each Class A ordinary share held, the holders of Class B ordinary shares shall have twenty votes in respect of each Class B ordinary share held.</w:t>
      </w:r>
    </w:p>
    <w:p>
      <w:pPr>
        <w:spacing w:after="0" w:line="78" w:lineRule="exact"/>
        <w:rPr>
          <w:rFonts w:ascii="Arial" w:cs="Arial" w:eastAsia="Arial" w:hAnsi="Arial"/>
          <w:sz w:val="18"/>
          <w:szCs w:val="18"/>
          <w:b w:val="1"/>
          <w:bCs w:val="1"/>
          <w:color w:val="auto"/>
        </w:rPr>
      </w:pPr>
    </w:p>
    <w:p>
      <w:pPr>
        <w:ind w:left="58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the Company is authorized to issue 100,000,000 shares of US$0.001 par value per ordinary share, out of which 80,000,000 shares are Class A ordinary shares and 20,000,000 shares are Class B ordinary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Share-based compensation</w:t>
      </w:r>
    </w:p>
    <w:p>
      <w:pPr>
        <w:spacing w:after="0" w:line="135" w:lineRule="exact"/>
        <w:rPr>
          <w:sz w:val="20"/>
          <w:szCs w:val="20"/>
          <w:color w:val="auto"/>
        </w:rPr>
      </w:pPr>
    </w:p>
    <w:p>
      <w:pPr>
        <w:ind w:left="580" w:hanging="572"/>
        <w:spacing w:after="0"/>
        <w:tabs>
          <w:tab w:leader="none" w:pos="5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117" w:lineRule="exact"/>
        <w:rPr>
          <w:rFonts w:ascii="Arial" w:cs="Arial" w:eastAsia="Arial" w:hAnsi="Arial"/>
          <w:sz w:val="18"/>
          <w:szCs w:val="18"/>
          <w:color w:val="auto"/>
        </w:rPr>
      </w:pPr>
    </w:p>
    <w:p>
      <w:pPr>
        <w:ind w:left="580" w:right="36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73" w:lineRule="exact"/>
        <w:rPr>
          <w:rFonts w:ascii="Arial" w:cs="Arial" w:eastAsia="Arial" w:hAnsi="Arial"/>
          <w:sz w:val="18"/>
          <w:szCs w:val="18"/>
          <w:color w:val="auto"/>
        </w:rPr>
      </w:pPr>
    </w:p>
    <w:p>
      <w:pPr>
        <w:ind w:left="580"/>
        <w:spacing w:after="0" w:line="264" w:lineRule="auto"/>
        <w:rPr>
          <w:rFonts w:ascii="Arial" w:cs="Arial" w:eastAsia="Arial" w:hAnsi="Arial"/>
          <w:sz w:val="18"/>
          <w:szCs w:val="18"/>
          <w:color w:val="auto"/>
        </w:rPr>
      </w:pPr>
      <w:r>
        <w:rPr>
          <w:rFonts w:ascii="Arial" w:cs="Arial" w:eastAsia="Arial" w:hAnsi="Arial"/>
          <w:sz w:val="18"/>
          <w:szCs w:val="18"/>
          <w:color w:val="auto"/>
        </w:rPr>
        <w:t>During the years ended December 31, 2015, 2016 and 2017,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jc w:val="center"/>
              <w:ind w:left="32"/>
              <w:spacing w:after="0"/>
              <w:rPr>
                <w:sz w:val="20"/>
                <w:szCs w:val="20"/>
                <w:color w:val="auto"/>
              </w:rPr>
            </w:pPr>
            <w:r>
              <w:rPr>
                <w:rFonts w:ascii="Arial" w:cs="Arial" w:eastAsia="Arial" w:hAnsi="Arial"/>
                <w:sz w:val="14"/>
                <w:szCs w:val="14"/>
                <w:color w:val="auto"/>
                <w:w w:val="93"/>
              </w:rPr>
              <w:t>Exercise</w:t>
            </w:r>
          </w:p>
        </w:tc>
      </w:tr>
      <w:tr>
        <w:trPr>
          <w:trHeight w:val="149"/>
        </w:trPr>
        <w:tc>
          <w:tcPr>
            <w:tcW w:w="45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Vesting</w:t>
            </w:r>
          </w:p>
        </w:tc>
        <w:tc>
          <w:tcPr>
            <w:tcW w:w="860" w:type="dxa"/>
            <w:vAlign w:val="bottom"/>
          </w:tcPr>
          <w:p>
            <w:pPr>
              <w:jc w:val="center"/>
              <w:ind w:left="12"/>
              <w:spacing w:after="0" w:line="149" w:lineRule="exact"/>
              <w:rPr>
                <w:sz w:val="20"/>
                <w:szCs w:val="20"/>
                <w:color w:val="auto"/>
              </w:rPr>
            </w:pPr>
            <w:r>
              <w:rPr>
                <w:rFonts w:ascii="Arial" w:cs="Arial" w:eastAsia="Arial" w:hAnsi="Arial"/>
                <w:sz w:val="14"/>
                <w:szCs w:val="14"/>
                <w:color w:val="auto"/>
                <w:w w:val="95"/>
              </w:rPr>
              <w:t>price at</w:t>
            </w:r>
          </w:p>
        </w:tc>
      </w:tr>
      <w:tr>
        <w:trPr>
          <w:trHeight w:val="149"/>
        </w:trPr>
        <w:tc>
          <w:tcPr>
            <w:tcW w:w="4540" w:type="dxa"/>
            <w:vAlign w:val="bottom"/>
          </w:tcPr>
          <w:p>
            <w:pPr>
              <w:spacing w:after="0"/>
              <w:rPr>
                <w:sz w:val="12"/>
                <w:szCs w:val="12"/>
                <w:color w:val="auto"/>
              </w:rPr>
            </w:pPr>
          </w:p>
        </w:tc>
        <w:tc>
          <w:tcPr>
            <w:tcW w:w="348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Number of</w:t>
            </w:r>
          </w:p>
        </w:tc>
        <w:tc>
          <w:tcPr>
            <w:tcW w:w="800" w:type="dxa"/>
            <w:vAlign w:val="bottom"/>
          </w:tcPr>
          <w:p>
            <w:pPr>
              <w:jc w:val="right"/>
              <w:ind w:right="171"/>
              <w:spacing w:after="0" w:line="149" w:lineRule="exact"/>
              <w:rPr>
                <w:sz w:val="20"/>
                <w:szCs w:val="20"/>
                <w:color w:val="auto"/>
              </w:rPr>
            </w:pPr>
            <w:r>
              <w:rPr>
                <w:rFonts w:ascii="Arial" w:cs="Arial" w:eastAsia="Arial" w:hAnsi="Arial"/>
                <w:sz w:val="14"/>
                <w:szCs w:val="14"/>
                <w:color w:val="auto"/>
              </w:rPr>
              <w:t>Term</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period</w:t>
            </w:r>
          </w:p>
        </w:tc>
        <w:tc>
          <w:tcPr>
            <w:tcW w:w="860" w:type="dxa"/>
            <w:vAlign w:val="bottom"/>
          </w:tcPr>
          <w:p>
            <w:pPr>
              <w:jc w:val="center"/>
              <w:ind w:left="12"/>
              <w:spacing w:after="0" w:line="149" w:lineRule="exact"/>
              <w:rPr>
                <w:sz w:val="20"/>
                <w:szCs w:val="20"/>
                <w:color w:val="auto"/>
              </w:rPr>
            </w:pPr>
            <w:r>
              <w:rPr>
                <w:rFonts w:ascii="Arial" w:cs="Arial" w:eastAsia="Arial" w:hAnsi="Arial"/>
                <w:sz w:val="14"/>
                <w:szCs w:val="14"/>
                <w:color w:val="auto"/>
                <w:w w:val="88"/>
              </w:rPr>
              <w:t>grant date</w:t>
            </w:r>
          </w:p>
        </w:tc>
      </w:tr>
      <w:tr>
        <w:trPr>
          <w:trHeight w:val="181"/>
        </w:trPr>
        <w:tc>
          <w:tcPr>
            <w:tcW w:w="4540" w:type="dxa"/>
            <w:vAlign w:val="bottom"/>
          </w:tcPr>
          <w:p>
            <w:pPr>
              <w:spacing w:after="0"/>
              <w:rPr>
                <w:sz w:val="20"/>
                <w:szCs w:val="20"/>
                <w:color w:val="auto"/>
              </w:rPr>
            </w:pPr>
            <w:r>
              <w:rPr>
                <w:rFonts w:ascii="Arial" w:cs="Arial" w:eastAsia="Arial" w:hAnsi="Arial"/>
                <w:sz w:val="14"/>
                <w:szCs w:val="14"/>
                <w:color w:val="auto"/>
              </w:rPr>
              <w:t>Grant Date</w:t>
            </w:r>
          </w:p>
        </w:tc>
        <w:tc>
          <w:tcPr>
            <w:tcW w:w="3480" w:type="dxa"/>
            <w:vAlign w:val="bottom"/>
          </w:tcPr>
          <w:p>
            <w:pPr>
              <w:jc w:val="right"/>
              <w:ind w:right="271"/>
              <w:spacing w:after="0"/>
              <w:rPr>
                <w:sz w:val="20"/>
                <w:szCs w:val="20"/>
                <w:color w:val="auto"/>
              </w:rPr>
            </w:pPr>
            <w:r>
              <w:rPr>
                <w:rFonts w:ascii="Arial" w:cs="Arial" w:eastAsia="Arial" w:hAnsi="Arial"/>
                <w:sz w:val="14"/>
                <w:szCs w:val="14"/>
                <w:color w:val="auto"/>
              </w:rPr>
              <w:t>shares</w:t>
            </w:r>
          </w:p>
        </w:tc>
        <w:tc>
          <w:tcPr>
            <w:tcW w:w="800" w:type="dxa"/>
            <w:vAlign w:val="bottom"/>
          </w:tcPr>
          <w:p>
            <w:pPr>
              <w:jc w:val="right"/>
              <w:ind w:right="151"/>
              <w:spacing w:after="0"/>
              <w:rPr>
                <w:sz w:val="20"/>
                <w:szCs w:val="20"/>
                <w:color w:val="auto"/>
              </w:rPr>
            </w:pPr>
            <w:r>
              <w:rPr>
                <w:rFonts w:ascii="Arial" w:cs="Arial" w:eastAsia="Arial" w:hAnsi="Arial"/>
                <w:sz w:val="14"/>
                <w:szCs w:val="14"/>
                <w:color w:val="auto"/>
              </w:rPr>
              <w:t>(year)</w:t>
            </w:r>
          </w:p>
        </w:tc>
        <w:tc>
          <w:tcPr>
            <w:tcW w:w="820" w:type="dxa"/>
            <w:vAlign w:val="bottom"/>
          </w:tcPr>
          <w:p>
            <w:pPr>
              <w:jc w:val="right"/>
              <w:ind w:right="172"/>
              <w:spacing w:after="0"/>
              <w:rPr>
                <w:sz w:val="20"/>
                <w:szCs w:val="20"/>
                <w:color w:val="auto"/>
              </w:rPr>
            </w:pPr>
            <w:r>
              <w:rPr>
                <w:rFonts w:ascii="Arial" w:cs="Arial" w:eastAsia="Arial" w:hAnsi="Arial"/>
                <w:sz w:val="14"/>
                <w:szCs w:val="14"/>
                <w:color w:val="auto"/>
              </w:rPr>
              <w:t>(year)</w:t>
            </w:r>
          </w:p>
        </w:tc>
        <w:tc>
          <w:tcPr>
            <w:tcW w:w="860" w:type="dxa"/>
            <w:vAlign w:val="bottom"/>
          </w:tcPr>
          <w:p>
            <w:pPr>
              <w:jc w:val="center"/>
              <w:ind w:left="12"/>
              <w:spacing w:after="0"/>
              <w:rPr>
                <w:sz w:val="20"/>
                <w:szCs w:val="20"/>
                <w:color w:val="auto"/>
              </w:rPr>
            </w:pPr>
            <w:r>
              <w:rPr>
                <w:rFonts w:ascii="Arial" w:cs="Arial" w:eastAsia="Arial" w:hAnsi="Arial"/>
                <w:sz w:val="14"/>
                <w:szCs w:val="14"/>
                <w:color w:val="auto"/>
                <w:w w:val="98"/>
              </w:rPr>
              <w:t>(US$)</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 (Note ii)</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18,500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0.00</w:t>
            </w:r>
          </w:p>
        </w:tc>
        <w:tc>
          <w:tcPr>
            <w:tcW w:w="860" w:type="dxa"/>
            <w:vAlign w:val="bottom"/>
          </w:tcPr>
          <w:p>
            <w:pPr>
              <w:jc w:val="right"/>
              <w:spacing w:after="0"/>
              <w:rPr>
                <w:sz w:val="20"/>
                <w:szCs w:val="20"/>
                <w:color w:val="auto"/>
              </w:rPr>
            </w:pPr>
            <w:r>
              <w:rPr>
                <w:rFonts w:ascii="Arial" w:cs="Arial" w:eastAsia="Arial" w:hAnsi="Arial"/>
                <w:sz w:val="18"/>
                <w:szCs w:val="18"/>
                <w:color w:val="auto"/>
              </w:rPr>
              <w:t>1.8227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2015 (Note ii)</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11,938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0.00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2015</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206,845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tcPr>
          <w:p>
            <w:pPr>
              <w:jc w:val="right"/>
              <w:spacing w:after="0"/>
              <w:rPr>
                <w:sz w:val="20"/>
                <w:szCs w:val="20"/>
                <w:color w:val="auto"/>
              </w:rPr>
            </w:pPr>
            <w:r>
              <w:rPr>
                <w:rFonts w:ascii="Arial" w:cs="Arial" w:eastAsia="Arial" w:hAnsi="Arial"/>
                <w:sz w:val="18"/>
                <w:szCs w:val="18"/>
                <w:color w:val="auto"/>
              </w:rPr>
              <w:t>8.1300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February 1, 2015 (Note i)</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10.17</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June 30, 2015</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36,000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tcPr>
          <w:p>
            <w:pPr>
              <w:jc w:val="right"/>
              <w:spacing w:after="0"/>
              <w:rPr>
                <w:sz w:val="20"/>
                <w:szCs w:val="20"/>
                <w:color w:val="auto"/>
              </w:rPr>
            </w:pPr>
            <w:r>
              <w:rPr>
                <w:rFonts w:ascii="Arial" w:cs="Arial" w:eastAsia="Arial" w:hAnsi="Arial"/>
                <w:sz w:val="18"/>
                <w:szCs w:val="18"/>
                <w:color w:val="auto"/>
              </w:rPr>
              <w:t>16.1700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6, 2015</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25,000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4.24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6, 2015</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15,000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11.25</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5.24</w:t>
            </w:r>
          </w:p>
        </w:tc>
        <w:tc>
          <w:tcPr>
            <w:tcW w:w="86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iii)</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58,058</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0.3224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iv)</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25,308</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1.75</w:t>
            </w:r>
          </w:p>
        </w:tc>
        <w:tc>
          <w:tcPr>
            <w:tcW w:w="86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7,444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0.8598</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49,871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2.33</w:t>
            </w:r>
          </w:p>
        </w:tc>
        <w:tc>
          <w:tcPr>
            <w:tcW w:w="860" w:type="dxa"/>
            <w:vAlign w:val="bottom"/>
          </w:tcPr>
          <w:p>
            <w:pPr>
              <w:jc w:val="right"/>
              <w:spacing w:after="0"/>
              <w:rPr>
                <w:sz w:val="20"/>
                <w:szCs w:val="20"/>
                <w:color w:val="auto"/>
              </w:rPr>
            </w:pPr>
            <w:r>
              <w:rPr>
                <w:rFonts w:ascii="Arial" w:cs="Arial" w:eastAsia="Arial" w:hAnsi="Arial"/>
                <w:sz w:val="18"/>
                <w:szCs w:val="18"/>
                <w:color w:val="auto"/>
              </w:rPr>
              <w:t>1.0748</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32,750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vii)</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10,421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2.67</w:t>
            </w:r>
          </w:p>
        </w:tc>
        <w:tc>
          <w:tcPr>
            <w:tcW w:w="860" w:type="dxa"/>
            <w:vAlign w:val="bottom"/>
          </w:tcPr>
          <w:p>
            <w:pPr>
              <w:jc w:val="right"/>
              <w:spacing w:after="0"/>
              <w:rPr>
                <w:sz w:val="20"/>
                <w:szCs w:val="20"/>
                <w:color w:val="auto"/>
              </w:rPr>
            </w:pPr>
            <w:r>
              <w:rPr>
                <w:rFonts w:ascii="Arial" w:cs="Arial" w:eastAsia="Arial" w:hAnsi="Arial"/>
                <w:sz w:val="18"/>
                <w:szCs w:val="18"/>
                <w:color w:val="auto"/>
              </w:rPr>
              <w:t>0.4299</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viii)</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82,995</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3.33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ix)</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11,165</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3.42</w:t>
            </w:r>
          </w:p>
        </w:tc>
        <w:tc>
          <w:tcPr>
            <w:tcW w:w="860" w:type="dxa"/>
            <w:vAlign w:val="bottom"/>
          </w:tcPr>
          <w:p>
            <w:pPr>
              <w:jc w:val="right"/>
              <w:spacing w:after="0"/>
              <w:rPr>
                <w:sz w:val="20"/>
                <w:szCs w:val="20"/>
                <w:color w:val="auto"/>
              </w:rPr>
            </w:pPr>
            <w:r>
              <w:rPr>
                <w:rFonts w:ascii="Arial" w:cs="Arial" w:eastAsia="Arial" w:hAnsi="Arial"/>
                <w:sz w:val="18"/>
                <w:szCs w:val="18"/>
                <w:color w:val="auto"/>
              </w:rPr>
              <w:t>0.2687</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78,156</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August 1, 2015 (Note xi)</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147,007</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3.83</w:t>
            </w:r>
          </w:p>
        </w:tc>
        <w:tc>
          <w:tcPr>
            <w:tcW w:w="860" w:type="dxa"/>
            <w:vAlign w:val="bottom"/>
          </w:tcPr>
          <w:p>
            <w:pPr>
              <w:jc w:val="right"/>
              <w:spacing w:after="0"/>
              <w:rPr>
                <w:sz w:val="20"/>
                <w:szCs w:val="20"/>
                <w:color w:val="auto"/>
              </w:rPr>
            </w:pPr>
            <w:r>
              <w:rPr>
                <w:rFonts w:ascii="Arial" w:cs="Arial" w:eastAsia="Arial" w:hAnsi="Arial"/>
                <w:sz w:val="18"/>
                <w:szCs w:val="18"/>
                <w:color w:val="auto"/>
              </w:rPr>
              <w:t>4.0304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August 1, 2015 (Note xii)</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21,884</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December 31, 2015</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113,311</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0.00</w:t>
            </w:r>
          </w:p>
        </w:tc>
        <w:tc>
          <w:tcPr>
            <w:tcW w:w="860" w:type="dxa"/>
            <w:vAlign w:val="bottom"/>
          </w:tcPr>
          <w:p>
            <w:pPr>
              <w:jc w:val="right"/>
              <w:spacing w:after="0"/>
              <w:rPr>
                <w:sz w:val="20"/>
                <w:szCs w:val="20"/>
                <w:color w:val="auto"/>
              </w:rPr>
            </w:pPr>
            <w:r>
              <w:rPr>
                <w:rFonts w:ascii="Arial" w:cs="Arial" w:eastAsia="Arial" w:hAnsi="Arial"/>
                <w:sz w:val="18"/>
                <w:szCs w:val="18"/>
                <w:color w:val="auto"/>
              </w:rPr>
              <w:t>0.0100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32,200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2016</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79,116</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10.25</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2016</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July 1, 2016</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1,000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10.00</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4,400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January 1, 2017</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180,000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100,800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April 1, 2017</w:t>
            </w:r>
          </w:p>
        </w:tc>
        <w:tc>
          <w:tcPr>
            <w:tcW w:w="3480" w:type="dxa"/>
            <w:vAlign w:val="bottom"/>
          </w:tcPr>
          <w:p>
            <w:pPr>
              <w:jc w:val="right"/>
              <w:ind w:right="111"/>
              <w:spacing w:after="0"/>
              <w:rPr>
                <w:sz w:val="20"/>
                <w:szCs w:val="20"/>
                <w:color w:val="auto"/>
              </w:rPr>
            </w:pPr>
            <w:r>
              <w:rPr>
                <w:rFonts w:ascii="Arial" w:cs="Arial" w:eastAsia="Arial" w:hAnsi="Arial"/>
                <w:sz w:val="18"/>
                <w:szCs w:val="18"/>
                <w:color w:val="auto"/>
              </w:rPr>
              <w:t>5,000</w:t>
            </w:r>
          </w:p>
        </w:tc>
        <w:tc>
          <w:tcPr>
            <w:tcW w:w="800" w:type="dxa"/>
            <w:vAlign w:val="bottom"/>
          </w:tcPr>
          <w:p>
            <w:pPr>
              <w:jc w:val="right"/>
              <w:ind w:right="91"/>
              <w:spacing w:after="0"/>
              <w:rPr>
                <w:sz w:val="20"/>
                <w:szCs w:val="20"/>
                <w:color w:val="auto"/>
              </w:rPr>
            </w:pPr>
            <w:r>
              <w:rPr>
                <w:rFonts w:ascii="Arial" w:cs="Arial" w:eastAsia="Arial" w:hAnsi="Arial"/>
                <w:sz w:val="18"/>
                <w:szCs w:val="18"/>
                <w:color w:val="auto"/>
              </w:rPr>
              <w:t>10.01</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4.00</w:t>
            </w:r>
          </w:p>
        </w:tc>
        <w:tc>
          <w:tcPr>
            <w:tcW w:w="860" w:type="dxa"/>
            <w:vAlign w:val="bottom"/>
          </w:tcPr>
          <w:p>
            <w:pPr>
              <w:jc w:val="right"/>
              <w:spacing w:after="0"/>
              <w:rPr>
                <w:sz w:val="20"/>
                <w:szCs w:val="20"/>
                <w:color w:val="auto"/>
              </w:rPr>
            </w:pPr>
            <w:r>
              <w:rPr>
                <w:rFonts w:ascii="Arial" w:cs="Arial" w:eastAsia="Arial" w:hAnsi="Arial"/>
                <w:sz w:val="18"/>
                <w:szCs w:val="18"/>
                <w:color w:val="auto"/>
              </w:rPr>
              <w:t>12.0000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4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12,000</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8.51</w:t>
            </w:r>
          </w:p>
        </w:tc>
        <w:tc>
          <w:tcPr>
            <w:tcW w:w="8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8.1290</w:t>
            </w:r>
          </w:p>
        </w:tc>
      </w:tr>
    </w:tbl>
    <w:p>
      <w:pPr>
        <w:spacing w:after="0" w:line="229" w:lineRule="exact"/>
        <w:rPr>
          <w:sz w:val="20"/>
          <w:szCs w:val="20"/>
          <w:color w:val="auto"/>
        </w:rPr>
      </w:pPr>
    </w:p>
    <w:p>
      <w:pPr>
        <w:ind w:left="1140" w:right="140" w:hanging="565"/>
        <w:spacing w:after="0" w:line="308" w:lineRule="auto"/>
        <w:tabs>
          <w:tab w:leader="none" w:pos="11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Company modified certain terms of the options in 2016 previously granted which these modifications were related to either the vesting period or the exercise price. The incremental costs resulting from such modifications were assessed to be insignificant.</w:t>
      </w:r>
    </w:p>
    <w:p>
      <w:pPr>
        <w:spacing w:after="0" w:line="51" w:lineRule="exact"/>
        <w:rPr>
          <w:rFonts w:ascii="Arial" w:cs="Arial" w:eastAsia="Arial" w:hAnsi="Arial"/>
          <w:sz w:val="17"/>
          <w:szCs w:val="17"/>
          <w:color w:val="auto"/>
        </w:rPr>
      </w:pPr>
    </w:p>
    <w:p>
      <w:pPr>
        <w:ind w:left="1140" w:right="200" w:hanging="565"/>
        <w:spacing w:after="0" w:line="277" w:lineRule="auto"/>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These share options were granted to employees for their past services and immediately vested on grant date. The holders of the options are entitled to exercise the vested options during January 1, 2015 to February 28,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320"/>
          </w:cols>
          <w:pgMar w:left="24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Share-based compensation (Continued)</w:t>
      </w:r>
    </w:p>
    <w:p>
      <w:pPr>
        <w:spacing w:after="0" w:line="162" w:lineRule="exact"/>
        <w:rPr>
          <w:sz w:val="20"/>
          <w:szCs w:val="20"/>
          <w:color w:val="auto"/>
        </w:rPr>
      </w:pPr>
    </w:p>
    <w:p>
      <w:pPr>
        <w:ind w:left="580" w:hanging="572"/>
        <w:spacing w:after="0"/>
        <w:tabs>
          <w:tab w:leader="none" w:pos="5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57" w:lineRule="exact"/>
        <w:rPr>
          <w:rFonts w:ascii="Arial" w:cs="Arial" w:eastAsia="Arial" w:hAnsi="Arial"/>
          <w:sz w:val="18"/>
          <w:szCs w:val="18"/>
          <w:color w:val="auto"/>
        </w:rPr>
      </w:pPr>
    </w:p>
    <w:p>
      <w:pPr>
        <w:jc w:val="both"/>
        <w:ind w:left="1140" w:right="300" w:hanging="565"/>
        <w:spacing w:after="0" w:line="286" w:lineRule="auto"/>
        <w:tabs>
          <w:tab w:leader="none" w:pos="11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58.33% of the options were vested on August 1, 2015 and the remaining 41.67% of the options are vested over a 1.67-year period starting from August 1, 2015 to March 31, 2017. The holders of the options are entitled to exercise the vested options during the first five business days of January, April, July and October until the expiration date — August 1, 2025 of the share options.</w:t>
      </w:r>
    </w:p>
    <w:p>
      <w:pPr>
        <w:spacing w:after="0" w:line="70" w:lineRule="exact"/>
        <w:rPr>
          <w:rFonts w:ascii="Arial" w:cs="Arial" w:eastAsia="Arial" w:hAnsi="Arial"/>
          <w:sz w:val="17"/>
          <w:szCs w:val="17"/>
          <w:color w:val="auto"/>
        </w:rPr>
      </w:pPr>
    </w:p>
    <w:p>
      <w:pPr>
        <w:ind w:left="1140" w:right="20" w:hanging="565"/>
        <w:spacing w:after="0" w:line="286" w:lineRule="auto"/>
        <w:tabs>
          <w:tab w:leader="none" w:pos="11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56.25% of the options were vested on August 1, 2015 and the remaining 43.75% of the options are vested over a 1.75-year period starting from August 1, 2015 to April 30, 2017. The holders of the options are entitled to exercise the vested options during the first five business days of January, April, July and October until the expiration date — August 1, 2025 of the share options.</w:t>
      </w:r>
    </w:p>
    <w:p>
      <w:pPr>
        <w:spacing w:after="0" w:line="70" w:lineRule="exact"/>
        <w:rPr>
          <w:rFonts w:ascii="Arial" w:cs="Arial" w:eastAsia="Arial" w:hAnsi="Arial"/>
          <w:sz w:val="17"/>
          <w:szCs w:val="17"/>
          <w:color w:val="auto"/>
        </w:rPr>
      </w:pPr>
    </w:p>
    <w:p>
      <w:pPr>
        <w:ind w:left="1140" w:right="180" w:hanging="565"/>
        <w:spacing w:after="0" w:line="286" w:lineRule="auto"/>
        <w:tabs>
          <w:tab w:leader="none" w:pos="11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43.75% of the options were vested on August 1, 2015 and the remaining 56.25% of the options are vested over a 2.25-year period starting from August 1, 2015 to October 31, 2017. The holders of the options are entitled to exercise the vested options during the first five business days of January, April, July and October until the expiration date — August 1, 2025 of the share options.</w:t>
      </w:r>
    </w:p>
    <w:p>
      <w:pPr>
        <w:spacing w:after="0" w:line="70" w:lineRule="exact"/>
        <w:rPr>
          <w:rFonts w:ascii="Arial" w:cs="Arial" w:eastAsia="Arial" w:hAnsi="Arial"/>
          <w:sz w:val="17"/>
          <w:szCs w:val="17"/>
          <w:color w:val="auto"/>
        </w:rPr>
      </w:pPr>
    </w:p>
    <w:p>
      <w:pPr>
        <w:jc w:val="both"/>
        <w:ind w:left="1140" w:right="20" w:hanging="565"/>
        <w:spacing w:after="0" w:line="286" w:lineRule="auto"/>
        <w:tabs>
          <w:tab w:leader="none" w:pos="11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41.67% of the options were vested on August 1, 2015 and the remaining 58.3% of the options are vested over a 2.33-year period starting from August 1, 2015 to November 30, 2017. The holders of the options are entitled to exercise the vested options during the first five business days of January, April, July and October until the expiration date — August 1, 2025 of the share options.</w:t>
      </w:r>
    </w:p>
    <w:p>
      <w:pPr>
        <w:spacing w:after="0" w:line="70" w:lineRule="exact"/>
        <w:rPr>
          <w:rFonts w:ascii="Arial" w:cs="Arial" w:eastAsia="Arial" w:hAnsi="Arial"/>
          <w:sz w:val="17"/>
          <w:szCs w:val="17"/>
          <w:color w:val="auto"/>
        </w:rPr>
      </w:pPr>
    </w:p>
    <w:p>
      <w:pPr>
        <w:jc w:val="both"/>
        <w:ind w:left="1140" w:right="300" w:hanging="565"/>
        <w:spacing w:after="0" w:line="286" w:lineRule="auto"/>
        <w:tabs>
          <w:tab w:leader="none" w:pos="11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33.67% of the options were vested on August 1, 2015 and the remaining 66.33% of the options are vested over a 2.67-year period starting from August 1, 2015 to March 31, 2018. The holders of the options are entitled to exercise the vested options during the first five business days of January, April, July and October until the expiration date — August 1, 2025 of the share options.</w:t>
      </w:r>
    </w:p>
    <w:p>
      <w:pPr>
        <w:spacing w:after="0" w:line="70" w:lineRule="exact"/>
        <w:rPr>
          <w:rFonts w:ascii="Arial" w:cs="Arial" w:eastAsia="Arial" w:hAnsi="Arial"/>
          <w:sz w:val="17"/>
          <w:szCs w:val="17"/>
          <w:color w:val="auto"/>
        </w:rPr>
      </w:pPr>
    </w:p>
    <w:p>
      <w:pPr>
        <w:ind w:left="1140" w:hanging="565"/>
        <w:spacing w:after="0" w:line="286" w:lineRule="auto"/>
        <w:tabs>
          <w:tab w:leader="none" w:pos="11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16.67% of the options were vested on August 1, 2015 and the remaining 83.33% of the options are vested over a 3.33-year period starting from August 1, 2015 to November 30, 2018. The holders of the options are entitled to exercise the vested options during the first five business days of January, April, July and October until the expiration date — August 1, 2025 of the share options.</w:t>
      </w:r>
    </w:p>
    <w:p>
      <w:pPr>
        <w:spacing w:after="0" w:line="70" w:lineRule="exact"/>
        <w:rPr>
          <w:rFonts w:ascii="Arial" w:cs="Arial" w:eastAsia="Arial" w:hAnsi="Arial"/>
          <w:sz w:val="17"/>
          <w:szCs w:val="17"/>
          <w:color w:val="auto"/>
        </w:rPr>
      </w:pPr>
    </w:p>
    <w:p>
      <w:pPr>
        <w:ind w:left="1140" w:right="20" w:hanging="565"/>
        <w:spacing w:after="0" w:line="286" w:lineRule="auto"/>
        <w:tabs>
          <w:tab w:leader="none" w:pos="11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14.58% of the options were vested on August 1, 2015 and the remaining 85.42% of the options are vested over a 3.42-year period starting from August 1, 2015 to December 31, 2018. The holders of the options are entitled to exercise the vested options during the first five business days of January, April, July and October until the expiration date — August 1, 2025 of the share options.</w:t>
      </w:r>
    </w:p>
    <w:p>
      <w:pPr>
        <w:spacing w:after="0" w:line="70" w:lineRule="exact"/>
        <w:rPr>
          <w:rFonts w:ascii="Arial" w:cs="Arial" w:eastAsia="Arial" w:hAnsi="Arial"/>
          <w:sz w:val="17"/>
          <w:szCs w:val="17"/>
          <w:color w:val="auto"/>
        </w:rPr>
      </w:pPr>
    </w:p>
    <w:p>
      <w:pPr>
        <w:ind w:left="1140" w:right="40" w:hanging="565"/>
        <w:spacing w:after="0" w:line="286" w:lineRule="auto"/>
        <w:tabs>
          <w:tab w:leader="none" w:pos="11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8.33% of the options were vested on August 1, 2015 and the remaining 91.67% of the options are vested over a 3.67-year period starting from August 1, 2015 to March 31, 2019. The holders of the options are entitled to exercise the vested options during the first five business days of January, April, July and October until the expiration date — August 1, 2025 of the share options.</w:t>
      </w:r>
    </w:p>
    <w:p>
      <w:pPr>
        <w:spacing w:after="0" w:line="70" w:lineRule="exact"/>
        <w:rPr>
          <w:rFonts w:ascii="Arial" w:cs="Arial" w:eastAsia="Arial" w:hAnsi="Arial"/>
          <w:sz w:val="17"/>
          <w:szCs w:val="17"/>
          <w:color w:val="auto"/>
        </w:rPr>
      </w:pPr>
    </w:p>
    <w:p>
      <w:pPr>
        <w:ind w:left="1140" w:right="40" w:hanging="565"/>
        <w:spacing w:after="0" w:line="286" w:lineRule="auto"/>
        <w:tabs>
          <w:tab w:leader="none" w:pos="1140" w:val="left"/>
        </w:tabs>
        <w:numPr>
          <w:ilvl w:val="1"/>
          <w:numId w:val="167"/>
        </w:numPr>
        <w:rPr>
          <w:rFonts w:ascii="Arial" w:cs="Arial" w:eastAsia="Arial" w:hAnsi="Arial"/>
          <w:sz w:val="17"/>
          <w:szCs w:val="17"/>
          <w:color w:val="auto"/>
        </w:rPr>
      </w:pPr>
      <w:r>
        <w:rPr>
          <w:rFonts w:ascii="Arial" w:cs="Arial" w:eastAsia="Arial" w:hAnsi="Arial"/>
          <w:sz w:val="17"/>
          <w:szCs w:val="17"/>
          <w:color w:val="auto"/>
        </w:rPr>
        <w:t>4.17% of the options were vested on August 1, 2015 and the remaining 95.83% of the options are vested over a 3.83-year period starting from August 1, 2015 to May 31, 2019. The holders of the options are entitled to exercise the vested options during the first five business days of January, April, July and October until the expiration date — August 1, 2025 of the share options.</w:t>
      </w:r>
    </w:p>
    <w:p>
      <w:pPr>
        <w:spacing w:after="0" w:line="70" w:lineRule="exact"/>
        <w:rPr>
          <w:rFonts w:ascii="Arial" w:cs="Arial" w:eastAsia="Arial" w:hAnsi="Arial"/>
          <w:sz w:val="17"/>
          <w:szCs w:val="17"/>
          <w:color w:val="auto"/>
        </w:rPr>
      </w:pPr>
    </w:p>
    <w:p>
      <w:pPr>
        <w:ind w:left="1140" w:right="120" w:hanging="565"/>
        <w:spacing w:after="0" w:line="264" w:lineRule="auto"/>
        <w:tabs>
          <w:tab w:leader="none" w:pos="11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options are vested over a 4-year period starting from August 1, 2015 to May 31, 2019. The holders of the options are entitled to exercise the vested options during the first five business days of January, April, July and October until the expiration date — August 1, 2025 of the share options.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Share-based compensation (Continued)</w:t>
      </w:r>
    </w:p>
    <w:p>
      <w:pPr>
        <w:spacing w:after="0" w:line="162" w:lineRule="exact"/>
        <w:rPr>
          <w:sz w:val="20"/>
          <w:szCs w:val="20"/>
          <w:color w:val="auto"/>
        </w:rPr>
      </w:pPr>
    </w:p>
    <w:p>
      <w:pPr>
        <w:ind w:left="580" w:hanging="572"/>
        <w:spacing w:after="0"/>
        <w:tabs>
          <w:tab w:leader="none" w:pos="5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26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following table summarizes the share option activity for the years ended December 31, 2016 and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Weighted</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Weighted</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gridSpan w:val="2"/>
          </w:tcPr>
          <w:p>
            <w:pPr>
              <w:jc w:val="center"/>
              <w:ind w:right="360"/>
              <w:spacing w:after="0" w:line="154" w:lineRule="exact"/>
              <w:rPr>
                <w:sz w:val="20"/>
                <w:szCs w:val="20"/>
                <w:color w:val="auto"/>
              </w:rPr>
            </w:pPr>
            <w:r>
              <w:rPr>
                <w:rFonts w:ascii="Arial" w:cs="Arial" w:eastAsia="Arial" w:hAnsi="Arial"/>
                <w:sz w:val="14"/>
                <w:szCs w:val="14"/>
                <w:color w:val="auto"/>
                <w:w w:val="94"/>
              </w:rPr>
              <w:t>Weighted</w:t>
            </w:r>
          </w:p>
        </w:tc>
        <w:tc>
          <w:tcPr>
            <w:tcW w:w="940" w:type="dxa"/>
            <w:vAlign w:val="bottom"/>
            <w:gridSpan w:val="2"/>
          </w:tcPr>
          <w:p>
            <w:pPr>
              <w:jc w:val="center"/>
              <w:ind w:right="360"/>
              <w:spacing w:after="0" w:line="154" w:lineRule="exact"/>
              <w:rPr>
                <w:sz w:val="20"/>
                <w:szCs w:val="20"/>
                <w:color w:val="auto"/>
              </w:rPr>
            </w:pPr>
            <w:r>
              <w:rPr>
                <w:rFonts w:ascii="Arial" w:cs="Arial" w:eastAsia="Arial" w:hAnsi="Arial"/>
                <w:sz w:val="14"/>
                <w:szCs w:val="14"/>
                <w:color w:val="auto"/>
                <w:w w:val="90"/>
              </w:rPr>
              <w:t>average</w:t>
            </w:r>
          </w:p>
        </w:tc>
        <w:tc>
          <w:tcPr>
            <w:tcW w:w="1020" w:type="dxa"/>
            <w:vAlign w:val="bottom"/>
            <w:gridSpan w:val="2"/>
          </w:tcPr>
          <w:p>
            <w:pPr>
              <w:jc w:val="center"/>
              <w:ind w:right="360"/>
              <w:spacing w:after="0" w:line="154" w:lineRule="exact"/>
              <w:rPr>
                <w:sz w:val="20"/>
                <w:szCs w:val="20"/>
                <w:color w:val="auto"/>
              </w:rPr>
            </w:pPr>
            <w:r>
              <w:rPr>
                <w:rFonts w:ascii="Arial" w:cs="Arial" w:eastAsia="Arial" w:hAnsi="Arial"/>
                <w:sz w:val="14"/>
                <w:szCs w:val="14"/>
                <w:color w:val="auto"/>
                <w:w w:val="90"/>
              </w:rPr>
              <w:t>average</w:t>
            </w:r>
          </w:p>
        </w:tc>
        <w:tc>
          <w:tcPr>
            <w:tcW w:w="66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average</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grant date</w:t>
            </w: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remaining</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exercise price</w:t>
            </w: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4"/>
              </w:rPr>
              <w:t>fair value</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0"/>
              </w:rPr>
              <w:t>contractual</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color w:val="auto"/>
              </w:rPr>
              <w:t>shares</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color w:val="auto"/>
                <w:w w:val="95"/>
              </w:rPr>
              <w:t>US$</w:t>
            </w: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life years</w:t>
            </w: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1,592,443</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122,316</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10.42</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13.81</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(68,135)</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(154,439)</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7.14</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1,492,185</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18,631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at December 31, 2016</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1,083,293</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9.64</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7.15</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Exercisable to vest at December 31, 2016</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928,597</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10.77</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324"/>
        </w:trPr>
        <w:tc>
          <w:tcPr>
            <w:tcW w:w="6460" w:type="dxa"/>
            <w:vAlign w:val="bottom"/>
            <w:gridSpan w:val="2"/>
          </w:tcPr>
          <w:p>
            <w:pPr>
              <w:spacing w:after="0"/>
              <w:rPr>
                <w:sz w:val="20"/>
                <w:szCs w:val="20"/>
                <w:color w:val="auto"/>
              </w:rPr>
            </w:pPr>
            <w:r>
              <w:rPr>
                <w:rFonts w:ascii="Arial" w:cs="Arial" w:eastAsia="Arial" w:hAnsi="Arial"/>
                <w:sz w:val="18"/>
                <w:szCs w:val="18"/>
                <w:color w:val="auto"/>
              </w:rPr>
              <w:t>At January 1, 2017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1,492,185</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5.23</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7.80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302,200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8.37</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11.67</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(25,898)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(225,911)</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7.34</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At December 31, 2017</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1,542,576</w:t>
            </w:r>
          </w:p>
        </w:tc>
        <w:tc>
          <w:tcPr>
            <w:tcW w:w="4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1,199,712</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10.71</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Exercisable to vest at December 31, 2017</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1,118,812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4.72</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11.35</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6.87</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15,035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right="320"/>
        <w:spacing w:after="0" w:line="312"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9% and 6% for employees and 0% and 23% for senior management in 2016 and 2017 respectively.</w:t>
      </w:r>
    </w:p>
    <w:p>
      <w:pPr>
        <w:spacing w:after="0" w:line="39" w:lineRule="exact"/>
        <w:rPr>
          <w:sz w:val="20"/>
          <w:szCs w:val="20"/>
          <w:color w:val="auto"/>
        </w:rPr>
      </w:pPr>
    </w:p>
    <w:p>
      <w:pPr>
        <w:ind w:left="580" w:right="38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December 31, 2016 and 2017 and the exercise price.</w:t>
      </w:r>
    </w:p>
    <w:p>
      <w:pPr>
        <w:spacing w:after="0" w:line="62" w:lineRule="exact"/>
        <w:rPr>
          <w:sz w:val="20"/>
          <w:szCs w:val="20"/>
          <w:color w:val="auto"/>
        </w:rPr>
      </w:pPr>
    </w:p>
    <w:p>
      <w:pPr>
        <w:ind w:left="580" w:right="8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2015, 2016 and 2017 were US$6,494, US$3,688 and US$ 3,681 respectively.</w:t>
      </w:r>
    </w:p>
    <w:p>
      <w:pPr>
        <w:spacing w:after="0" w:line="73" w:lineRule="exact"/>
        <w:rPr>
          <w:sz w:val="20"/>
          <w:szCs w:val="20"/>
          <w:color w:val="auto"/>
        </w:rPr>
      </w:pPr>
    </w:p>
    <w:p>
      <w:pPr>
        <w:ind w:left="580" w:right="220"/>
        <w:spacing w:after="0" w:line="257" w:lineRule="auto"/>
        <w:rPr>
          <w:sz w:val="20"/>
          <w:szCs w:val="20"/>
          <w:color w:val="auto"/>
        </w:rPr>
      </w:pPr>
      <w:r>
        <w:rPr>
          <w:rFonts w:ascii="Arial" w:cs="Arial" w:eastAsia="Arial" w:hAnsi="Arial"/>
          <w:sz w:val="18"/>
          <w:szCs w:val="18"/>
          <w:color w:val="auto"/>
        </w:rPr>
        <w:t>As of December 31, 2016 and 2017,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None of the options were vested as of December 31, 2016 and 2017.</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Share-based compensation (Continued)</w:t>
      </w:r>
    </w:p>
    <w:p>
      <w:pPr>
        <w:spacing w:after="0" w:line="162" w:lineRule="exact"/>
        <w:rPr>
          <w:sz w:val="20"/>
          <w:szCs w:val="20"/>
          <w:color w:val="auto"/>
        </w:rPr>
      </w:pPr>
    </w:p>
    <w:p>
      <w:pPr>
        <w:ind w:left="580" w:hanging="572"/>
        <w:spacing w:after="0"/>
        <w:tabs>
          <w:tab w:leader="none" w:pos="5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157" w:lineRule="exact"/>
        <w:rPr>
          <w:rFonts w:ascii="Arial" w:cs="Arial" w:eastAsia="Arial" w:hAnsi="Arial"/>
          <w:sz w:val="18"/>
          <w:szCs w:val="18"/>
          <w:color w:val="auto"/>
        </w:rPr>
      </w:pPr>
    </w:p>
    <w:p>
      <w:pPr>
        <w:ind w:left="580" w:right="180"/>
        <w:spacing w:after="0" w:line="259" w:lineRule="auto"/>
        <w:rPr>
          <w:rFonts w:ascii="Arial" w:cs="Arial" w:eastAsia="Arial" w:hAnsi="Arial"/>
          <w:sz w:val="18"/>
          <w:szCs w:val="18"/>
          <w:color w:val="auto"/>
        </w:rPr>
      </w:pPr>
      <w:r>
        <w:rPr>
          <w:rFonts w:ascii="Arial" w:cs="Arial" w:eastAsia="Arial" w:hAnsi="Arial"/>
          <w:sz w:val="18"/>
          <w:szCs w:val="18"/>
          <w:color w:val="auto"/>
        </w:rPr>
        <w:t>As of December 31, 2016 and 2017, there were US$5,647 and US$4,666 of unrecognized share-based compensation expenses related to share options, which were expected to be recognized over a weighted-average vesting period of 2.20 and 2.04 years, respectively. To the extent the actual forfeiture rate is different from the Company’s estimate, the actual share-based compensation related to these awards may be different from the expectation.</w:t>
      </w:r>
    </w:p>
    <w:p>
      <w:pPr>
        <w:spacing w:after="0" w:line="78" w:lineRule="exact"/>
        <w:rPr>
          <w:rFonts w:ascii="Arial" w:cs="Arial" w:eastAsia="Arial" w:hAnsi="Arial"/>
          <w:sz w:val="18"/>
          <w:szCs w:val="18"/>
          <w:color w:val="auto"/>
        </w:rPr>
      </w:pPr>
    </w:p>
    <w:p>
      <w:pPr>
        <w:ind w:left="580" w:right="140"/>
        <w:spacing w:after="0" w:line="308" w:lineRule="auto"/>
        <w:rPr>
          <w:rFonts w:ascii="Arial" w:cs="Arial" w:eastAsia="Arial" w:hAnsi="Arial"/>
          <w:sz w:val="18"/>
          <w:szCs w:val="18"/>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2016 and 2017 were estimated using the following assumptions: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Expected</w:t>
            </w:r>
          </w:p>
        </w:tc>
      </w:tr>
      <w:tr>
        <w:trPr>
          <w:trHeight w:val="149"/>
        </w:trPr>
        <w:tc>
          <w:tcPr>
            <w:tcW w:w="3620" w:type="dxa"/>
            <w:vAlign w:val="bottom"/>
          </w:tcPr>
          <w:p>
            <w:pPr>
              <w:spacing w:after="0"/>
              <w:rPr>
                <w:sz w:val="12"/>
                <w:szCs w:val="12"/>
                <w:color w:val="auto"/>
              </w:rPr>
            </w:pPr>
          </w:p>
        </w:tc>
        <w:tc>
          <w:tcPr>
            <w:tcW w:w="3540" w:type="dxa"/>
            <w:vAlign w:val="bottom"/>
          </w:tcPr>
          <w:p>
            <w:pPr>
              <w:jc w:val="center"/>
              <w:ind w:left="1957"/>
              <w:spacing w:after="0" w:line="149" w:lineRule="exact"/>
              <w:rPr>
                <w:sz w:val="20"/>
                <w:szCs w:val="20"/>
                <w:color w:val="auto"/>
              </w:rPr>
            </w:pPr>
            <w:r>
              <w:rPr>
                <w:rFonts w:ascii="Arial" w:cs="Arial" w:eastAsia="Arial" w:hAnsi="Arial"/>
                <w:sz w:val="14"/>
                <w:szCs w:val="14"/>
                <w:color w:val="auto"/>
                <w:w w:val="96"/>
              </w:rPr>
              <w:t>Risk-free</w:t>
            </w:r>
          </w:p>
        </w:tc>
        <w:tc>
          <w:tcPr>
            <w:tcW w:w="1240" w:type="dxa"/>
            <w:vAlign w:val="bottom"/>
          </w:tcPr>
          <w:p>
            <w:pPr>
              <w:jc w:val="center"/>
              <w:ind w:right="57"/>
              <w:spacing w:after="0" w:line="149" w:lineRule="exact"/>
              <w:rPr>
                <w:sz w:val="20"/>
                <w:szCs w:val="20"/>
                <w:color w:val="auto"/>
              </w:rPr>
            </w:pPr>
            <w:r>
              <w:rPr>
                <w:rFonts w:ascii="Arial" w:cs="Arial" w:eastAsia="Arial" w:hAnsi="Arial"/>
                <w:sz w:val="14"/>
                <w:szCs w:val="14"/>
                <w:color w:val="auto"/>
                <w:w w:val="99"/>
              </w:rPr>
              <w:t>Dividend</w:t>
            </w:r>
          </w:p>
        </w:tc>
        <w:tc>
          <w:tcPr>
            <w:tcW w:w="1220" w:type="dxa"/>
            <w:vAlign w:val="bottom"/>
          </w:tcPr>
          <w:p>
            <w:pPr>
              <w:ind w:left="260"/>
              <w:spacing w:after="0" w:line="149" w:lineRule="exact"/>
              <w:rPr>
                <w:sz w:val="20"/>
                <w:szCs w:val="20"/>
                <w:color w:val="auto"/>
              </w:rPr>
            </w:pPr>
            <w:r>
              <w:rPr>
                <w:rFonts w:ascii="Arial" w:cs="Arial" w:eastAsia="Arial" w:hAnsi="Arial"/>
                <w:sz w:val="14"/>
                <w:szCs w:val="14"/>
                <w:color w:val="auto"/>
              </w:rPr>
              <w:t>Volatility</w:t>
            </w:r>
          </w:p>
        </w:tc>
        <w:tc>
          <w:tcPr>
            <w:tcW w:w="880" w:type="dxa"/>
            <w:vAlign w:val="bottom"/>
          </w:tcPr>
          <w:p>
            <w:pPr>
              <w:jc w:val="right"/>
              <w:ind w:right="118"/>
              <w:spacing w:after="0" w:line="149" w:lineRule="exact"/>
              <w:rPr>
                <w:sz w:val="20"/>
                <w:szCs w:val="20"/>
                <w:color w:val="auto"/>
              </w:rPr>
            </w:pPr>
            <w:r>
              <w:rPr>
                <w:rFonts w:ascii="Arial" w:cs="Arial" w:eastAsia="Arial" w:hAnsi="Arial"/>
                <w:sz w:val="14"/>
                <w:szCs w:val="14"/>
                <w:color w:val="auto"/>
              </w:rPr>
              <w:t>term</w:t>
            </w:r>
          </w:p>
        </w:tc>
      </w:tr>
      <w:tr>
        <w:trPr>
          <w:trHeight w:val="149"/>
        </w:trPr>
        <w:tc>
          <w:tcPr>
            <w:tcW w:w="3620" w:type="dxa"/>
            <w:vAlign w:val="bottom"/>
          </w:tcPr>
          <w:p>
            <w:pPr>
              <w:spacing w:after="0"/>
              <w:rPr>
                <w:sz w:val="12"/>
                <w:szCs w:val="12"/>
                <w:color w:val="auto"/>
              </w:rPr>
            </w:pPr>
          </w:p>
        </w:tc>
        <w:tc>
          <w:tcPr>
            <w:tcW w:w="3540" w:type="dxa"/>
            <w:vAlign w:val="bottom"/>
          </w:tcPr>
          <w:p>
            <w:pPr>
              <w:jc w:val="center"/>
              <w:ind w:left="1957"/>
              <w:spacing w:after="0" w:line="149" w:lineRule="exact"/>
              <w:rPr>
                <w:sz w:val="20"/>
                <w:szCs w:val="20"/>
                <w:color w:val="auto"/>
              </w:rPr>
            </w:pPr>
            <w:r>
              <w:rPr>
                <w:rFonts w:ascii="Arial" w:cs="Arial" w:eastAsia="Arial" w:hAnsi="Arial"/>
                <w:sz w:val="14"/>
                <w:szCs w:val="14"/>
                <w:color w:val="auto"/>
                <w:w w:val="89"/>
              </w:rPr>
              <w:t>interest rate</w:t>
            </w:r>
          </w:p>
        </w:tc>
        <w:tc>
          <w:tcPr>
            <w:tcW w:w="1240" w:type="dxa"/>
            <w:vAlign w:val="bottom"/>
          </w:tcPr>
          <w:p>
            <w:pPr>
              <w:jc w:val="center"/>
              <w:ind w:right="77"/>
              <w:spacing w:after="0" w:line="149" w:lineRule="exact"/>
              <w:rPr>
                <w:sz w:val="20"/>
                <w:szCs w:val="20"/>
                <w:color w:val="auto"/>
              </w:rPr>
            </w:pPr>
            <w:r>
              <w:rPr>
                <w:rFonts w:ascii="Arial" w:cs="Arial" w:eastAsia="Arial" w:hAnsi="Arial"/>
                <w:sz w:val="14"/>
                <w:szCs w:val="14"/>
                <w:color w:val="auto"/>
                <w:w w:val="97"/>
              </w:rPr>
              <w:t>yield</w:t>
            </w:r>
          </w:p>
        </w:tc>
        <w:tc>
          <w:tcPr>
            <w:tcW w:w="1220" w:type="dxa"/>
            <w:vAlign w:val="bottom"/>
          </w:tcPr>
          <w:p>
            <w:pPr>
              <w:ind w:left="420"/>
              <w:spacing w:after="0" w:line="149" w:lineRule="exact"/>
              <w:rPr>
                <w:sz w:val="20"/>
                <w:szCs w:val="20"/>
                <w:color w:val="auto"/>
              </w:rPr>
            </w:pPr>
            <w:r>
              <w:rPr>
                <w:rFonts w:ascii="Arial" w:cs="Arial" w:eastAsia="Arial" w:hAnsi="Arial"/>
                <w:sz w:val="14"/>
                <w:szCs w:val="14"/>
                <w:color w:val="auto"/>
              </w:rPr>
              <w:t>rate</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(in years)</w:t>
            </w:r>
          </w:p>
        </w:tc>
      </w:tr>
      <w:tr>
        <w:trPr>
          <w:trHeight w:val="181"/>
        </w:trPr>
        <w:tc>
          <w:tcPr>
            <w:tcW w:w="3620" w:type="dxa"/>
            <w:vAlign w:val="bottom"/>
          </w:tcPr>
          <w:p>
            <w:pPr>
              <w:spacing w:after="0"/>
              <w:rPr>
                <w:sz w:val="20"/>
                <w:szCs w:val="20"/>
                <w:color w:val="auto"/>
              </w:rPr>
            </w:pPr>
            <w:r>
              <w:rPr>
                <w:rFonts w:ascii="Arial" w:cs="Arial" w:eastAsia="Arial" w:hAnsi="Arial"/>
                <w:sz w:val="14"/>
                <w:szCs w:val="14"/>
                <w:color w:val="auto"/>
              </w:rPr>
              <w:t>Grant Date</w:t>
            </w:r>
          </w:p>
        </w:tc>
        <w:tc>
          <w:tcPr>
            <w:tcW w:w="3540" w:type="dxa"/>
            <w:vAlign w:val="bottom"/>
          </w:tcPr>
          <w:p>
            <w:pPr>
              <w:jc w:val="center"/>
              <w:ind w:left="1957"/>
              <w:spacing w:after="0"/>
              <w:rPr>
                <w:sz w:val="20"/>
                <w:szCs w:val="20"/>
                <w:color w:val="auto"/>
              </w:rPr>
            </w:pPr>
            <w:r>
              <w:rPr>
                <w:rFonts w:ascii="Arial" w:cs="Arial" w:eastAsia="Arial" w:hAnsi="Arial"/>
                <w:sz w:val="14"/>
                <w:szCs w:val="14"/>
                <w:color w:val="auto"/>
              </w:rPr>
              <w:t>(Note i)</w:t>
            </w:r>
          </w:p>
        </w:tc>
        <w:tc>
          <w:tcPr>
            <w:tcW w:w="1240" w:type="dxa"/>
            <w:vAlign w:val="bottom"/>
          </w:tcPr>
          <w:p>
            <w:pPr>
              <w:jc w:val="center"/>
              <w:ind w:right="57"/>
              <w:spacing w:after="0"/>
              <w:rPr>
                <w:sz w:val="20"/>
                <w:szCs w:val="20"/>
                <w:color w:val="auto"/>
              </w:rPr>
            </w:pPr>
            <w:r>
              <w:rPr>
                <w:rFonts w:ascii="Arial" w:cs="Arial" w:eastAsia="Arial" w:hAnsi="Arial"/>
                <w:sz w:val="14"/>
                <w:szCs w:val="14"/>
                <w:color w:val="auto"/>
              </w:rPr>
              <w:t>(Note ii)</w:t>
            </w:r>
          </w:p>
        </w:tc>
        <w:tc>
          <w:tcPr>
            <w:tcW w:w="1220" w:type="dxa"/>
            <w:vAlign w:val="bottom"/>
          </w:tcPr>
          <w:p>
            <w:pPr>
              <w:ind w:left="260"/>
              <w:spacing w:after="0"/>
              <w:rPr>
                <w:sz w:val="20"/>
                <w:szCs w:val="20"/>
                <w:color w:val="auto"/>
              </w:rPr>
            </w:pPr>
            <w:r>
              <w:rPr>
                <w:rFonts w:ascii="Arial" w:cs="Arial" w:eastAsia="Arial" w:hAnsi="Arial"/>
                <w:sz w:val="14"/>
                <w:szCs w:val="14"/>
                <w:color w:val="auto"/>
              </w:rPr>
              <w:t>(Note iii)</w:t>
            </w:r>
          </w:p>
        </w:tc>
        <w:tc>
          <w:tcPr>
            <w:tcW w:w="880" w:type="dxa"/>
            <w:vAlign w:val="bottom"/>
          </w:tcPr>
          <w:p>
            <w:pPr>
              <w:jc w:val="right"/>
              <w:spacing w:after="0"/>
              <w:rPr>
                <w:sz w:val="20"/>
                <w:szCs w:val="20"/>
                <w:color w:val="auto"/>
              </w:rPr>
            </w:pPr>
            <w:r>
              <w:rPr>
                <w:rFonts w:ascii="Arial" w:cs="Arial" w:eastAsia="Arial" w:hAnsi="Arial"/>
                <w:sz w:val="14"/>
                <w:szCs w:val="14"/>
                <w:color w:val="auto"/>
              </w:rPr>
              <w:t>(Note iv)</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April 1, 2016</w:t>
            </w:r>
          </w:p>
        </w:tc>
        <w:tc>
          <w:tcPr>
            <w:tcW w:w="3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2.00%</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49.37%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July 1, 2016</w:t>
            </w:r>
          </w:p>
        </w:tc>
        <w:tc>
          <w:tcPr>
            <w:tcW w:w="3540" w:type="dxa"/>
            <w:vAlign w:val="bottom"/>
          </w:tcPr>
          <w:p>
            <w:pPr>
              <w:jc w:val="right"/>
              <w:ind w:right="177"/>
              <w:spacing w:after="0"/>
              <w:rPr>
                <w:sz w:val="20"/>
                <w:szCs w:val="20"/>
                <w:color w:val="auto"/>
              </w:rPr>
            </w:pPr>
            <w:r>
              <w:rPr>
                <w:rFonts w:ascii="Arial" w:cs="Arial" w:eastAsia="Arial" w:hAnsi="Arial"/>
                <w:sz w:val="18"/>
                <w:szCs w:val="18"/>
                <w:color w:val="auto"/>
              </w:rPr>
              <w:t>1.62%</w:t>
            </w:r>
          </w:p>
        </w:tc>
        <w:tc>
          <w:tcPr>
            <w:tcW w:w="1240" w:type="dxa"/>
            <w:vAlign w:val="bottom"/>
          </w:tcPr>
          <w:p>
            <w:pPr>
              <w:jc w:val="right"/>
              <w:ind w:right="197"/>
              <w:spacing w:after="0"/>
              <w:rPr>
                <w:sz w:val="20"/>
                <w:szCs w:val="20"/>
                <w:color w:val="auto"/>
              </w:rPr>
            </w:pPr>
            <w:r>
              <w:rPr>
                <w:rFonts w:ascii="Arial" w:cs="Arial" w:eastAsia="Arial" w:hAnsi="Arial"/>
                <w:sz w:val="18"/>
                <w:szCs w:val="18"/>
                <w:color w:val="auto"/>
              </w:rPr>
              <w:t>0%</w:t>
            </w:r>
          </w:p>
        </w:tc>
        <w:tc>
          <w:tcPr>
            <w:tcW w:w="1220" w:type="dxa"/>
            <w:vAlign w:val="bottom"/>
          </w:tcPr>
          <w:p>
            <w:pPr>
              <w:ind w:left="400"/>
              <w:spacing w:after="0"/>
              <w:rPr>
                <w:sz w:val="20"/>
                <w:szCs w:val="20"/>
                <w:color w:val="auto"/>
              </w:rPr>
            </w:pPr>
            <w:r>
              <w:rPr>
                <w:rFonts w:ascii="Arial" w:cs="Arial" w:eastAsia="Arial" w:hAnsi="Arial"/>
                <w:sz w:val="18"/>
                <w:szCs w:val="18"/>
                <w:color w:val="auto"/>
              </w:rPr>
              <w:t>50.52%</w:t>
            </w: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3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2.67%</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50.75%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April 1, 2017</w:t>
            </w:r>
          </w:p>
        </w:tc>
        <w:tc>
          <w:tcPr>
            <w:tcW w:w="3540" w:type="dxa"/>
            <w:vAlign w:val="bottom"/>
          </w:tcPr>
          <w:p>
            <w:pPr>
              <w:jc w:val="right"/>
              <w:ind w:right="177"/>
              <w:spacing w:after="0"/>
              <w:rPr>
                <w:sz w:val="20"/>
                <w:szCs w:val="20"/>
                <w:color w:val="auto"/>
              </w:rPr>
            </w:pPr>
            <w:r>
              <w:rPr>
                <w:rFonts w:ascii="Arial" w:cs="Arial" w:eastAsia="Arial" w:hAnsi="Arial"/>
                <w:sz w:val="18"/>
                <w:szCs w:val="18"/>
                <w:color w:val="auto"/>
              </w:rPr>
              <w:t>2.59%</w:t>
            </w:r>
          </w:p>
        </w:tc>
        <w:tc>
          <w:tcPr>
            <w:tcW w:w="1240" w:type="dxa"/>
            <w:vAlign w:val="bottom"/>
          </w:tcPr>
          <w:p>
            <w:pPr>
              <w:jc w:val="right"/>
              <w:ind w:right="197"/>
              <w:spacing w:after="0"/>
              <w:rPr>
                <w:sz w:val="20"/>
                <w:szCs w:val="20"/>
                <w:color w:val="auto"/>
              </w:rPr>
            </w:pPr>
            <w:r>
              <w:rPr>
                <w:rFonts w:ascii="Arial" w:cs="Arial" w:eastAsia="Arial" w:hAnsi="Arial"/>
                <w:sz w:val="18"/>
                <w:szCs w:val="18"/>
                <w:color w:val="auto"/>
              </w:rPr>
              <w:t>0%</w:t>
            </w:r>
          </w:p>
        </w:tc>
        <w:tc>
          <w:tcPr>
            <w:tcW w:w="1220" w:type="dxa"/>
            <w:vAlign w:val="bottom"/>
          </w:tcPr>
          <w:p>
            <w:pPr>
              <w:ind w:left="400"/>
              <w:spacing w:after="0"/>
              <w:rPr>
                <w:sz w:val="20"/>
                <w:szCs w:val="20"/>
                <w:color w:val="auto"/>
              </w:rPr>
            </w:pPr>
            <w:r>
              <w:rPr>
                <w:rFonts w:ascii="Arial" w:cs="Arial" w:eastAsia="Arial" w:hAnsi="Arial"/>
                <w:sz w:val="18"/>
                <w:szCs w:val="18"/>
                <w:color w:val="auto"/>
              </w:rPr>
              <w:t>50.79%</w:t>
            </w:r>
          </w:p>
        </w:tc>
        <w:tc>
          <w:tcPr>
            <w:tcW w:w="8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July 1, 2017</w:t>
            </w:r>
          </w:p>
        </w:tc>
        <w:tc>
          <w:tcPr>
            <w:tcW w:w="35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2.35%</w:t>
            </w:r>
          </w:p>
        </w:tc>
        <w:tc>
          <w:tcPr>
            <w:tcW w:w="12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47.59%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Notes:</w:t>
      </w:r>
    </w:p>
    <w:p>
      <w:pPr>
        <w:spacing w:after="0" w:line="252" w:lineRule="exact"/>
        <w:rPr>
          <w:sz w:val="20"/>
          <w:szCs w:val="20"/>
          <w:color w:val="auto"/>
        </w:rPr>
      </w:pPr>
    </w:p>
    <w:p>
      <w:pPr>
        <w:ind w:left="1140" w:right="220" w:hanging="565"/>
        <w:spacing w:after="0" w:line="277" w:lineRule="auto"/>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75" w:lineRule="exact"/>
        <w:rPr>
          <w:rFonts w:ascii="Arial" w:cs="Arial" w:eastAsia="Arial" w:hAnsi="Arial"/>
          <w:sz w:val="18"/>
          <w:szCs w:val="18"/>
          <w:color w:val="auto"/>
        </w:rPr>
      </w:pPr>
    </w:p>
    <w:p>
      <w:pPr>
        <w:ind w:left="1140" w:hanging="565"/>
        <w:spacing w:after="0"/>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130" w:lineRule="exact"/>
        <w:rPr>
          <w:rFonts w:ascii="Arial" w:cs="Arial" w:eastAsia="Arial" w:hAnsi="Arial"/>
          <w:sz w:val="18"/>
          <w:szCs w:val="18"/>
          <w:color w:val="auto"/>
        </w:rPr>
      </w:pPr>
    </w:p>
    <w:p>
      <w:pPr>
        <w:ind w:left="1140" w:right="420" w:hanging="565"/>
        <w:spacing w:after="0" w:line="277" w:lineRule="auto"/>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spacing w:after="0" w:line="75" w:lineRule="exact"/>
        <w:rPr>
          <w:rFonts w:ascii="Arial" w:cs="Arial" w:eastAsia="Arial" w:hAnsi="Arial"/>
          <w:sz w:val="18"/>
          <w:szCs w:val="18"/>
          <w:color w:val="auto"/>
        </w:rPr>
      </w:pPr>
    </w:p>
    <w:p>
      <w:pPr>
        <w:ind w:left="1140" w:hanging="565"/>
        <w:spacing w:after="0" w:line="264" w:lineRule="auto"/>
        <w:tabs>
          <w:tab w:leader="none" w:pos="114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329" w:lineRule="exact"/>
        <w:rPr>
          <w:rFonts w:ascii="Arial" w:cs="Arial" w:eastAsia="Arial" w:hAnsi="Arial"/>
          <w:sz w:val="18"/>
          <w:szCs w:val="18"/>
          <w:color w:val="auto"/>
        </w:rPr>
      </w:pPr>
    </w:p>
    <w:p>
      <w:pPr>
        <w:ind w:left="580" w:hanging="572"/>
        <w:spacing w:after="0"/>
        <w:tabs>
          <w:tab w:leader="none" w:pos="5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w:t>
      </w:r>
    </w:p>
    <w:p>
      <w:pPr>
        <w:spacing w:after="0" w:line="117" w:lineRule="exact"/>
        <w:rPr>
          <w:rFonts w:ascii="Arial" w:cs="Arial" w:eastAsia="Arial" w:hAnsi="Arial"/>
          <w:sz w:val="18"/>
          <w:szCs w:val="18"/>
          <w:color w:val="auto"/>
        </w:rPr>
      </w:pPr>
    </w:p>
    <w:p>
      <w:pPr>
        <w:ind w:left="580"/>
        <w:spacing w:after="0" w:line="271" w:lineRule="auto"/>
        <w:rPr>
          <w:rFonts w:ascii="Arial" w:cs="Arial" w:eastAsia="Arial" w:hAnsi="Arial"/>
          <w:sz w:val="18"/>
          <w:szCs w:val="18"/>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(mainly financial performance related) for the fiscal years of 2017 and 2018, respectively and these employees have to be remained employed by the Company. Considering the likelihood of achieving the performance conditions are not probable as of December 31, 2017,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In addition, none of these restricted ordinary shares were vested, forfeited, and expired during the year ended December 31, 2017.</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380"/>
          </w:cols>
          <w:pgMar w:left="240" w:top="460" w:right="2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Share-based compensation (Continued)</w:t>
      </w:r>
    </w:p>
    <w:p>
      <w:pPr>
        <w:spacing w:after="0" w:line="162" w:lineRule="exact"/>
        <w:rPr>
          <w:sz w:val="20"/>
          <w:szCs w:val="20"/>
          <w:color w:val="auto"/>
        </w:rPr>
      </w:pPr>
    </w:p>
    <w:p>
      <w:pPr>
        <w:ind w:left="580" w:hanging="572"/>
        <w:spacing w:after="0"/>
        <w:tabs>
          <w:tab w:leader="none" w:pos="5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117" w:lineRule="exact"/>
        <w:rPr>
          <w:rFonts w:ascii="Arial" w:cs="Arial" w:eastAsia="Arial" w:hAnsi="Arial"/>
          <w:sz w:val="18"/>
          <w:szCs w:val="18"/>
          <w:color w:val="auto"/>
        </w:rPr>
      </w:pPr>
    </w:p>
    <w:p>
      <w:pPr>
        <w:ind w:left="58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5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years ended December 31, 2015, 2016 and 2017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6"/>
          </w:tcPr>
          <w:p>
            <w:pPr>
              <w:jc w:val="right"/>
              <w:ind w:right="220"/>
              <w:spacing w:after="0"/>
              <w:rPr>
                <w:sz w:val="20"/>
                <w:szCs w:val="20"/>
                <w:color w:val="auto"/>
              </w:rPr>
            </w:pPr>
            <w:r>
              <w:rPr>
                <w:rFonts w:ascii="Arial" w:cs="Arial" w:eastAsia="Arial" w:hAnsi="Arial"/>
                <w:sz w:val="14"/>
                <w:szCs w:val="14"/>
                <w:color w:val="auto"/>
                <w:w w:val="97"/>
              </w:rPr>
              <w:t>For the years ended December 31,</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color w:val="auto"/>
              </w:rPr>
              <w:t>2015</w:t>
            </w:r>
          </w:p>
        </w:tc>
        <w:tc>
          <w:tcPr>
            <w:tcW w:w="36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color w:val="auto"/>
              </w:rPr>
              <w:t>2016</w:t>
            </w:r>
          </w:p>
        </w:tc>
        <w:tc>
          <w:tcPr>
            <w:tcW w:w="360" w:type="dxa"/>
            <w:vAlign w:val="bottom"/>
          </w:tcPr>
          <w:p>
            <w:pPr>
              <w:spacing w:after="0"/>
              <w:rPr>
                <w:sz w:val="14"/>
                <w:szCs w:val="14"/>
                <w:color w:val="auto"/>
              </w:rPr>
            </w:pPr>
          </w:p>
        </w:tc>
        <w:tc>
          <w:tcPr>
            <w:tcW w:w="520" w:type="dxa"/>
            <w:vAlign w:val="bottom"/>
          </w:tcPr>
          <w:p>
            <w:pPr>
              <w:jc w:val="right"/>
              <w:ind w:right="33"/>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9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1,526</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985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4,099</w:t>
            </w:r>
          </w:p>
        </w:tc>
        <w:tc>
          <w:tcPr>
            <w:tcW w:w="9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789</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18,047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6,494</w:t>
            </w:r>
          </w:p>
        </w:tc>
        <w:tc>
          <w:tcPr>
            <w:tcW w:w="94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21,244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79"/>
              </w:rPr>
              <w:t>19</w:t>
            </w:r>
          </w:p>
        </w:tc>
        <w:tc>
          <w:tcPr>
            <w:tcW w:w="7760" w:type="dxa"/>
            <w:vAlign w:val="bottom"/>
            <w:gridSpan w:val="3"/>
            <w:vMerge w:val="restart"/>
          </w:tcPr>
          <w:p>
            <w:pPr>
              <w:ind w:left="200"/>
              <w:spacing w:after="0"/>
              <w:rPr>
                <w:sz w:val="20"/>
                <w:szCs w:val="20"/>
                <w:color w:val="auto"/>
              </w:rPr>
            </w:pPr>
            <w:r>
              <w:rPr>
                <w:rFonts w:ascii="Arial" w:cs="Arial" w:eastAsia="Arial" w:hAnsi="Arial"/>
                <w:sz w:val="18"/>
                <w:szCs w:val="18"/>
                <w:b w:val="1"/>
                <w:bCs w:val="1"/>
                <w:color w:val="auto"/>
              </w:rPr>
              <w:t>Other gains/(losses), net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80" w:type="dxa"/>
            <w:vAlign w:val="bottom"/>
            <w:vMerge w:val="continue"/>
          </w:tcPr>
          <w:p>
            <w:pPr>
              <w:spacing w:after="0"/>
              <w:rPr>
                <w:sz w:val="24"/>
                <w:szCs w:val="24"/>
                <w:color w:val="auto"/>
              </w:rPr>
            </w:pPr>
          </w:p>
        </w:tc>
        <w:tc>
          <w:tcPr>
            <w:tcW w:w="776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gridSpan w:val="6"/>
          </w:tcPr>
          <w:p>
            <w:pPr>
              <w:jc w:val="right"/>
              <w:ind w:right="240"/>
              <w:spacing w:after="0"/>
              <w:rPr>
                <w:sz w:val="20"/>
                <w:szCs w:val="20"/>
                <w:color w:val="auto"/>
              </w:rPr>
            </w:pPr>
            <w:r>
              <w:rPr>
                <w:rFonts w:ascii="Arial" w:cs="Arial" w:eastAsia="Arial" w:hAnsi="Arial"/>
                <w:sz w:val="14"/>
                <w:szCs w:val="14"/>
                <w:color w:val="auto"/>
                <w:w w:val="96"/>
              </w:rPr>
              <w:t>For the years ended December 31,</w:t>
            </w:r>
          </w:p>
        </w:tc>
        <w:tc>
          <w:tcPr>
            <w:tcW w:w="0" w:type="dxa"/>
            <w:vAlign w:val="bottom"/>
          </w:tcPr>
          <w:p>
            <w:pPr>
              <w:spacing w:after="0"/>
              <w:rPr>
                <w:sz w:val="1"/>
                <w:szCs w:val="1"/>
                <w:color w:val="auto"/>
              </w:rPr>
            </w:pPr>
          </w:p>
        </w:tc>
      </w:tr>
      <w:tr>
        <w:trPr>
          <w:trHeight w:val="167"/>
        </w:trPr>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ind w:right="35"/>
              <w:spacing w:after="0"/>
              <w:rPr>
                <w:sz w:val="20"/>
                <w:szCs w:val="20"/>
                <w:color w:val="auto"/>
              </w:rPr>
            </w:pPr>
            <w:r>
              <w:rPr>
                <w:rFonts w:ascii="Arial" w:cs="Arial" w:eastAsia="Arial" w:hAnsi="Arial"/>
                <w:sz w:val="14"/>
                <w:szCs w:val="14"/>
                <w:color w:val="auto"/>
              </w:rPr>
              <w:t>2015</w:t>
            </w:r>
          </w:p>
        </w:tc>
        <w:tc>
          <w:tcPr>
            <w:tcW w:w="360" w:type="dxa"/>
            <w:vAlign w:val="bottom"/>
          </w:tcPr>
          <w:p>
            <w:pPr>
              <w:spacing w:after="0"/>
              <w:rPr>
                <w:sz w:val="14"/>
                <w:szCs w:val="14"/>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color w:val="auto"/>
              </w:rPr>
              <w:t>2016</w:t>
            </w:r>
          </w:p>
        </w:tc>
        <w:tc>
          <w:tcPr>
            <w:tcW w:w="36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Fair value gain on re-measurement of previously held equity interests in Buzzinate (Note 4(a))</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1,161</w:t>
            </w:r>
          </w:p>
        </w:tc>
        <w:tc>
          <w:tcPr>
            <w:tcW w:w="3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exchange (loss)/gain</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(923)</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(1,147)</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6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Forfeiture of advances from customers</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6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3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(1,082)</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1,841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20" w:type="dxa"/>
            <w:vAlign w:val="bottom"/>
            <w:gridSpan w:val="2"/>
          </w:tcPr>
          <w:p>
            <w:pPr>
              <w:ind w:left="4620"/>
              <w:spacing w:after="0"/>
              <w:rPr>
                <w:sz w:val="20"/>
                <w:szCs w:val="20"/>
                <w:color w:val="auto"/>
              </w:rPr>
            </w:pPr>
            <w:r>
              <w:rPr>
                <w:rFonts w:ascii="Arial" w:cs="Arial" w:eastAsia="Arial" w:hAnsi="Arial"/>
                <w:sz w:val="18"/>
                <w:szCs w:val="18"/>
                <w:color w:val="auto"/>
              </w:rPr>
              <w:t>F-60</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Income tax</w:t>
      </w:r>
    </w:p>
    <w:p>
      <w:pPr>
        <w:spacing w:after="0" w:line="135" w:lineRule="exact"/>
        <w:rPr>
          <w:sz w:val="20"/>
          <w:szCs w:val="20"/>
          <w:color w:val="auto"/>
        </w:rPr>
      </w:pPr>
    </w:p>
    <w:p>
      <w:pPr>
        <w:ind w:left="580" w:hanging="572"/>
        <w:spacing w:after="0"/>
        <w:tabs>
          <w:tab w:leader="none" w:pos="5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117" w:lineRule="exact"/>
        <w:rPr>
          <w:rFonts w:ascii="Arial" w:cs="Arial" w:eastAsia="Arial" w:hAnsi="Arial"/>
          <w:sz w:val="18"/>
          <w:szCs w:val="18"/>
          <w:color w:val="auto"/>
        </w:rPr>
      </w:pPr>
    </w:p>
    <w:p>
      <w:pPr>
        <w:ind w:left="580" w:right="480"/>
        <w:spacing w:after="0" w:line="277" w:lineRule="auto"/>
        <w:rPr>
          <w:rFonts w:ascii="Arial" w:cs="Arial" w:eastAsia="Arial" w:hAnsi="Arial"/>
          <w:sz w:val="18"/>
          <w:szCs w:val="18"/>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319" w:lineRule="exact"/>
        <w:rPr>
          <w:rFonts w:ascii="Arial" w:cs="Arial" w:eastAsia="Arial" w:hAnsi="Arial"/>
          <w:sz w:val="18"/>
          <w:szCs w:val="18"/>
          <w:color w:val="auto"/>
        </w:rPr>
      </w:pPr>
    </w:p>
    <w:p>
      <w:pPr>
        <w:ind w:left="580" w:hanging="572"/>
        <w:spacing w:after="0"/>
        <w:tabs>
          <w:tab w:leader="none" w:pos="5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117" w:lineRule="exact"/>
        <w:rPr>
          <w:rFonts w:ascii="Arial" w:cs="Arial" w:eastAsia="Arial" w:hAnsi="Arial"/>
          <w:sz w:val="18"/>
          <w:szCs w:val="18"/>
          <w:color w:val="auto"/>
        </w:rPr>
      </w:pPr>
    </w:p>
    <w:p>
      <w:pPr>
        <w:ind w:left="580" w:right="400"/>
        <w:spacing w:after="0" w:line="277" w:lineRule="auto"/>
        <w:rPr>
          <w:rFonts w:ascii="Arial" w:cs="Arial" w:eastAsia="Arial" w:hAnsi="Arial"/>
          <w:sz w:val="18"/>
          <w:szCs w:val="18"/>
          <w:color w:val="auto"/>
        </w:rPr>
      </w:pPr>
      <w:r>
        <w:rPr>
          <w:rFonts w:ascii="Arial" w:cs="Arial" w:eastAsia="Arial" w:hAnsi="Arial"/>
          <w:sz w:val="18"/>
          <w:szCs w:val="18"/>
          <w:color w:val="auto"/>
        </w:rPr>
        <w:t>Entities incorporated in Hong Kong are subject to Hong Kong profits tax at a rate of 16.5% on the estimated assessable profit for the years ended December 31, 2015, 2016 and 2017.</w:t>
      </w:r>
    </w:p>
    <w:p>
      <w:pPr>
        <w:spacing w:after="0" w:line="319" w:lineRule="exact"/>
        <w:rPr>
          <w:rFonts w:ascii="Arial" w:cs="Arial" w:eastAsia="Arial" w:hAnsi="Arial"/>
          <w:sz w:val="18"/>
          <w:szCs w:val="18"/>
          <w:color w:val="auto"/>
        </w:rPr>
      </w:pPr>
    </w:p>
    <w:p>
      <w:pPr>
        <w:ind w:left="580" w:hanging="572"/>
        <w:spacing w:after="0"/>
        <w:tabs>
          <w:tab w:leader="none" w:pos="5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117" w:lineRule="exact"/>
        <w:rPr>
          <w:rFonts w:ascii="Arial" w:cs="Arial" w:eastAsia="Arial" w:hAnsi="Arial"/>
          <w:sz w:val="18"/>
          <w:szCs w:val="18"/>
          <w:color w:val="auto"/>
        </w:rPr>
      </w:pPr>
    </w:p>
    <w:p>
      <w:pPr>
        <w:ind w:left="580" w:right="560"/>
        <w:spacing w:after="0" w:line="277" w:lineRule="auto"/>
        <w:rPr>
          <w:rFonts w:ascii="Arial" w:cs="Arial" w:eastAsia="Arial" w:hAnsi="Arial"/>
          <w:sz w:val="18"/>
          <w:szCs w:val="18"/>
          <w:color w:val="auto"/>
        </w:rPr>
      </w:pPr>
      <w:r>
        <w:rPr>
          <w:rFonts w:ascii="Arial" w:cs="Arial" w:eastAsia="Arial" w:hAnsi="Arial"/>
          <w:sz w:val="18"/>
          <w:szCs w:val="18"/>
          <w:color w:val="auto"/>
        </w:rPr>
        <w:t>The Company’s subsidiaries and VIEs in China are governed by the Enterprise Income Tax Law (“EIT Law”). Pursuant to the EIT Law and its implementation rules, enterprises in China are generally subjected to tax at a statutory rate of 25%.</w:t>
      </w:r>
    </w:p>
    <w:p>
      <w:pPr>
        <w:spacing w:after="0" w:line="62" w:lineRule="exact"/>
        <w:rPr>
          <w:rFonts w:ascii="Arial" w:cs="Arial" w:eastAsia="Arial" w:hAnsi="Arial"/>
          <w:sz w:val="18"/>
          <w:szCs w:val="18"/>
          <w:color w:val="auto"/>
        </w:rPr>
      </w:pPr>
    </w:p>
    <w:p>
      <w:pPr>
        <w:ind w:left="580" w:right="200"/>
        <w:spacing w:after="0" w:line="255" w:lineRule="auto"/>
        <w:rPr>
          <w:rFonts w:ascii="Arial" w:cs="Arial" w:eastAsia="Arial" w:hAnsi="Arial"/>
          <w:sz w:val="18"/>
          <w:szCs w:val="18"/>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85" w:lineRule="exact"/>
        <w:rPr>
          <w:rFonts w:ascii="Arial" w:cs="Arial" w:eastAsia="Arial" w:hAnsi="Arial"/>
          <w:sz w:val="18"/>
          <w:szCs w:val="18"/>
          <w:color w:val="auto"/>
        </w:rPr>
      </w:pPr>
    </w:p>
    <w:p>
      <w:pPr>
        <w:ind w:left="580"/>
        <w:spacing w:after="0" w:line="271" w:lineRule="auto"/>
        <w:rPr>
          <w:rFonts w:ascii="Arial" w:cs="Arial" w:eastAsia="Arial" w:hAnsi="Arial"/>
          <w:sz w:val="18"/>
          <w:szCs w:val="18"/>
          <w:color w:val="auto"/>
        </w:rPr>
      </w:pPr>
      <w:r>
        <w:rPr>
          <w:rFonts w:ascii="Arial" w:cs="Arial" w:eastAsia="Arial" w:hAnsi="Arial"/>
          <w:sz w:val="17"/>
          <w:szCs w:val="17"/>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2016 and 2017. The undistributed earnings from the Company’s subsidiaries in the PRC as of December 31, 2016 and 2017 amounted US$305 and US$330 would be due if these earnings were remitted as dividends as of December 31, 2016 and 2017. An estimated foreign withholding taxes of US$31 and US$17 would be due if these earnings were remitted as dividends as of December 31, 2016 and 2017, respectively.</w:t>
      </w:r>
    </w:p>
    <w:p>
      <w:pPr>
        <w:spacing w:after="0" w:line="28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i w:val="1"/>
          <w:iCs w:val="1"/>
          <w:color w:val="auto"/>
        </w:rPr>
        <w:t>Composition of income tax expense</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The current and deferred portions of income tax expense included in the consolidated statements of comprehensive loss are as follows: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80" w:type="dxa"/>
            <w:vAlign w:val="bottom"/>
            <w:gridSpan w:val="6"/>
          </w:tcPr>
          <w:p>
            <w:pPr>
              <w:jc w:val="right"/>
              <w:ind w:right="200"/>
              <w:spacing w:after="0"/>
              <w:rPr>
                <w:sz w:val="20"/>
                <w:szCs w:val="20"/>
                <w:color w:val="auto"/>
              </w:rPr>
            </w:pPr>
            <w:r>
              <w:rPr>
                <w:rFonts w:ascii="Arial" w:cs="Arial" w:eastAsia="Arial" w:hAnsi="Arial"/>
                <w:sz w:val="14"/>
                <w:szCs w:val="14"/>
                <w:color w:val="auto"/>
                <w:w w:val="94"/>
              </w:rPr>
              <w:t>For the years ended December 31,</w:t>
            </w:r>
          </w:p>
        </w:tc>
      </w:tr>
      <w:tr>
        <w:trPr>
          <w:trHeight w:val="167"/>
        </w:trPr>
        <w:tc>
          <w:tcPr>
            <w:tcW w:w="3360" w:type="dxa"/>
            <w:vAlign w:val="bottom"/>
          </w:tcPr>
          <w:p>
            <w:pPr>
              <w:spacing w:after="0"/>
              <w:rPr>
                <w:sz w:val="14"/>
                <w:szCs w:val="14"/>
                <w:color w:val="auto"/>
              </w:rPr>
            </w:pPr>
          </w:p>
        </w:tc>
        <w:tc>
          <w:tcPr>
            <w:tcW w:w="4480" w:type="dxa"/>
            <w:vAlign w:val="bottom"/>
            <w:gridSpan w:val="2"/>
          </w:tcPr>
          <w:p>
            <w:pPr>
              <w:jc w:val="right"/>
              <w:ind w:right="36"/>
              <w:spacing w:after="0"/>
              <w:rPr>
                <w:sz w:val="20"/>
                <w:szCs w:val="20"/>
                <w:color w:val="auto"/>
              </w:rPr>
            </w:pPr>
            <w:r>
              <w:rPr>
                <w:rFonts w:ascii="Arial" w:cs="Arial" w:eastAsia="Arial" w:hAnsi="Arial"/>
                <w:sz w:val="14"/>
                <w:szCs w:val="14"/>
                <w:color w:val="auto"/>
              </w:rPr>
              <w:t>2015</w:t>
            </w:r>
          </w:p>
        </w:tc>
        <w:tc>
          <w:tcPr>
            <w:tcW w:w="30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4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1,283</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Deferred tax benefits</w:t>
            </w:r>
          </w:p>
        </w:tc>
        <w:tc>
          <w:tcPr>
            <w:tcW w:w="39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(1,292)</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(1,061)</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r>
      <w:tr>
        <w:trPr>
          <w:trHeight w:val="27"/>
        </w:trPr>
        <w:tc>
          <w:tcPr>
            <w:tcW w:w="33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3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r>
      <w:tr>
        <w:trPr>
          <w:trHeight w:val="20"/>
        </w:trPr>
        <w:tc>
          <w:tcPr>
            <w:tcW w:w="33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4780" w:type="dxa"/>
            <w:vAlign w:val="bottom"/>
            <w:gridSpan w:val="3"/>
          </w:tcPr>
          <w:p>
            <w:pPr>
              <w:jc w:val="right"/>
              <w:ind w:right="3180"/>
              <w:spacing w:after="0"/>
              <w:rPr>
                <w:sz w:val="20"/>
                <w:szCs w:val="20"/>
                <w:color w:val="auto"/>
              </w:rPr>
            </w:pPr>
            <w:r>
              <w:rPr>
                <w:rFonts w:ascii="Arial" w:cs="Arial" w:eastAsia="Arial" w:hAnsi="Arial"/>
                <w:sz w:val="18"/>
                <w:szCs w:val="18"/>
                <w:color w:val="auto"/>
              </w:rPr>
              <w:t>F-61</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8380" w:hanging="572"/>
        <w:spacing w:after="0" w:line="451" w:lineRule="auto"/>
        <w:tabs>
          <w:tab w:leader="none" w:pos="577"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Deferred tax assets and liabilities</w:t>
      </w:r>
    </w:p>
    <w:p>
      <w:pPr>
        <w:spacing w:after="0" w:line="1" w:lineRule="exact"/>
        <w:rPr>
          <w:rFonts w:ascii="Arial" w:cs="Arial" w:eastAsia="Arial" w:hAnsi="Arial"/>
          <w:sz w:val="16"/>
          <w:szCs w:val="16"/>
          <w:b w:val="1"/>
          <w:bCs w:val="1"/>
          <w:color w:val="auto"/>
        </w:rPr>
      </w:pPr>
    </w:p>
    <w:p>
      <w:pPr>
        <w:ind w:left="580" w:right="42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2016 and 2017 are as follows:</w:t>
      </w:r>
    </w:p>
    <w:p>
      <w:pPr>
        <w:spacing w:after="0" w:line="15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280" w:type="dxa"/>
            <w:vAlign w:val="bottom"/>
            <w:gridSpan w:val="4"/>
          </w:tcPr>
          <w:p>
            <w:pPr>
              <w:jc w:val="right"/>
              <w:ind w:right="62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6400" w:type="dxa"/>
            <w:vAlign w:val="bottom"/>
          </w:tcPr>
          <w:p>
            <w:pPr>
              <w:spacing w:after="0"/>
              <w:rPr>
                <w:sz w:val="14"/>
                <w:szCs w:val="14"/>
                <w:color w:val="auto"/>
              </w:rPr>
            </w:pPr>
          </w:p>
        </w:tc>
        <w:tc>
          <w:tcPr>
            <w:tcW w:w="740" w:type="dxa"/>
            <w:vAlign w:val="bottom"/>
          </w:tcPr>
          <w:p>
            <w:pPr>
              <w:jc w:val="right"/>
              <w:ind w:right="154"/>
              <w:spacing w:after="0"/>
              <w:rPr>
                <w:sz w:val="20"/>
                <w:szCs w:val="20"/>
                <w:color w:val="auto"/>
              </w:rPr>
            </w:pPr>
            <w:r>
              <w:rPr>
                <w:rFonts w:ascii="Arial" w:cs="Arial" w:eastAsia="Arial" w:hAnsi="Arial"/>
                <w:sz w:val="14"/>
                <w:szCs w:val="14"/>
                <w:color w:val="auto"/>
              </w:rPr>
              <w:t>2016</w:t>
            </w:r>
          </w:p>
        </w:tc>
        <w:tc>
          <w:tcPr>
            <w:tcW w:w="700" w:type="dxa"/>
            <w:vAlign w:val="bottom"/>
          </w:tcPr>
          <w:p>
            <w:pPr>
              <w:spacing w:after="0"/>
              <w:rPr>
                <w:sz w:val="14"/>
                <w:szCs w:val="14"/>
                <w:color w:val="auto"/>
              </w:rPr>
            </w:pPr>
          </w:p>
        </w:tc>
        <w:tc>
          <w:tcPr>
            <w:tcW w:w="720" w:type="dxa"/>
            <w:vAlign w:val="bottom"/>
          </w:tcPr>
          <w:p>
            <w:pPr>
              <w:jc w:val="right"/>
              <w:ind w:right="13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740" w:type="dxa"/>
            <w:vAlign w:val="bottom"/>
          </w:tcPr>
          <w:p>
            <w:pPr>
              <w:jc w:val="right"/>
              <w:spacing w:after="0"/>
              <w:rPr>
                <w:sz w:val="20"/>
                <w:szCs w:val="20"/>
                <w:color w:val="auto"/>
              </w:rPr>
            </w:pPr>
            <w:r>
              <w:rPr>
                <w:rFonts w:ascii="Arial" w:cs="Arial" w:eastAsia="Arial" w:hAnsi="Arial"/>
                <w:sz w:val="18"/>
                <w:szCs w:val="18"/>
                <w:color w:val="auto"/>
              </w:rPr>
              <w:t>6,838</w:t>
            </w:r>
          </w:p>
        </w:tc>
        <w:tc>
          <w:tcPr>
            <w:tcW w:w="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Less: Valuation allowance (Note (a))</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(6,838)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70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Deferred tax liabilities</w:t>
            </w: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(3,677)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(2,638)</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Outside basis difference (Note (b))</w:t>
            </w: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(3,705)</w:t>
            </w:r>
          </w:p>
        </w:tc>
        <w:tc>
          <w:tcPr>
            <w:tcW w:w="7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Note:</w:t>
      </w:r>
    </w:p>
    <w:p>
      <w:pPr>
        <w:spacing w:after="0" w:line="131" w:lineRule="exact"/>
        <w:rPr>
          <w:sz w:val="20"/>
          <w:szCs w:val="20"/>
          <w:color w:val="auto"/>
        </w:rPr>
      </w:pPr>
    </w:p>
    <w:p>
      <w:pPr>
        <w:ind w:left="1140" w:hanging="565"/>
        <w:spacing w:after="0" w:line="273" w:lineRule="auto"/>
        <w:tabs>
          <w:tab w:leader="none" w:pos="11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70"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Movement of valuation allowance is as follows: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480" w:type="dxa"/>
            <w:vAlign w:val="bottom"/>
            <w:gridSpan w:val="4"/>
          </w:tcPr>
          <w:p>
            <w:pPr>
              <w:ind w:left="220"/>
              <w:spacing w:after="0"/>
              <w:rPr>
                <w:sz w:val="20"/>
                <w:szCs w:val="20"/>
                <w:color w:val="auto"/>
              </w:rPr>
            </w:pPr>
            <w:r>
              <w:rPr>
                <w:rFonts w:ascii="Arial" w:cs="Arial" w:eastAsia="Arial" w:hAnsi="Arial"/>
                <w:sz w:val="14"/>
                <w:szCs w:val="14"/>
                <w:color w:val="auto"/>
              </w:rPr>
              <w:t>For the years ended December 31,</w:t>
            </w:r>
          </w:p>
        </w:tc>
      </w:tr>
      <w:tr>
        <w:trPr>
          <w:trHeight w:val="167"/>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880" w:type="dxa"/>
            <w:vAlign w:val="bottom"/>
          </w:tcPr>
          <w:p>
            <w:pPr>
              <w:jc w:val="right"/>
              <w:ind w:right="217"/>
              <w:spacing w:after="0"/>
              <w:rPr>
                <w:sz w:val="20"/>
                <w:szCs w:val="20"/>
                <w:color w:val="auto"/>
              </w:rPr>
            </w:pPr>
            <w:r>
              <w:rPr>
                <w:rFonts w:ascii="Arial" w:cs="Arial" w:eastAsia="Arial" w:hAnsi="Arial"/>
                <w:sz w:val="14"/>
                <w:szCs w:val="14"/>
                <w:color w:val="auto"/>
              </w:rPr>
              <w:t>2016</w:t>
            </w:r>
          </w:p>
        </w:tc>
        <w:tc>
          <w:tcPr>
            <w:tcW w:w="1540" w:type="dxa"/>
            <w:vAlign w:val="bottom"/>
            <w:gridSpan w:val="2"/>
          </w:tcPr>
          <w:p>
            <w:pPr>
              <w:jc w:val="right"/>
              <w:ind w:right="23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Additions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40" w:right="2460" w:hanging="4965"/>
        <w:spacing w:after="0" w:line="449" w:lineRule="auto"/>
        <w:tabs>
          <w:tab w:leader="none" w:pos="113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deferred tax liabilities are recorded for the undistributed earnings in the Group’s VIE and its subsidiary. F-62</w:t>
      </w:r>
    </w:p>
    <w:p>
      <w:pPr>
        <w:sectPr>
          <w:pgSz w:w="11900" w:h="16838" w:orient="portrait"/>
          <w:cols w:equalWidth="0" w:num="1">
            <w:col w:w="11380"/>
          </w:cols>
          <w:pgMar w:left="240" w:top="460" w:right="2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right="8900" w:hanging="572"/>
        <w:spacing w:after="0" w:line="451" w:lineRule="auto"/>
        <w:tabs>
          <w:tab w:leader="none" w:pos="577"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Tax loss carryforwards</w:t>
      </w:r>
    </w:p>
    <w:p>
      <w:pPr>
        <w:spacing w:after="0" w:line="1" w:lineRule="exact"/>
        <w:rPr>
          <w:rFonts w:ascii="Arial" w:cs="Arial" w:eastAsia="Arial" w:hAnsi="Arial"/>
          <w:sz w:val="16"/>
          <w:szCs w:val="16"/>
          <w:b w:val="1"/>
          <w:bCs w:val="1"/>
          <w:color w:val="auto"/>
        </w:rPr>
      </w:pPr>
    </w:p>
    <w:p>
      <w:pPr>
        <w:ind w:left="580" w:right="1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of December 31, 2016 and 2017, the Group had tax loss carryforwards of approximately US$28,201 and US$31,745, respectively, which can be carried forward to offset future taxable income. The net operating tax loss carryforwards will begin to expire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560" w:type="dxa"/>
            <w:vAlign w:val="bottom"/>
            <w:gridSpan w:val="4"/>
          </w:tcPr>
          <w:p>
            <w:pPr>
              <w:ind w:left="160"/>
              <w:spacing w:after="0"/>
              <w:rPr>
                <w:sz w:val="20"/>
                <w:szCs w:val="20"/>
                <w:color w:val="auto"/>
              </w:rPr>
            </w:pPr>
            <w:r>
              <w:rPr>
                <w:rFonts w:ascii="Arial" w:cs="Arial" w:eastAsia="Arial" w:hAnsi="Arial"/>
                <w:sz w:val="14"/>
                <w:szCs w:val="14"/>
                <w:color w:val="auto"/>
              </w:rPr>
              <w:t>As of December 31,</w:t>
            </w:r>
          </w:p>
        </w:tc>
      </w:tr>
      <w:tr>
        <w:trPr>
          <w:trHeight w:val="167"/>
        </w:trPr>
        <w:tc>
          <w:tcPr>
            <w:tcW w:w="712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2016</w:t>
            </w:r>
          </w:p>
        </w:tc>
        <w:tc>
          <w:tcPr>
            <w:tcW w:w="940" w:type="dxa"/>
            <w:vAlign w:val="bottom"/>
            <w:gridSpan w:val="2"/>
          </w:tcPr>
          <w:p>
            <w:pPr>
              <w:jc w:val="right"/>
              <w:ind w:right="5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2018</w:t>
            </w:r>
          </w:p>
        </w:tc>
        <w:tc>
          <w:tcPr>
            <w:tcW w:w="560" w:type="dxa"/>
            <w:vAlign w:val="bottom"/>
          </w:tcPr>
          <w:p>
            <w:pPr>
              <w:jc w:val="right"/>
              <w:spacing w:after="0"/>
              <w:rPr>
                <w:sz w:val="20"/>
                <w:szCs w:val="20"/>
                <w:color w:val="auto"/>
              </w:rPr>
            </w:pPr>
            <w:r>
              <w:rPr>
                <w:rFonts w:ascii="Arial" w:cs="Arial" w:eastAsia="Arial" w:hAnsi="Arial"/>
                <w:sz w:val="18"/>
                <w:szCs w:val="18"/>
                <w:color w:val="auto"/>
              </w:rPr>
              <w:t>1,630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1,717</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2020</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7,235</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8,226</w:t>
            </w:r>
          </w:p>
        </w:tc>
        <w:tc>
          <w:tcPr>
            <w:tcW w:w="6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2022</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8,751</w:t>
            </w:r>
          </w:p>
        </w:tc>
        <w:tc>
          <w:tcPr>
            <w:tcW w:w="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60" w:type="dxa"/>
            <w:vAlign w:val="bottom"/>
            <w:shd w:val="clear" w:color="auto" w:fill="CCEEFF"/>
          </w:tcPr>
          <w:p>
            <w:pPr>
              <w:spacing w:after="0"/>
              <w:rPr>
                <w:sz w:val="18"/>
                <w:szCs w:val="18"/>
                <w:color w:val="auto"/>
              </w:rPr>
            </w:pPr>
          </w:p>
        </w:tc>
      </w:tr>
      <w:tr>
        <w:trPr>
          <w:trHeight w:val="223"/>
        </w:trPr>
        <w:tc>
          <w:tcPr>
            <w:tcW w:w="7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28,201</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31,745</w:t>
            </w:r>
          </w:p>
        </w:tc>
        <w:tc>
          <w:tcPr>
            <w:tcW w:w="6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580" w:right="60"/>
        <w:spacing w:after="0" w:line="302" w:lineRule="auto"/>
        <w:rPr>
          <w:sz w:val="20"/>
          <w:szCs w:val="20"/>
          <w:color w:val="auto"/>
        </w:rPr>
      </w:pPr>
      <w:r>
        <w:rPr>
          <w:rFonts w:ascii="Arial" w:cs="Arial" w:eastAsia="Arial" w:hAnsi="Arial"/>
          <w:sz w:val="16"/>
          <w:szCs w:val="16"/>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2010 to 2016 remain subject to examination by the tax authorities. There were no ongoing examinations by tax authorities as of December 31, 2016 and 2017.</w:t>
      </w:r>
    </w:p>
    <w:p>
      <w:pPr>
        <w:spacing w:after="0" w:line="46"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Reconciliation between the expense of income taxes computed by applying the statutory tax rate to loss before income taxes and the actual provision for income taxes is as follows:</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420" w:type="dxa"/>
            <w:vAlign w:val="bottom"/>
            <w:gridSpan w:val="6"/>
          </w:tcPr>
          <w:p>
            <w:pPr>
              <w:jc w:val="right"/>
              <w:ind w:right="280"/>
              <w:spacing w:after="0"/>
              <w:rPr>
                <w:sz w:val="20"/>
                <w:szCs w:val="20"/>
                <w:color w:val="auto"/>
              </w:rPr>
            </w:pPr>
            <w:r>
              <w:rPr>
                <w:rFonts w:ascii="Arial" w:cs="Arial" w:eastAsia="Arial" w:hAnsi="Arial"/>
                <w:sz w:val="14"/>
                <w:szCs w:val="14"/>
                <w:color w:val="auto"/>
                <w:w w:val="97"/>
              </w:rPr>
              <w:t>For the years ended December 31,</w:t>
            </w:r>
          </w:p>
        </w:tc>
      </w:tr>
      <w:tr>
        <w:trPr>
          <w:trHeight w:val="167"/>
        </w:trPr>
        <w:tc>
          <w:tcPr>
            <w:tcW w:w="6260" w:type="dxa"/>
            <w:vAlign w:val="bottom"/>
          </w:tcPr>
          <w:p>
            <w:pPr>
              <w:spacing w:after="0"/>
              <w:rPr>
                <w:sz w:val="14"/>
                <w:szCs w:val="14"/>
                <w:color w:val="auto"/>
              </w:rPr>
            </w:pPr>
          </w:p>
        </w:tc>
        <w:tc>
          <w:tcPr>
            <w:tcW w:w="520" w:type="dxa"/>
            <w:vAlign w:val="bottom"/>
          </w:tcPr>
          <w:p>
            <w:pPr>
              <w:jc w:val="right"/>
              <w:ind w:right="34"/>
              <w:spacing w:after="0"/>
              <w:rPr>
                <w:sz w:val="20"/>
                <w:szCs w:val="20"/>
                <w:color w:val="auto"/>
              </w:rPr>
            </w:pPr>
            <w:r>
              <w:rPr>
                <w:rFonts w:ascii="Arial" w:cs="Arial" w:eastAsia="Arial" w:hAnsi="Arial"/>
                <w:sz w:val="14"/>
                <w:szCs w:val="14"/>
                <w:color w:val="auto"/>
              </w:rPr>
              <w:t>2015</w:t>
            </w:r>
          </w:p>
        </w:tc>
        <w:tc>
          <w:tcPr>
            <w:tcW w:w="36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2016</w:t>
            </w:r>
          </w:p>
        </w:tc>
        <w:tc>
          <w:tcPr>
            <w:tcW w:w="36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Tax benefit calculated at Hong Kong statutory tax rate (Note i)</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(6,553)</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(4,509)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(3,972)</w:t>
            </w:r>
          </w:p>
        </w:tc>
      </w:tr>
      <w:tr>
        <w:trPr>
          <w:trHeight w:val="202"/>
        </w:trPr>
        <w:tc>
          <w:tcPr>
            <w:tcW w:w="6260" w:type="dxa"/>
            <w:vAlign w:val="bottom"/>
          </w:tcPr>
          <w:p>
            <w:pPr>
              <w:spacing w:after="0" w:line="201" w:lineRule="exact"/>
              <w:rPr>
                <w:sz w:val="20"/>
                <w:szCs w:val="20"/>
                <w:color w:val="auto"/>
              </w:rPr>
            </w:pPr>
            <w:r>
              <w:rPr>
                <w:rFonts w:ascii="Arial" w:cs="Arial" w:eastAsia="Arial" w:hAnsi="Arial"/>
                <w:sz w:val="18"/>
                <w:szCs w:val="18"/>
                <w:color w:val="auto"/>
                <w:w w:val="98"/>
              </w:rPr>
              <w:t>Effect of differences between Hong Kong statutory tax rate and foreign effective</w:t>
            </w: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260" w:type="dxa"/>
            <w:vAlign w:val="bottom"/>
          </w:tcPr>
          <w:p>
            <w:pPr>
              <w:ind w:left="180"/>
              <w:spacing w:after="0"/>
              <w:rPr>
                <w:sz w:val="20"/>
                <w:szCs w:val="20"/>
                <w:color w:val="auto"/>
              </w:rPr>
            </w:pPr>
            <w:r>
              <w:rPr>
                <w:rFonts w:ascii="Arial" w:cs="Arial" w:eastAsia="Arial" w:hAnsi="Arial"/>
                <w:sz w:val="18"/>
                <w:szCs w:val="18"/>
                <w:color w:val="auto"/>
              </w:rPr>
              <w:t>tax rates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(527)</w:t>
            </w:r>
          </w:p>
        </w:tc>
        <w:tc>
          <w:tcPr>
            <w:tcW w:w="540" w:type="dxa"/>
            <w:vAlign w:val="bottom"/>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(1,172)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Non-taxable other income</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(448)</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520" w:type="dxa"/>
            <w:vAlign w:val="bottom"/>
          </w:tcPr>
          <w:p>
            <w:pPr>
              <w:jc w:val="right"/>
              <w:spacing w:after="0"/>
              <w:rPr>
                <w:sz w:val="20"/>
                <w:szCs w:val="20"/>
                <w:color w:val="auto"/>
              </w:rPr>
            </w:pPr>
            <w:r>
              <w:rPr>
                <w:rFonts w:ascii="Arial" w:cs="Arial" w:eastAsia="Arial" w:hAnsi="Arial"/>
                <w:sz w:val="18"/>
                <w:szCs w:val="18"/>
                <w:color w:val="auto"/>
              </w:rPr>
              <w:t>4,684</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4,208</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Outside basis difference</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Income tax (benefit)/expense</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3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1140" w:right="40" w:hanging="565"/>
        <w:spacing w:after="0" w:line="277" w:lineRule="auto"/>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Group’s major operation, prior to the acquisition of OptAim, was conducted out of Hong Kong. Accordingly, the Group prepared its tax rate reconciliation starting with the Hong Kong statutory tax rate.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300"/>
          </w:cols>
          <w:pgMar w:left="240" w:top="460" w:right="3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years ended December 31, 2015, 2016 and 2017 are calculated as follows: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300" w:type="dxa"/>
            <w:vAlign w:val="bottom"/>
            <w:gridSpan w:val="6"/>
          </w:tcPr>
          <w:p>
            <w:pPr>
              <w:jc w:val="right"/>
              <w:ind w:right="72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67"/>
        </w:trPr>
        <w:tc>
          <w:tcPr>
            <w:tcW w:w="628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color w:val="auto"/>
              </w:rPr>
              <w:t>2015</w:t>
            </w:r>
          </w:p>
        </w:tc>
        <w:tc>
          <w:tcPr>
            <w:tcW w:w="28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2016</w:t>
            </w:r>
          </w:p>
        </w:tc>
        <w:tc>
          <w:tcPr>
            <w:tcW w:w="280" w:type="dxa"/>
            <w:vAlign w:val="bottom"/>
          </w:tcPr>
          <w:p>
            <w:pPr>
              <w:spacing w:after="0"/>
              <w:rPr>
                <w:sz w:val="14"/>
                <w:szCs w:val="14"/>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(39,714)</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(27,330)</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(2,692)</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(1,982)</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2,591</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Numerator of basic net loss per share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(41,797)</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(29,659)</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Denominator for basic and diluted net loss per share</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 weighted average shares outstanding</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11,661,049</w:t>
            </w: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13,151,063</w:t>
            </w: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13,931,503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Basic net loss per share</w:t>
            </w: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Diluted net loss per share</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80" w:right="100"/>
        <w:spacing w:after="0" w:line="259" w:lineRule="auto"/>
        <w:rPr>
          <w:sz w:val="20"/>
          <w:szCs w:val="20"/>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2015, 2016 and 2017.</w:t>
      </w:r>
    </w:p>
    <w:p>
      <w:pPr>
        <w:spacing w:after="0" w:line="79" w:lineRule="exact"/>
        <w:rPr>
          <w:sz w:val="20"/>
          <w:szCs w:val="20"/>
          <w:color w:val="auto"/>
        </w:rPr>
      </w:pPr>
    </w:p>
    <w:p>
      <w:pPr>
        <w:ind w:left="580" w:right="280"/>
        <w:spacing w:after="0" w:line="277" w:lineRule="auto"/>
        <w:rPr>
          <w:sz w:val="20"/>
          <w:szCs w:val="20"/>
          <w:color w:val="auto"/>
        </w:rPr>
      </w:pPr>
      <w:r>
        <w:rPr>
          <w:rFonts w:ascii="Arial" w:cs="Arial" w:eastAsia="Arial" w:hAnsi="Arial"/>
          <w:sz w:val="18"/>
          <w:szCs w:val="18"/>
          <w:color w:val="auto"/>
        </w:rPr>
        <w:t>The preferred shares, share options and preferred share warrants were excluded from the computation of diluted net loss per ordinary share for the periods presented because including them would have had an anti-dilutive effect.</w:t>
      </w:r>
    </w:p>
    <w:p>
      <w:pPr>
        <w:spacing w:after="0" w:line="62" w:lineRule="exact"/>
        <w:rPr>
          <w:sz w:val="20"/>
          <w:szCs w:val="20"/>
          <w:color w:val="auto"/>
        </w:rPr>
      </w:pPr>
    </w:p>
    <w:p>
      <w:pPr>
        <w:ind w:left="580"/>
        <w:spacing w:after="0" w:line="277" w:lineRule="auto"/>
        <w:rPr>
          <w:sz w:val="20"/>
          <w:szCs w:val="20"/>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20" w:type="dxa"/>
            <w:vAlign w:val="bottom"/>
          </w:tcPr>
          <w:p>
            <w:pPr>
              <w:jc w:val="right"/>
              <w:ind w:right="157"/>
              <w:spacing w:after="0"/>
              <w:rPr>
                <w:sz w:val="20"/>
                <w:szCs w:val="20"/>
                <w:color w:val="auto"/>
              </w:rPr>
            </w:pPr>
            <w:r>
              <w:rPr>
                <w:rFonts w:ascii="Arial" w:cs="Arial" w:eastAsia="Arial" w:hAnsi="Arial"/>
                <w:sz w:val="14"/>
                <w:szCs w:val="14"/>
                <w:color w:val="auto"/>
              </w:rPr>
              <w:t>As of December 31,</w:t>
            </w:r>
          </w:p>
        </w:tc>
        <w:tc>
          <w:tcPr>
            <w:tcW w:w="700" w:type="dxa"/>
            <w:vAlign w:val="bottom"/>
          </w:tcPr>
          <w:p>
            <w:pPr>
              <w:spacing w:after="0"/>
              <w:rPr>
                <w:sz w:val="14"/>
                <w:szCs w:val="14"/>
                <w:color w:val="auto"/>
              </w:rPr>
            </w:pPr>
          </w:p>
        </w:tc>
      </w:tr>
      <w:tr>
        <w:trPr>
          <w:trHeight w:val="167"/>
        </w:trPr>
        <w:tc>
          <w:tcPr>
            <w:tcW w:w="4480" w:type="dxa"/>
            <w:vAlign w:val="bottom"/>
          </w:tcPr>
          <w:p>
            <w:pPr>
              <w:spacing w:after="0"/>
              <w:rPr>
                <w:sz w:val="14"/>
                <w:szCs w:val="14"/>
                <w:color w:val="auto"/>
              </w:rPr>
            </w:pPr>
          </w:p>
        </w:tc>
        <w:tc>
          <w:tcPr>
            <w:tcW w:w="2780" w:type="dxa"/>
            <w:vAlign w:val="bottom"/>
          </w:tcPr>
          <w:p>
            <w:pPr>
              <w:jc w:val="right"/>
              <w:ind w:right="214"/>
              <w:spacing w:after="0"/>
              <w:rPr>
                <w:sz w:val="20"/>
                <w:szCs w:val="20"/>
                <w:color w:val="auto"/>
              </w:rPr>
            </w:pPr>
            <w:r>
              <w:rPr>
                <w:rFonts w:ascii="Arial" w:cs="Arial" w:eastAsia="Arial" w:hAnsi="Arial"/>
                <w:sz w:val="14"/>
                <w:szCs w:val="14"/>
                <w:color w:val="auto"/>
              </w:rPr>
              <w:t>2015</w:t>
            </w:r>
          </w:p>
        </w:tc>
        <w:tc>
          <w:tcPr>
            <w:tcW w:w="1620" w:type="dxa"/>
            <w:vAlign w:val="bottom"/>
          </w:tcPr>
          <w:p>
            <w:pPr>
              <w:jc w:val="right"/>
              <w:ind w:right="597"/>
              <w:spacing w:after="0"/>
              <w:rPr>
                <w:sz w:val="20"/>
                <w:szCs w:val="20"/>
                <w:color w:val="auto"/>
              </w:rPr>
            </w:pPr>
            <w:r>
              <w:rPr>
                <w:rFonts w:ascii="Arial" w:cs="Arial" w:eastAsia="Arial" w:hAnsi="Arial"/>
                <w:sz w:val="14"/>
                <w:szCs w:val="14"/>
                <w:color w:val="auto"/>
              </w:rPr>
              <w:t>2016</w:t>
            </w:r>
          </w:p>
        </w:tc>
        <w:tc>
          <w:tcPr>
            <w:tcW w:w="700" w:type="dxa"/>
            <w:vAlign w:val="bottom"/>
          </w:tcPr>
          <w:p>
            <w:pPr>
              <w:jc w:val="right"/>
              <w:ind w:right="54"/>
              <w:spacing w:after="0"/>
              <w:rPr>
                <w:sz w:val="20"/>
                <w:szCs w:val="20"/>
                <w:color w:val="auto"/>
              </w:rPr>
            </w:pPr>
            <w:r>
              <w:rPr>
                <w:rFonts w:ascii="Arial" w:cs="Arial" w:eastAsia="Arial" w:hAnsi="Arial"/>
                <w:sz w:val="14"/>
                <w:szCs w:val="14"/>
                <w:color w:val="auto"/>
              </w:rPr>
              <w:t>2017</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2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8,458</w:t>
            </w:r>
          </w:p>
        </w:tc>
        <w:tc>
          <w:tcPr>
            <w:tcW w:w="16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8,469</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Share options - weighted average (thousands)</w:t>
            </w:r>
          </w:p>
        </w:tc>
        <w:tc>
          <w:tcPr>
            <w:tcW w:w="2780" w:type="dxa"/>
            <w:vAlign w:val="bottom"/>
          </w:tcPr>
          <w:p>
            <w:pPr>
              <w:jc w:val="right"/>
              <w:ind w:right="134"/>
              <w:spacing w:after="0"/>
              <w:rPr>
                <w:sz w:val="20"/>
                <w:szCs w:val="20"/>
                <w:color w:val="auto"/>
              </w:rPr>
            </w:pPr>
            <w:r>
              <w:rPr>
                <w:rFonts w:ascii="Arial" w:cs="Arial" w:eastAsia="Arial" w:hAnsi="Arial"/>
                <w:sz w:val="18"/>
                <w:szCs w:val="18"/>
                <w:color w:val="auto"/>
              </w:rPr>
              <w:t>1,194</w:t>
            </w:r>
          </w:p>
        </w:tc>
        <w:tc>
          <w:tcPr>
            <w:tcW w:w="1620" w:type="dxa"/>
            <w:vAlign w:val="bottom"/>
          </w:tcPr>
          <w:p>
            <w:pPr>
              <w:jc w:val="right"/>
              <w:ind w:right="517"/>
              <w:spacing w:after="0"/>
              <w:rPr>
                <w:sz w:val="20"/>
                <w:szCs w:val="20"/>
                <w:color w:val="auto"/>
              </w:rPr>
            </w:pPr>
            <w:r>
              <w:rPr>
                <w:rFonts w:ascii="Arial" w:cs="Arial" w:eastAsia="Arial" w:hAnsi="Arial"/>
                <w:sz w:val="18"/>
                <w:szCs w:val="18"/>
                <w:color w:val="auto"/>
              </w:rPr>
              <w:t>1,091</w:t>
            </w:r>
          </w:p>
        </w:tc>
        <w:tc>
          <w:tcPr>
            <w:tcW w:w="700" w:type="dxa"/>
            <w:vAlign w:val="bottom"/>
          </w:tcPr>
          <w:p>
            <w:pPr>
              <w:jc w:val="right"/>
              <w:spacing w:after="0"/>
              <w:rPr>
                <w:sz w:val="20"/>
                <w:szCs w:val="20"/>
                <w:color w:val="auto"/>
              </w:rPr>
            </w:pPr>
            <w:r>
              <w:rPr>
                <w:rFonts w:ascii="Arial" w:cs="Arial" w:eastAsia="Arial" w:hAnsi="Arial"/>
                <w:sz w:val="18"/>
                <w:szCs w:val="18"/>
                <w:color w:val="auto"/>
              </w:rPr>
              <w:t>1,071</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1"/>
              </w:rPr>
              <w:t>Redeemable ordinary shares - weighted average (thousands)</w:t>
            </w:r>
          </w:p>
        </w:tc>
        <w:tc>
          <w:tcPr>
            <w:tcW w:w="27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742</w:t>
            </w:r>
          </w:p>
        </w:tc>
        <w:tc>
          <w:tcPr>
            <w:tcW w:w="1620" w:type="dxa"/>
            <w:vAlign w:val="bottom"/>
            <w:shd w:val="clear" w:color="auto" w:fill="CCEEFF"/>
          </w:tcPr>
          <w:p>
            <w:pPr>
              <w:jc w:val="right"/>
              <w:ind w:right="517"/>
              <w:spacing w:after="0"/>
              <w:rPr>
                <w:sz w:val="20"/>
                <w:szCs w:val="20"/>
                <w:color w:val="auto"/>
              </w:rPr>
            </w:pPr>
            <w:r>
              <w:rPr>
                <w:rFonts w:ascii="Arial" w:cs="Arial" w:eastAsia="Arial" w:hAnsi="Arial"/>
                <w:sz w:val="18"/>
                <w:szCs w:val="18"/>
                <w:color w:val="auto"/>
              </w:rPr>
              <w:t>742</w:t>
            </w:r>
          </w:p>
        </w:tc>
        <w:tc>
          <w:tcPr>
            <w:tcW w:w="7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r>
      <w:tr>
        <w:trPr>
          <w:trHeight w:val="365"/>
        </w:trPr>
        <w:tc>
          <w:tcPr>
            <w:tcW w:w="4480" w:type="dxa"/>
            <w:vAlign w:val="bottom"/>
          </w:tcPr>
          <w:p>
            <w:pPr>
              <w:spacing w:after="0"/>
              <w:rPr>
                <w:sz w:val="24"/>
                <w:szCs w:val="24"/>
                <w:color w:val="auto"/>
              </w:rPr>
            </w:pPr>
          </w:p>
        </w:tc>
        <w:tc>
          <w:tcPr>
            <w:tcW w:w="2780" w:type="dxa"/>
            <w:vAlign w:val="bottom"/>
          </w:tcPr>
          <w:p>
            <w:pPr>
              <w:jc w:val="right"/>
              <w:ind w:right="2214"/>
              <w:spacing w:after="0"/>
              <w:rPr>
                <w:sz w:val="20"/>
                <w:szCs w:val="20"/>
                <w:color w:val="auto"/>
              </w:rPr>
            </w:pPr>
            <w:r>
              <w:rPr>
                <w:rFonts w:ascii="Arial" w:cs="Arial" w:eastAsia="Arial" w:hAnsi="Arial"/>
                <w:sz w:val="18"/>
                <w:szCs w:val="18"/>
                <w:color w:val="auto"/>
              </w:rPr>
              <w:t>F-64</w:t>
            </w: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hanging="572"/>
        <w:spacing w:after="0"/>
        <w:tabs>
          <w:tab w:leader="none" w:pos="5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Segment</w:t>
      </w:r>
    </w:p>
    <w:p>
      <w:pPr>
        <w:spacing w:after="0" w:line="121" w:lineRule="exact"/>
        <w:rPr>
          <w:rFonts w:ascii="Arial" w:cs="Arial" w:eastAsia="Arial" w:hAnsi="Arial"/>
          <w:sz w:val="18"/>
          <w:szCs w:val="18"/>
          <w:b w:val="1"/>
          <w:bCs w:val="1"/>
          <w:color w:val="auto"/>
        </w:rPr>
      </w:pPr>
    </w:p>
    <w:p>
      <w:pPr>
        <w:ind w:left="5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2480" w:type="dxa"/>
            <w:vAlign w:val="bottom"/>
            <w:gridSpan w:val="8"/>
          </w:tcPr>
          <w:p>
            <w:pPr>
              <w:jc w:val="right"/>
              <w:ind w:right="280"/>
              <w:spacing w:after="0"/>
              <w:rPr>
                <w:sz w:val="20"/>
                <w:szCs w:val="20"/>
                <w:color w:val="auto"/>
              </w:rPr>
            </w:pPr>
            <w:r>
              <w:rPr>
                <w:rFonts w:ascii="Arial" w:cs="Arial" w:eastAsia="Arial" w:hAnsi="Arial"/>
                <w:sz w:val="14"/>
                <w:szCs w:val="14"/>
                <w:color w:val="auto"/>
              </w:rPr>
              <w:t>For the years ended December 31,</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30,505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71,214</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105,380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Hong Kong</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34,442</w:t>
            </w: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22,766</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18,287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1,377</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65,242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95,357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125,258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color w:val="auto"/>
              </w:rPr>
              <w:t>2016</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Hong Kong</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637</w:t>
            </w:r>
          </w:p>
        </w:tc>
        <w:tc>
          <w:tcPr>
            <w:tcW w:w="3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Commitments and contingencies</w:t>
      </w:r>
    </w:p>
    <w:p>
      <w:pPr>
        <w:spacing w:after="0" w:line="131" w:lineRule="exact"/>
        <w:rPr>
          <w:sz w:val="20"/>
          <w:szCs w:val="20"/>
          <w:color w:val="auto"/>
        </w:rPr>
      </w:pPr>
    </w:p>
    <w:p>
      <w:pPr>
        <w:ind w:left="580" w:hanging="572"/>
        <w:spacing w:after="0"/>
        <w:tabs>
          <w:tab w:leader="none" w:pos="5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121" w:lineRule="exact"/>
        <w:rPr>
          <w:rFonts w:ascii="Arial" w:cs="Arial" w:eastAsia="Arial" w:hAnsi="Arial"/>
          <w:sz w:val="18"/>
          <w:szCs w:val="18"/>
          <w:b w:val="1"/>
          <w:bCs w:val="1"/>
          <w:color w:val="auto"/>
        </w:rPr>
      </w:pPr>
    </w:p>
    <w:p>
      <w:pPr>
        <w:ind w:left="58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38" w:lineRule="exact"/>
        <w:rPr>
          <w:rFonts w:ascii="Arial" w:cs="Arial" w:eastAsia="Arial" w:hAnsi="Arial"/>
          <w:sz w:val="18"/>
          <w:szCs w:val="18"/>
          <w:b w:val="1"/>
          <w:bCs w:val="1"/>
          <w:color w:val="auto"/>
        </w:rPr>
      </w:pPr>
    </w:p>
    <w:p>
      <w:pPr>
        <w:ind w:left="58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Total office rental expenses under all operating leases were US$2,637, US$3,024 and US$1,862 for the years ended December 31, 2015, 2016 and 2017, respectively.</w:t>
      </w:r>
    </w:p>
    <w:p>
      <w:pPr>
        <w:spacing w:after="0" w:line="62"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2017, future minimum payments under non-cancellable operating leases for office rental consist of the following:</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2500" w:type="dxa"/>
            <w:vAlign w:val="bottom"/>
            <w:shd w:val="clear" w:color="auto" w:fill="CCEEFF"/>
          </w:tcPr>
          <w:p>
            <w:pPr>
              <w:jc w:val="right"/>
              <w:ind w:right="2050"/>
              <w:spacing w:after="0"/>
              <w:rPr>
                <w:sz w:val="20"/>
                <w:szCs w:val="20"/>
                <w:color w:val="auto"/>
              </w:rPr>
            </w:pPr>
            <w:r>
              <w:rPr>
                <w:rFonts w:ascii="Arial" w:cs="Arial" w:eastAsia="Arial" w:hAnsi="Arial"/>
                <w:sz w:val="18"/>
                <w:szCs w:val="18"/>
                <w:color w:val="auto"/>
                <w:w w:val="84"/>
              </w:rPr>
              <w:t>2018</w:t>
            </w:r>
          </w:p>
        </w:tc>
        <w:tc>
          <w:tcPr>
            <w:tcW w:w="7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1,796</w:t>
            </w:r>
          </w:p>
        </w:tc>
      </w:tr>
      <w:tr>
        <w:trPr>
          <w:trHeight w:val="216"/>
        </w:trPr>
        <w:tc>
          <w:tcPr>
            <w:tcW w:w="2500" w:type="dxa"/>
            <w:vAlign w:val="bottom"/>
          </w:tcPr>
          <w:p>
            <w:pPr>
              <w:jc w:val="right"/>
              <w:ind w:right="2050"/>
              <w:spacing w:after="0"/>
              <w:rPr>
                <w:sz w:val="20"/>
                <w:szCs w:val="20"/>
                <w:color w:val="auto"/>
              </w:rPr>
            </w:pPr>
            <w:r>
              <w:rPr>
                <w:rFonts w:ascii="Arial" w:cs="Arial" w:eastAsia="Arial" w:hAnsi="Arial"/>
                <w:sz w:val="18"/>
                <w:szCs w:val="18"/>
                <w:color w:val="auto"/>
                <w:w w:val="84"/>
              </w:rPr>
              <w:t>2019</w:t>
            </w:r>
          </w:p>
        </w:tc>
        <w:tc>
          <w:tcPr>
            <w:tcW w:w="63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r>
      <w:tr>
        <w:trPr>
          <w:trHeight w:val="27"/>
        </w:trPr>
        <w:tc>
          <w:tcPr>
            <w:tcW w:w="2500" w:type="dxa"/>
            <w:vAlign w:val="bottom"/>
          </w:tcPr>
          <w:p>
            <w:pPr>
              <w:spacing w:after="0"/>
              <w:rPr>
                <w:sz w:val="2"/>
                <w:szCs w:val="2"/>
                <w:color w:val="auto"/>
              </w:rPr>
            </w:pPr>
          </w:p>
        </w:tc>
        <w:tc>
          <w:tcPr>
            <w:tcW w:w="6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50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1,862</w:t>
            </w:r>
          </w:p>
        </w:tc>
      </w:tr>
      <w:tr>
        <w:trPr>
          <w:trHeight w:val="20"/>
        </w:trPr>
        <w:tc>
          <w:tcPr>
            <w:tcW w:w="250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500" w:type="dxa"/>
            <w:vAlign w:val="bottom"/>
          </w:tcPr>
          <w:p>
            <w:pPr>
              <w:spacing w:after="0"/>
              <w:rPr>
                <w:sz w:val="24"/>
                <w:szCs w:val="24"/>
                <w:color w:val="auto"/>
              </w:rPr>
            </w:pPr>
          </w:p>
        </w:tc>
        <w:tc>
          <w:tcPr>
            <w:tcW w:w="7080" w:type="dxa"/>
            <w:vAlign w:val="bottom"/>
            <w:gridSpan w:val="3"/>
          </w:tcPr>
          <w:p>
            <w:pPr>
              <w:jc w:val="right"/>
              <w:ind w:right="4620"/>
              <w:spacing w:after="0"/>
              <w:rPr>
                <w:sz w:val="20"/>
                <w:szCs w:val="20"/>
                <w:color w:val="auto"/>
              </w:rPr>
            </w:pPr>
            <w:r>
              <w:rPr>
                <w:rFonts w:ascii="Arial" w:cs="Arial" w:eastAsia="Arial" w:hAnsi="Arial"/>
                <w:sz w:val="18"/>
                <w:szCs w:val="18"/>
                <w:color w:val="auto"/>
              </w:rPr>
              <w:t>F-65</w:t>
            </w: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Commitments and contingencies (Continued)</w:t>
      </w:r>
    </w:p>
    <w:p>
      <w:pPr>
        <w:spacing w:after="0" w:line="158" w:lineRule="exact"/>
        <w:rPr>
          <w:sz w:val="20"/>
          <w:szCs w:val="20"/>
          <w:color w:val="auto"/>
        </w:rPr>
      </w:pPr>
    </w:p>
    <w:p>
      <w:pPr>
        <w:ind w:left="580" w:hanging="572"/>
        <w:spacing w:after="0"/>
        <w:tabs>
          <w:tab w:leader="none" w:pos="5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2016 and 2017, no purchase commitments were related to the purchase of space for its online marketing services.</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121" w:lineRule="exact"/>
        <w:rPr>
          <w:rFonts w:ascii="Arial" w:cs="Arial" w:eastAsia="Arial" w:hAnsi="Arial"/>
          <w:sz w:val="18"/>
          <w:szCs w:val="18"/>
          <w:b w:val="1"/>
          <w:bCs w:val="1"/>
          <w:color w:val="auto"/>
        </w:rPr>
      </w:pPr>
    </w:p>
    <w:p>
      <w:pPr>
        <w:ind w:left="58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the ordinary course of the business, the Group is subject to periodic legal or administrative proceedings. As of December 31, 2016 and 2017, the Group is not a party to any legal or administrative proceedings which will have a material adverse effect on the Group’s business, financial position, results of operations and cash flows.</w:t>
      </w:r>
    </w:p>
    <w:p>
      <w:pPr>
        <w:spacing w:after="0" w:line="326" w:lineRule="exact"/>
        <w:rPr>
          <w:sz w:val="20"/>
          <w:szCs w:val="20"/>
          <w:color w:val="auto"/>
        </w:rPr>
      </w:pPr>
    </w:p>
    <w:p>
      <w:pPr>
        <w:ind w:left="580" w:hanging="572"/>
        <w:spacing w:after="0"/>
        <w:tabs>
          <w:tab w:leader="none" w:pos="5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121" w:lineRule="exact"/>
        <w:rPr>
          <w:rFonts w:ascii="Arial" w:cs="Arial" w:eastAsia="Arial" w:hAnsi="Arial"/>
          <w:sz w:val="18"/>
          <w:szCs w:val="18"/>
          <w:b w:val="1"/>
          <w:bCs w:val="1"/>
          <w:color w:val="auto"/>
        </w:rPr>
      </w:pPr>
    </w:p>
    <w:p>
      <w:pPr>
        <w:ind w:left="58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74" w:lineRule="exact"/>
        <w:rPr>
          <w:rFonts w:ascii="Arial" w:cs="Arial" w:eastAsia="Arial" w:hAnsi="Arial"/>
          <w:sz w:val="18"/>
          <w:szCs w:val="18"/>
          <w:b w:val="1"/>
          <w:bCs w:val="1"/>
          <w:color w:val="auto"/>
        </w:rPr>
      </w:pPr>
    </w:p>
    <w:p>
      <w:pPr>
        <w:ind w:left="58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As of December 31, 2016 and 2017, the total restricted net assets of the Company’s subsidiaries, OptAim VIE and its subsidiary incorporated in PRC and subjected to restriction amounted to approximately US$4,294 and US$9,631, respectively. Except for the above and the amounts classified as restricted cash of US$5,234 and US$nil as of December 31, 2016 and 2017, respectively, there is no other restriction on the use of proceeds generated by the Company’s subsidiaries, VIEs and VIE subsidiaries to satisfy any obligations of the Company.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21" w:lineRule="exact"/>
        <w:rPr>
          <w:sz w:val="20"/>
          <w:szCs w:val="20"/>
          <w:color w:val="auto"/>
        </w:rPr>
      </w:pPr>
    </w:p>
    <w:p>
      <w:pPr>
        <w:ind w:left="580" w:right="140"/>
        <w:spacing w:after="0" w:line="259" w:lineRule="auto"/>
        <w:rPr>
          <w:sz w:val="20"/>
          <w:szCs w:val="20"/>
          <w:color w:val="auto"/>
        </w:rPr>
      </w:pPr>
      <w:r>
        <w:rPr>
          <w:rFonts w:ascii="Arial" w:cs="Arial" w:eastAsia="Arial" w:hAnsi="Arial"/>
          <w:sz w:val="18"/>
          <w:szCs w:val="18"/>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79" w:lineRule="exact"/>
        <w:rPr>
          <w:sz w:val="20"/>
          <w:szCs w:val="20"/>
          <w:color w:val="auto"/>
        </w:rPr>
      </w:pPr>
    </w:p>
    <w:p>
      <w:pPr>
        <w:ind w:left="580" w:right="60"/>
        <w:spacing w:after="0" w:line="293" w:lineRule="auto"/>
        <w:rPr>
          <w:sz w:val="20"/>
          <w:szCs w:val="20"/>
          <w:color w:val="auto"/>
        </w:rPr>
      </w:pPr>
      <w:r>
        <w:rPr>
          <w:rFonts w:ascii="Arial" w:cs="Arial" w:eastAsia="Arial" w:hAnsi="Arial"/>
          <w:sz w:val="16"/>
          <w:szCs w:val="16"/>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57" w:lineRule="exact"/>
        <w:rPr>
          <w:sz w:val="20"/>
          <w:szCs w:val="20"/>
          <w:color w:val="auto"/>
        </w:rPr>
      </w:pPr>
    </w:p>
    <w:p>
      <w:pPr>
        <w:jc w:val="both"/>
        <w:ind w:left="580" w:right="40"/>
        <w:spacing w:after="0" w:line="25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79" w:lineRule="exact"/>
        <w:rPr>
          <w:sz w:val="20"/>
          <w:szCs w:val="20"/>
          <w:color w:val="auto"/>
        </w:rPr>
      </w:pPr>
    </w:p>
    <w:p>
      <w:pPr>
        <w:ind w:left="580" w:right="600"/>
        <w:spacing w:after="0" w:line="342" w:lineRule="auto"/>
        <w:rPr>
          <w:sz w:val="20"/>
          <w:szCs w:val="20"/>
          <w:color w:val="auto"/>
        </w:rPr>
      </w:pPr>
      <w:r>
        <w:rPr>
          <w:rFonts w:ascii="Arial" w:cs="Arial" w:eastAsia="Arial" w:hAnsi="Arial"/>
          <w:sz w:val="16"/>
          <w:szCs w:val="16"/>
          <w:color w:val="auto"/>
        </w:rPr>
        <w:t>As of December 31, 2016 and 2017, there were no material commitments or contingencies, significant provisions for long-term obligations or guarantees of the Company, except for those which have been separately disclosed in the consolidated financial statements, if any.</w:t>
      </w:r>
    </w:p>
    <w:p>
      <w:pPr>
        <w:spacing w:after="0" w:line="16" w:lineRule="exact"/>
        <w:rPr>
          <w:sz w:val="20"/>
          <w:szCs w:val="20"/>
          <w:color w:val="auto"/>
        </w:rPr>
      </w:pPr>
    </w:p>
    <w:p>
      <w:pPr>
        <w:jc w:val="both"/>
        <w:ind w:left="580" w:right="40"/>
        <w:spacing w:after="0" w:line="26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2015, 2016 and 2017, which were previously recognized at the parent company level, had been pushed down to the WFOE/VIE level given the majority of services were provided to the WFOE/VIE entities.</w:t>
      </w:r>
    </w:p>
    <w:p>
      <w:pPr>
        <w:spacing w:after="0" w:line="73" w:lineRule="exact"/>
        <w:rPr>
          <w:sz w:val="20"/>
          <w:szCs w:val="20"/>
          <w:color w:val="auto"/>
        </w:rPr>
      </w:pPr>
    </w:p>
    <w:p>
      <w:pPr>
        <w:ind w:left="580"/>
        <w:spacing w:after="0" w:line="286" w:lineRule="auto"/>
        <w:rPr>
          <w:sz w:val="20"/>
          <w:szCs w:val="20"/>
          <w:color w:val="auto"/>
        </w:rPr>
      </w:pPr>
      <w:r>
        <w:rPr>
          <w:rFonts w:ascii="Arial" w:cs="Arial" w:eastAsia="Arial" w:hAnsi="Arial"/>
          <w:sz w:val="17"/>
          <w:szCs w:val="17"/>
          <w:color w:val="auto"/>
        </w:rPr>
        <w:t>The condensed financial statements of the parent company should be read in conjunction with the Company’s consolidated financial statements and the accompanying notes thereto. For purposes of these condensed financial statements, the Company’s wholly owned and majority owned subsidiaries are recorded based upon its proportionate share of the subsidiaries’ net assets (similar to presenting them on the equity method).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400"/>
          </w:cols>
          <w:pgMar w:left="240" w:top="460" w:right="2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20" w:type="dxa"/>
            <w:vAlign w:val="bottom"/>
            <w:gridSpan w:val="4"/>
          </w:tcPr>
          <w:p>
            <w:pPr>
              <w:jc w:val="right"/>
              <w:ind w:right="20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380" w:type="dxa"/>
            <w:vAlign w:val="bottom"/>
            <w:gridSpan w:val="2"/>
          </w:tcPr>
          <w:p>
            <w:pPr>
              <w:jc w:val="right"/>
              <w:ind w:right="94"/>
              <w:spacing w:after="0"/>
              <w:rPr>
                <w:sz w:val="20"/>
                <w:szCs w:val="20"/>
                <w:color w:val="auto"/>
              </w:rPr>
            </w:pPr>
            <w:r>
              <w:rPr>
                <w:rFonts w:ascii="Arial" w:cs="Arial" w:eastAsia="Arial" w:hAnsi="Arial"/>
                <w:sz w:val="14"/>
                <w:szCs w:val="14"/>
                <w:color w:val="auto"/>
              </w:rPr>
              <w:t>2016</w:t>
            </w:r>
          </w:p>
        </w:tc>
        <w:tc>
          <w:tcPr>
            <w:tcW w:w="160" w:type="dxa"/>
            <w:vAlign w:val="bottom"/>
          </w:tcPr>
          <w:p>
            <w:pPr>
              <w:spacing w:after="0"/>
              <w:rPr>
                <w:sz w:val="14"/>
                <w:szCs w:val="14"/>
                <w:color w:val="auto"/>
              </w:rPr>
            </w:pPr>
          </w:p>
        </w:tc>
        <w:tc>
          <w:tcPr>
            <w:tcW w:w="640" w:type="dxa"/>
            <w:vAlign w:val="bottom"/>
          </w:tcPr>
          <w:p>
            <w:pPr>
              <w:jc w:val="right"/>
              <w:ind w:right="91"/>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12,005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5540" w:type="dxa"/>
            <w:vAlign w:val="bottom"/>
            <w:gridSpan w:val="3"/>
          </w:tcPr>
          <w:p>
            <w:pPr>
              <w:jc w:val="right"/>
              <w:ind w:right="160"/>
              <w:spacing w:after="0"/>
              <w:rPr>
                <w:sz w:val="20"/>
                <w:szCs w:val="20"/>
                <w:color w:val="auto"/>
              </w:rPr>
            </w:pPr>
            <w:r>
              <w:rPr>
                <w:rFonts w:ascii="Arial" w:cs="Arial" w:eastAsia="Arial" w:hAnsi="Arial"/>
                <w:sz w:val="18"/>
                <w:szCs w:val="18"/>
                <w:color w:val="auto"/>
              </w:rPr>
              <w:t>47,006</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74,193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4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59,026</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w:t>
            </w:r>
          </w:p>
        </w:tc>
        <w:tc>
          <w:tcPr>
            <w:tcW w:w="4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5540" w:type="dxa"/>
            <w:vAlign w:val="bottom"/>
            <w:gridSpan w:val="3"/>
          </w:tcPr>
          <w:p>
            <w:pPr>
              <w:jc w:val="right"/>
              <w:ind w:right="160"/>
              <w:spacing w:after="0"/>
              <w:rPr>
                <w:sz w:val="20"/>
                <w:szCs w:val="20"/>
                <w:color w:val="auto"/>
              </w:rPr>
            </w:pPr>
            <w:r>
              <w:rPr>
                <w:rFonts w:ascii="Arial" w:cs="Arial" w:eastAsia="Arial" w:hAnsi="Arial"/>
                <w:sz w:val="18"/>
                <w:szCs w:val="18"/>
                <w:color w:val="auto"/>
              </w:rPr>
              <w:t>45,050</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41,407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104,076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123,234</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Liabilities, mezzanine equity and shareholders’ (deficit)/equity</w:t>
            </w:r>
          </w:p>
        </w:tc>
        <w:tc>
          <w:tcPr>
            <w:tcW w:w="47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vMerge w:val="continue"/>
          </w:tcPr>
          <w:p>
            <w:pPr>
              <w:spacing w:after="0"/>
              <w:rPr>
                <w:sz w:val="18"/>
                <w:szCs w:val="18"/>
                <w:color w:val="auto"/>
              </w:rPr>
            </w:pPr>
          </w:p>
        </w:tc>
        <w:tc>
          <w:tcPr>
            <w:tcW w:w="4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538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60,525</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Amounts due to subsidiaries and VIEs</w:t>
            </w:r>
          </w:p>
        </w:tc>
        <w:tc>
          <w:tcPr>
            <w:tcW w:w="47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2,109</w:t>
            </w:r>
          </w:p>
        </w:tc>
        <w:tc>
          <w:tcPr>
            <w:tcW w:w="1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63,646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liability</w:t>
            </w:r>
          </w:p>
        </w:tc>
        <w:tc>
          <w:tcPr>
            <w:tcW w:w="47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liability</w:t>
            </w:r>
          </w:p>
        </w:tc>
        <w:tc>
          <w:tcPr>
            <w:tcW w:w="47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64,005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24"/>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4720" w:type="dxa"/>
            <w:vAlign w:val="bottom"/>
          </w:tcPr>
          <w:p>
            <w:pPr>
              <w:spacing w:after="0"/>
              <w:rPr>
                <w:sz w:val="19"/>
                <w:szCs w:val="19"/>
                <w:color w:val="auto"/>
              </w:rPr>
            </w:pP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5540" w:type="dxa"/>
            <w:vAlign w:val="bottom"/>
            <w:gridSpan w:val="3"/>
          </w:tcPr>
          <w:p>
            <w:pPr>
              <w:ind w:left="360"/>
              <w:spacing w:after="0"/>
              <w:rPr>
                <w:sz w:val="20"/>
                <w:szCs w:val="20"/>
                <w:color w:val="auto"/>
              </w:rPr>
            </w:pPr>
            <w:r>
              <w:rPr>
                <w:rFonts w:ascii="Arial" w:cs="Arial" w:eastAsia="Arial" w:hAnsi="Arial"/>
                <w:sz w:val="18"/>
                <w:szCs w:val="18"/>
                <w:color w:val="auto"/>
              </w:rPr>
              <w:t>F-68</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4"/>
                <w:szCs w:val="14"/>
                <w:color w:val="auto"/>
              </w:rPr>
              <w:t>As of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4"/>
                <w:szCs w:val="14"/>
                <w:color w:val="auto"/>
              </w:rPr>
            </w:pPr>
          </w:p>
        </w:tc>
        <w:tc>
          <w:tcPr>
            <w:tcW w:w="660" w:type="dxa"/>
            <w:vAlign w:val="bottom"/>
          </w:tcPr>
          <w:p>
            <w:pPr>
              <w:jc w:val="right"/>
              <w:ind w:right="91"/>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5"/>
              </w:rPr>
              <w:t>Series A convertible redeemable preferred shares (US$0.001 par value; 2,500,000 shares authorized as of December 31, 2016;</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w w:val="94"/>
              </w:rPr>
              <w:t>2,476,190 shares issued and outstanding as of December 31, 2016; redemption amount of US$6,737 as of December 31, 2016;</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none issued and outstanding as of December 31, 2017)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5,597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B convertible redeemable preferred shares (US$0.001 par value; 3,000,000 shares authorized as of December 31, 2016;</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1,889,249 shares issued and outstanding as of December 31, 2016; redemption amount of US$14,625 as of December 31, 2016;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none issued and outstanding as of December 31, 2017)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9,807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5"/>
              </w:rPr>
              <w:t>Series C convertible redeemable preferred shares (US$0.001 par value; 1,650,000 shares authorized as of December 31, 2016;</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w w:val="93"/>
              </w:rPr>
              <w:t>1,599,186 shares issued and outstanding as of December 31, 2016; redemption amount of US$22,288 as of December 31, 2016;</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none issued and outstanding as of December 31, 2017)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10,733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D convertible redeemable preferred shares (US$0.001 par value; 4,500,000 shares authorized as of December 31, 2016;</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2,493,018 shares issued and outstanding as of December 31, 2016; redemption amount of US$58,874 as of December 31, 2016;</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none issued and outstanding as of December 31, 2017)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43,956</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5"/>
              </w:rPr>
              <w:t>Series E convertible redeemable preferred shares (US$0.001 par value; 1,200,000 shares authorized as of December 31, 2016;</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w w:val="93"/>
              </w:rPr>
              <w:t>1,068,114 shares issued and outstanding as of December 31, 2016; redemption amount of US$20,000 as of December 31, 2016;</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none issued and outstanding as of December 31, 2017)</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18,845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Redeemable ordinary shares (US$0.001 par value; 742,320 shares issued and outstanding as of December 31, 2016; none issued and</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9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15,445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Total mezzanine equity</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104,383</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(deficit)/equity</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Ordinary shares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(2,468)</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Other shareholders’ (deficit)/equity</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(61,858)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122,051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(64,312)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119,984</w:t>
            </w: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104,076</w:t>
            </w:r>
          </w:p>
        </w:tc>
        <w:tc>
          <w:tcPr>
            <w:tcW w:w="2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123,234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F-69</w:t>
            </w: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2015, 2016 AND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2340" w:type="dxa"/>
            <w:vAlign w:val="bottom"/>
            <w:gridSpan w:val="7"/>
          </w:tcPr>
          <w:p>
            <w:pPr>
              <w:jc w:val="right"/>
              <w:ind w:right="180"/>
              <w:spacing w:after="0"/>
              <w:rPr>
                <w:sz w:val="20"/>
                <w:szCs w:val="20"/>
                <w:color w:val="auto"/>
              </w:rPr>
            </w:pPr>
            <w:r>
              <w:rPr>
                <w:rFonts w:ascii="Arial" w:cs="Arial" w:eastAsia="Arial" w:hAnsi="Arial"/>
                <w:sz w:val="14"/>
                <w:szCs w:val="14"/>
                <w:color w:val="auto"/>
                <w:w w:val="94"/>
              </w:rPr>
              <w:t>For the years 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4"/>
                <w:szCs w:val="14"/>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(7,455)</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(21,655)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(21,655)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gains, net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Fair value (loss)/gain on derivative liabilities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(19,390)</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3,995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(10,190)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subsidiaries and VIEs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(12,970)</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(9,815)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(39,714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(27,330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(24,619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(39,714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(27,330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(24,619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(1,556)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(44,388)</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(29,659)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(29,931)</w:t>
            </w:r>
          </w:p>
        </w:tc>
        <w:tc>
          <w:tcPr>
            <w:tcW w:w="0" w:type="dxa"/>
            <w:vAlign w:val="bottom"/>
          </w:tcPr>
          <w:p>
            <w:pPr>
              <w:spacing w:after="0"/>
              <w:rPr>
                <w:sz w:val="1"/>
                <w:szCs w:val="1"/>
                <w:color w:val="auto"/>
              </w:rPr>
            </w:pPr>
          </w:p>
        </w:tc>
      </w:tr>
      <w:tr>
        <w:trPr>
          <w:trHeight w:val="223"/>
        </w:trPr>
        <w:tc>
          <w:tcPr>
            <w:tcW w:w="9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(39,714)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(27,330)</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(24,619)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 net of tax</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6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(39,843)</w:t>
            </w:r>
          </w:p>
        </w:tc>
        <w:tc>
          <w:tcPr>
            <w:tcW w:w="22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(27,469)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(24,698)</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STATEMENTS OF CASH FLOWS</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90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080" w:type="dxa"/>
            <w:vAlign w:val="bottom"/>
            <w:gridSpan w:val="2"/>
          </w:tcPr>
          <w:p>
            <w:pPr>
              <w:spacing w:after="0"/>
              <w:rPr>
                <w:sz w:val="20"/>
                <w:szCs w:val="20"/>
                <w:color w:val="auto"/>
              </w:rPr>
            </w:pPr>
            <w:r>
              <w:rPr>
                <w:rFonts w:ascii="Arial" w:cs="Arial" w:eastAsia="Arial" w:hAnsi="Arial"/>
                <w:sz w:val="18"/>
                <w:szCs w:val="18"/>
                <w:b w:val="1"/>
                <w:bCs w:val="1"/>
                <w:color w:val="auto"/>
              </w:rPr>
              <w:t>FOR THE YEARS ENDED DECEMBER 31, 2015, 2016 AND 2017</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2340" w:type="dxa"/>
            <w:vAlign w:val="bottom"/>
            <w:gridSpan w:val="7"/>
          </w:tcPr>
          <w:p>
            <w:pPr>
              <w:jc w:val="right"/>
              <w:ind w:right="160"/>
              <w:spacing w:after="0"/>
              <w:rPr>
                <w:sz w:val="20"/>
                <w:szCs w:val="20"/>
                <w:color w:val="auto"/>
              </w:rPr>
            </w:pPr>
            <w:r>
              <w:rPr>
                <w:rFonts w:ascii="Arial" w:cs="Arial" w:eastAsia="Arial" w:hAnsi="Arial"/>
                <w:sz w:val="14"/>
                <w:szCs w:val="14"/>
                <w:color w:val="auto"/>
                <w:w w:val="95"/>
              </w:rPr>
              <w:t>For the years 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2016</w:t>
            </w:r>
          </w:p>
        </w:tc>
        <w:tc>
          <w:tcPr>
            <w:tcW w:w="220" w:type="dxa"/>
            <w:vAlign w:val="bottom"/>
          </w:tcPr>
          <w:p>
            <w:pPr>
              <w:spacing w:after="0"/>
              <w:rPr>
                <w:sz w:val="14"/>
                <w:szCs w:val="14"/>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(86,738)</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(8,083)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(34,030)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Proceeds from issuance of Series E convertible redeemable preferred shares</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20,000</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exercise of share options</w:t>
            </w:r>
          </w:p>
        </w:tc>
        <w:tc>
          <w:tcPr>
            <w:tcW w:w="8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Net proceeds from issuance of ordinary shares upon IPO</w:t>
            </w: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28,405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Others</w:t>
            </w:r>
          </w:p>
        </w:tc>
        <w:tc>
          <w:tcPr>
            <w:tcW w:w="8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2,210</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Net cash from financing activities</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2,494</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20,171</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8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(84,244)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12,088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5520"/>
              <w:spacing w:after="0"/>
              <w:rPr>
                <w:sz w:val="20"/>
                <w:szCs w:val="20"/>
                <w:color w:val="auto"/>
              </w:rPr>
            </w:pPr>
            <w:r>
              <w:rPr>
                <w:rFonts w:ascii="Arial" w:cs="Arial" w:eastAsia="Arial" w:hAnsi="Arial"/>
                <w:sz w:val="18"/>
                <w:szCs w:val="18"/>
                <w:color w:val="auto"/>
              </w:rPr>
              <w:t>F-70</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6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172085</wp:posOffset>
            </wp:positionV>
            <wp:extent cx="900430" cy="2571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90043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Baidu Distributor Cooperation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Baidu Online Network Technology (Beijing) Co., Ltd.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Xiang Hailong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Address: RM 2201-03 22/F WORLD WIDE HOUSE 19 DES VOEUX ROAD CENTRAL 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Li Yinyu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Search Asia Technology (Shenzhen) Co., Ltd.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Xue Yongkang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Address: Room 5903-06, Diwang Mansion, 5002 Shennandong Road, Luo Hu District, Shenzhen, China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Jon Chan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Party A is an information service provider duly established who provides network information services. Party B is a company duly established and validly existing and owns a good service system. Upon entrustment of the promotion clients (hereinafter referred to as the “</w:t>
      </w:r>
      <w:r>
        <w:rPr>
          <w:rFonts w:ascii="Arial" w:cs="Arial" w:eastAsia="Arial" w:hAnsi="Arial"/>
          <w:sz w:val="18"/>
          <w:szCs w:val="18"/>
          <w:b w:val="1"/>
          <w:bCs w:val="1"/>
          <w:color w:val="auto"/>
        </w:rPr>
        <w:t>Clients</w:t>
      </w:r>
      <w:r>
        <w:rPr>
          <w:rFonts w:ascii="Arial" w:cs="Arial" w:eastAsia="Arial" w:hAnsi="Arial"/>
          <w:sz w:val="18"/>
          <w:szCs w:val="18"/>
          <w:color w:val="auto"/>
        </w:rPr>
        <w:t>”), Party B needs the promotion services provided by Party A. With respect to relevant matters regarding Party B’s releases and promotions on Party A’s website (including Party A’s website and websites of Party A’s affiliates, pages or interfaces of Party A’ allied members, hereinafter referred to as the “</w:t>
      </w:r>
      <w:r>
        <w:rPr>
          <w:rFonts w:ascii="Arial" w:cs="Arial" w:eastAsia="Arial" w:hAnsi="Arial"/>
          <w:sz w:val="18"/>
          <w:szCs w:val="18"/>
          <w:b w:val="1"/>
          <w:bCs w:val="1"/>
          <w:color w:val="auto"/>
        </w:rPr>
        <w:t>Baidu Websites</w:t>
      </w:r>
      <w:r>
        <w:rPr>
          <w:rFonts w:ascii="Arial" w:cs="Arial" w:eastAsia="Arial" w:hAnsi="Arial"/>
          <w:sz w:val="18"/>
          <w:szCs w:val="18"/>
          <w:color w:val="auto"/>
        </w:rPr>
        <w:t>”), upon entrustment of the Clients, Party A and Party B, through friendly consultation, reach the following agreement and enter into this Contract in accordance with the principles of mutual benefit and joint development.</w:t>
      </w:r>
    </w:p>
    <w:p>
      <w:pPr>
        <w:spacing w:after="0" w:line="189"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Note: The Parties confirm that this Contract has a collateral contract signed by BAIDU (HONGKONG) LIMITED and China Search (Asia) Ltd. The performance is calculated based on Party B’s actual consolidated consumption in two contracts. BAIDU (HONGKONG) LIMITED will pay rebates to China Search (Asia) Ltd.</w:t>
      </w:r>
    </w:p>
    <w:p>
      <w:pPr>
        <w:spacing w:after="0" w:line="325" w:lineRule="exact"/>
        <w:rPr>
          <w:sz w:val="20"/>
          <w:szCs w:val="20"/>
          <w:color w:val="auto"/>
        </w:rPr>
      </w:pPr>
    </w:p>
    <w:p>
      <w:pPr>
        <w:ind w:left="580" w:hanging="572"/>
        <w:spacing w:after="0"/>
        <w:tabs>
          <w:tab w:leader="none" w:pos="5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Term of Distribution Cooperation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This Contract is valid from January 1, 2017 to December 31, 2017 for a period of 12 months.</w:t>
      </w:r>
    </w:p>
    <w:p>
      <w:pPr>
        <w:spacing w:after="0" w:line="131" w:lineRule="exact"/>
        <w:rPr>
          <w:sz w:val="20"/>
          <w:szCs w:val="20"/>
          <w:color w:val="auto"/>
        </w:rPr>
      </w:pPr>
    </w:p>
    <w:p>
      <w:pPr>
        <w:ind w:left="580" w:right="80" w:hanging="566"/>
        <w:spacing w:after="0" w:line="279"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Parties acknowledge and agree that Party A will authorize Party B, as a distributor of Party A, to promote Party A’s “Baidu Promotion” technical services (including the existing Baidu Promotion and its derivative services, hereinafter referred to as “</w:t>
      </w:r>
      <w:r>
        <w:rPr>
          <w:rFonts w:ascii="Arial" w:cs="Arial" w:eastAsia="Arial" w:hAnsi="Arial"/>
          <w:sz w:val="17"/>
          <w:szCs w:val="17"/>
          <w:b w:val="1"/>
          <w:bCs w:val="1"/>
          <w:color w:val="auto"/>
        </w:rPr>
        <w:t>Baidu Promotions</w:t>
      </w:r>
      <w:r>
        <w:rPr>
          <w:rFonts w:ascii="Arial" w:cs="Arial" w:eastAsia="Arial" w:hAnsi="Arial"/>
          <w:sz w:val="17"/>
          <w:szCs w:val="17"/>
          <w:color w:val="auto"/>
        </w:rPr>
        <w:t>”) to its final clients and to serve as Party A’s general agent in the regions including but not limited to Hong Kong, Macao, Taiwan, Singapore, and Europe. Party B shall not mislead the Clients in any express or implied manner into believing that Party B acts on behalf of Party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 10</w:t>
      </w:r>
    </w:p>
    <w:p>
      <w:pPr>
        <w:sectPr>
          <w:pgSz w:w="11900" w:h="16838" w:orient="portrait"/>
          <w:cols w:equalWidth="0" w:num="1">
            <w:col w:w="11420"/>
          </w:cols>
          <w:pgMar w:left="240" w:top="121" w:right="239" w:bottom="1440" w:gutter="0" w:footer="0" w:header="0"/>
        </w:sectPr>
      </w:pPr>
    </w:p>
    <w:bookmarkStart w:id="207" w:name="page208"/>
    <w:bookmarkEnd w:id="207"/>
    <w:p>
      <w:pPr>
        <w:ind w:left="580" w:hanging="572"/>
        <w:spacing w:after="0"/>
        <w:tabs>
          <w:tab w:leader="none" w:pos="5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483870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Rights and Obligations of Party A</w:t>
      </w:r>
    </w:p>
    <w:p>
      <w:pPr>
        <w:spacing w:after="0" w:line="135" w:lineRule="exact"/>
        <w:rPr>
          <w:sz w:val="20"/>
          <w:szCs w:val="20"/>
          <w:color w:val="auto"/>
        </w:rPr>
      </w:pPr>
    </w:p>
    <w:p>
      <w:pPr>
        <w:ind w:left="580" w:right="120" w:hanging="566"/>
        <w:spacing w:after="0" w:line="264"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Party A will open a “Regional Agent Management Account” of Baidu Promotions for Party B. The ownership of such management account belongs to Party A. If Party A withdraws the authority of regional agent from Party B for any reason (except that this Contract is no longer renewed upon expiration), Party B shall stop using the management account from the date of withdrawal of the authority.</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Party A will issue an Authorization Certificate of Regional Agents with a limited period to Party B for Baidu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Party A authorizes Party B to carry out marketing activities in the name of a regional agent of Baidu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Party A has the right to refuse or modify the released contents which are unreal, illegal and contrary to sound social custom.</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Party A undertakes to give priority for Party B to select channel space under the same conditions.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If Party B makes a written request, Party A will assist Party B to provide a real monitoring report after release of the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Party A will display Party B’s logo provided by Party B in the partner area on Party A’s website.</w:t>
      </w:r>
    </w:p>
    <w:p>
      <w:pPr>
        <w:spacing w:after="0" w:line="370" w:lineRule="exact"/>
        <w:rPr>
          <w:sz w:val="20"/>
          <w:szCs w:val="20"/>
          <w:color w:val="auto"/>
        </w:rPr>
      </w:pPr>
    </w:p>
    <w:p>
      <w:pPr>
        <w:ind w:left="580" w:hanging="572"/>
        <w:spacing w:after="0"/>
        <w:tabs>
          <w:tab w:leader="none" w:pos="5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B</w:t>
      </w:r>
    </w:p>
    <w:p>
      <w:pPr>
        <w:spacing w:after="0" w:line="135" w:lineRule="exact"/>
        <w:rPr>
          <w:sz w:val="20"/>
          <w:szCs w:val="20"/>
          <w:color w:val="auto"/>
        </w:rPr>
      </w:pPr>
    </w:p>
    <w:p>
      <w:pPr>
        <w:ind w:left="580" w:right="340" w:hanging="566"/>
        <w:spacing w:after="0" w:line="312"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Party B shall apply for an independent “Baidu Promotion” account for each “Baidu Promotion” Client. The Client’s information shall be true and valid. Supporting documents of the Client to prove effective subject qualification and legitimate operation in related industries, such as business license, are also required. Party B will conduct daily management on its Clients, including account opening, top-up, renewal and contact.</w:t>
      </w:r>
    </w:p>
    <w:p>
      <w:pPr>
        <w:spacing w:after="0" w:line="52"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Party B shall first check the qualifications and other materials and information of Clients it provides to Party A for Baidu Promotions, and shall assume independent and full responsibility for the authenticity, legality, validity and accuracy of all kinds of materials and information provided by it. At the same time, Party B shall warrant that the information provided to Party A is true and lawful, and that Party A’s use of such information will not infringe the legitimate rights and interests of any third party. If the above information is changed, Party A shall be notified immediately. Where Party A makes any compensation to netizens owing to fraud and other acts of the Clients developed by Party B, Party A has the right to recover the compensation from Party B.</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 / 10</w:t>
      </w:r>
    </w:p>
    <w:p>
      <w:pPr>
        <w:sectPr>
          <w:pgSz w:w="11900" w:h="16838" w:orient="portrait"/>
          <w:cols w:equalWidth="0" w:num="1">
            <w:col w:w="11380"/>
          </w:cols>
          <w:pgMar w:left="240" w:top="945" w:right="279" w:bottom="1440" w:gutter="0" w:footer="0" w:header="0"/>
        </w:sectPr>
      </w:pPr>
    </w:p>
    <w:bookmarkStart w:id="208" w:name="page209"/>
    <w:bookmarkEnd w:id="208"/>
    <w:p>
      <w:pPr>
        <w:ind w:left="580" w:right="72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3.3</w:t>
      </w:r>
      <w:r>
        <w:rPr>
          <w:sz w:val="20"/>
          <w:szCs w:val="20"/>
          <w:color w:val="auto"/>
        </w:rPr>
        <w:tab/>
      </w:r>
      <w:r>
        <w:rPr>
          <w:rFonts w:ascii="Arial" w:cs="Arial" w:eastAsia="Arial" w:hAnsi="Arial"/>
          <w:sz w:val="18"/>
          <w:szCs w:val="18"/>
          <w:color w:val="auto"/>
        </w:rPr>
        <w:t>The Clients developed by Party B shall comply with the provisions of national laws and regulations and shall not violate Party A’s rules and regulations.</w:t>
      </w:r>
    </w:p>
    <w:p>
      <w:pPr>
        <w:spacing w:after="0" w:line="76" w:lineRule="exact"/>
        <w:rPr>
          <w:sz w:val="20"/>
          <w:szCs w:val="20"/>
          <w:color w:val="auto"/>
        </w:rPr>
      </w:pPr>
    </w:p>
    <w:p>
      <w:pPr>
        <w:ind w:left="580" w:right="260" w:hanging="566"/>
        <w:spacing w:after="0" w:line="312"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Party B shall actively expand sales business of online release. It shall sign the Online Promotion Service Contract and Online Release Service Contract with Party A five working days before commencement of the information release plan for each release, indicating the release form, time, location, content, price and other specific items, and provide Party A with such contracts and complete information required to release.</w:t>
      </w:r>
    </w:p>
    <w:p>
      <w:pPr>
        <w:spacing w:after="0" w:line="52" w:lineRule="exact"/>
        <w:rPr>
          <w:sz w:val="20"/>
          <w:szCs w:val="20"/>
          <w:color w:val="auto"/>
        </w:rPr>
      </w:pPr>
    </w:p>
    <w:p>
      <w:pPr>
        <w:ind w:left="580" w:right="200" w:hanging="566"/>
        <w:spacing w:after="0" w:line="259"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release content provided by Party B shall be true and lawful, and shall not be fraudulent, deceive or mislead consumers, or violate laws and regulations of the People’s Republic of China, public morals and the legitimate interests of any third party. The contents and pictures to be released shall conform to relevant laws. Otherwise, Party A has the right to refuse false or illegal contents to be released, and Party B shall bear the legal liability arising from the released contents.</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Party B is obligated to inform Party A of the feedback from its Clients in a timely manner so that Party A can give immediate response.</w:t>
      </w:r>
    </w:p>
    <w:p>
      <w:pPr>
        <w:spacing w:after="0" w:line="131"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shall promptly pay the fees for release services, calculation of which shall be subject to the provisions of Clause 4 (Payment Amount and Payment Term).</w:t>
      </w:r>
    </w:p>
    <w:p>
      <w:pPr>
        <w:spacing w:after="0" w:line="315" w:lineRule="exact"/>
        <w:rPr>
          <w:sz w:val="20"/>
          <w:szCs w:val="20"/>
          <w:color w:val="auto"/>
        </w:rPr>
      </w:pPr>
    </w:p>
    <w:p>
      <w:pPr>
        <w:ind w:left="580" w:hanging="572"/>
        <w:spacing w:after="0"/>
        <w:tabs>
          <w:tab w:leader="none" w:pos="5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Payment Amount and Payment Term</w:t>
      </w:r>
    </w:p>
    <w:p>
      <w:pPr>
        <w:spacing w:after="0" w:line="135" w:lineRule="exact"/>
        <w:rPr>
          <w:sz w:val="20"/>
          <w:szCs w:val="20"/>
          <w:color w:val="auto"/>
        </w:rPr>
      </w:pPr>
    </w:p>
    <w:p>
      <w:pPr>
        <w:ind w:left="580" w:right="160" w:hanging="566"/>
        <w:spacing w:after="0" w:line="277"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B shall make advance payment to top up its agent management account. Party B shall timely top up the account when the advance payment is less than RMB5000.</w:t>
      </w:r>
    </w:p>
    <w:p>
      <w:pPr>
        <w:spacing w:after="0" w:line="76" w:lineRule="exact"/>
        <w:rPr>
          <w:sz w:val="20"/>
          <w:szCs w:val="20"/>
          <w:color w:val="auto"/>
        </w:rPr>
      </w:pPr>
    </w:p>
    <w:p>
      <w:pPr>
        <w:jc w:val="both"/>
        <w:ind w:left="580" w:hanging="566"/>
        <w:spacing w:after="0" w:line="302"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Release fees</w:t>
      </w:r>
      <w:r>
        <w:rPr>
          <w:rFonts w:ascii="Arial" w:cs="Arial" w:eastAsia="Arial" w:hAnsi="Arial"/>
          <w:sz w:val="16"/>
          <w:szCs w:val="16"/>
          <w:color w:val="auto"/>
        </w:rPr>
        <w:t>. Party B generally pays the release fees to Party A in accordance with the corresponding offer discount in the table below after accepting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Client’s entrustment of releasing online promotion on the website of Party A. The specific fee standard is subject to the Online Promotion Service Contract and Online Release Service Contract signed by the Parties for each release. Special product lines or special contracts which do not enjoy the preferential policies of this Contract shall be specified in the specific Online Promotion Service Contract and Online Release Service Contract.</w:t>
      </w:r>
    </w:p>
    <w:p>
      <w:pPr>
        <w:spacing w:after="0" w:line="60" w:lineRule="exact"/>
        <w:rPr>
          <w:sz w:val="20"/>
          <w:szCs w:val="20"/>
          <w:color w:val="auto"/>
        </w:rPr>
      </w:pPr>
    </w:p>
    <w:p>
      <w:pPr>
        <w:ind w:left="580" w:right="120" w:hanging="566"/>
        <w:spacing w:after="0" w:line="277" w:lineRule="auto"/>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Baidu distribution payment policy</w:t>
      </w:r>
      <w:r>
        <w:rPr>
          <w:rFonts w:ascii="Arial" w:cs="Arial" w:eastAsia="Arial" w:hAnsi="Arial"/>
          <w:sz w:val="18"/>
          <w:szCs w:val="18"/>
          <w:color w:val="auto"/>
        </w:rPr>
        <w:t>. Party B shall pay off the release fee corresponding to the Online Promotion Service Contract and Online Release</w:t>
      </w:r>
      <w:r>
        <w:rPr>
          <w:rFonts w:ascii="Arial" w:cs="Arial" w:eastAsia="Arial" w:hAnsi="Arial"/>
          <w:sz w:val="18"/>
          <w:szCs w:val="18"/>
          <w:u w:val="single" w:color="auto"/>
          <w:color w:val="auto"/>
        </w:rPr>
        <w:t xml:space="preserve"> </w:t>
      </w:r>
      <w:r>
        <w:rPr>
          <w:rFonts w:ascii="Arial" w:cs="Arial" w:eastAsia="Arial" w:hAnsi="Arial"/>
          <w:sz w:val="18"/>
          <w:szCs w:val="18"/>
          <w:color w:val="auto"/>
        </w:rPr>
        <w:t>Service Contract for each release before the settlement date set forth in such contracts.</w:t>
      </w:r>
    </w:p>
    <w:p>
      <w:pPr>
        <w:spacing w:after="0" w:line="76" w:lineRule="exact"/>
        <w:rPr>
          <w:sz w:val="20"/>
          <w:szCs w:val="20"/>
          <w:color w:val="auto"/>
        </w:rPr>
      </w:pPr>
    </w:p>
    <w:p>
      <w:pPr>
        <w:ind w:left="580" w:right="140" w:hanging="566"/>
        <w:spacing w:after="0" w:line="308"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If any agent fails to pay the release fee on time, Baidu may deduct the overdue amount from rebates or require Party B to pay liquidated damages at the daily rate of 0.02% of the overdue amount from the overdue payment date, and may require immediate implementation.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 / 10</w:t>
      </w:r>
    </w:p>
    <w:p>
      <w:pPr>
        <w:sectPr>
          <w:pgSz w:w="11900" w:h="16838" w:orient="portrait"/>
          <w:cols w:equalWidth="0" w:num="1">
            <w:col w:w="11360"/>
          </w:cols>
          <w:pgMar w:left="240" w:top="949" w:right="299" w:bottom="1440" w:gutter="0" w:footer="0" w:header="0"/>
        </w:sectPr>
      </w:pPr>
    </w:p>
    <w:bookmarkStart w:id="209" w:name="page210"/>
    <w:bookmarkEnd w:id="209"/>
    <w:p>
      <w:pPr>
        <w:ind w:left="580" w:hanging="572"/>
        <w:spacing w:after="0"/>
        <w:tabs>
          <w:tab w:leader="none" w:pos="5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483870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Product Incentives</w:t>
      </w:r>
    </w:p>
    <w:p>
      <w:pPr>
        <w:spacing w:after="0" w:line="135" w:lineRule="exact"/>
        <w:rPr>
          <w:sz w:val="20"/>
          <w:szCs w:val="20"/>
          <w:color w:val="auto"/>
        </w:rPr>
      </w:pPr>
    </w:p>
    <w:p>
      <w:pPr>
        <w:jc w:val="both"/>
        <w:ind w:left="580" w:right="40" w:hanging="566"/>
        <w:spacing w:after="0" w:line="259"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Party B shall settle relevant release fees with Party A in accordance with the latest quotation issued by Party A and the corresponding discounts in the table below. The specific fee standard is subject to the Online Promotion Service Contract and Online Release Service Contract signed by the Parties for each release. Special product lines or special contracts which do not enjoy the preferential policies of this Contract shall be specified in the Online Promotion Service Contract and Online Release Service Contract.</w:t>
      </w:r>
    </w:p>
    <w:p>
      <w:pPr>
        <w:spacing w:after="0" w:line="92" w:lineRule="exact"/>
        <w:rPr>
          <w:sz w:val="20"/>
          <w:szCs w:val="20"/>
          <w:color w:val="auto"/>
        </w:rPr>
      </w:pPr>
    </w:p>
    <w:p>
      <w:pPr>
        <w:ind w:left="580" w:right="620" w:hanging="566"/>
        <w:spacing w:after="0" w:line="277"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With respect to </w:t>
      </w:r>
      <w:r>
        <w:rPr>
          <w:rFonts w:ascii="Arial" w:cs="Arial" w:eastAsia="Arial" w:hAnsi="Arial"/>
          <w:sz w:val="15"/>
          <w:szCs w:val="15"/>
          <w:color w:val="auto"/>
        </w:rPr>
        <w:t>***</w:t>
      </w:r>
      <w:r>
        <w:rPr>
          <w:rFonts w:ascii="Arial" w:cs="Arial" w:eastAsia="Arial" w:hAnsi="Arial"/>
          <w:sz w:val="18"/>
          <w:szCs w:val="18"/>
          <w:color w:val="auto"/>
        </w:rPr>
        <w:t xml:space="preserve"> products, their release amounts shall not be included in calculation of rebate proportion and no rebate shall be given to the distributors. Other products are subject to specific product policies.</w:t>
      </w:r>
    </w:p>
    <w:p>
      <w:pPr>
        <w:spacing w:after="0" w:line="76" w:lineRule="exact"/>
        <w:rPr>
          <w:sz w:val="20"/>
          <w:szCs w:val="20"/>
          <w:color w:val="auto"/>
        </w:rPr>
      </w:pPr>
    </w:p>
    <w:p>
      <w:pPr>
        <w:ind w:left="580" w:right="560" w:hanging="566"/>
        <w:spacing w:after="0" w:line="277"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release amounts of advertisers held by Baidu (holding ratio ³ 51%, the list of such advertisers is subject to confirmation by Baidu) shall be included in calculation of rebate proportion, but no rebate shall be given to the distributors.</w:t>
      </w:r>
    </w:p>
    <w:p>
      <w:pPr>
        <w:spacing w:after="0" w:line="76" w:lineRule="exact"/>
        <w:rPr>
          <w:sz w:val="20"/>
          <w:szCs w:val="20"/>
          <w:color w:val="auto"/>
        </w:rPr>
      </w:pPr>
    </w:p>
    <w:p>
      <w:pPr>
        <w:ind w:left="580" w:right="280" w:hanging="566"/>
        <w:spacing w:after="0" w:line="279" w:lineRule="auto"/>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If any advertiser releasing promotions through any distributor is identified by Baidu as committing business violations (including promotion violations, cross-regional violations and framework violations) in 2017, the consumption of such advertiser shall not be included in calculation of rebate proportion and no rebate shall be given to the distributor. If there is any rebate paid before determination of the violation, the rebate shall be recovered. Moreover, performance penalties shall be imposed according to the following rules:</w:t>
      </w:r>
    </w:p>
    <w:p>
      <w:pPr>
        <w:spacing w:after="0" w:line="77" w:lineRule="exact"/>
        <w:rPr>
          <w:sz w:val="20"/>
          <w:szCs w:val="20"/>
          <w:color w:val="auto"/>
        </w:rPr>
      </w:pPr>
    </w:p>
    <w:p>
      <w:pPr>
        <w:ind w:left="1140" w:right="180" w:hanging="565"/>
        <w:spacing w:after="0" w:line="277" w:lineRule="auto"/>
        <w:tabs>
          <w:tab w:leader="none" w:pos="11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Serious Class A violation</w:t>
      </w:r>
      <w:r>
        <w:rPr>
          <w:rFonts w:ascii="Arial" w:cs="Arial" w:eastAsia="Arial" w:hAnsi="Arial"/>
          <w:sz w:val="18"/>
          <w:szCs w:val="18"/>
          <w:color w:val="auto"/>
        </w:rPr>
        <w:t>: double the performance penalty based on the rebate that the distributor can enjoy according to these policies. The penalty limit is 1 time of the total consumption of the violating advertiser for the current term.</w:t>
      </w:r>
    </w:p>
    <w:p>
      <w:pPr>
        <w:spacing w:after="0" w:line="75" w:lineRule="exact"/>
        <w:rPr>
          <w:rFonts w:ascii="Arial" w:cs="Arial" w:eastAsia="Arial" w:hAnsi="Arial"/>
          <w:sz w:val="18"/>
          <w:szCs w:val="18"/>
          <w:color w:val="auto"/>
        </w:rPr>
      </w:pPr>
    </w:p>
    <w:p>
      <w:pPr>
        <w:ind w:left="1140" w:right="140" w:hanging="565"/>
        <w:spacing w:after="0" w:line="277" w:lineRule="auto"/>
        <w:tabs>
          <w:tab w:leader="none" w:pos="11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Non-serious Class A violation</w:t>
      </w:r>
      <w:r>
        <w:rPr>
          <w:rFonts w:ascii="Arial" w:cs="Arial" w:eastAsia="Arial" w:hAnsi="Arial"/>
          <w:sz w:val="18"/>
          <w:szCs w:val="18"/>
          <w:color w:val="auto"/>
        </w:rPr>
        <w:t>: impose the performance penalty based on the rebate that the distributor can enjoy according to these policies. The penalty limit is the performance amount determined by Baidu.</w:t>
      </w:r>
    </w:p>
    <w:p>
      <w:pPr>
        <w:spacing w:after="0" w:line="75" w:lineRule="exact"/>
        <w:rPr>
          <w:rFonts w:ascii="Arial" w:cs="Arial" w:eastAsia="Arial" w:hAnsi="Arial"/>
          <w:sz w:val="18"/>
          <w:szCs w:val="18"/>
          <w:color w:val="auto"/>
        </w:rPr>
      </w:pPr>
    </w:p>
    <w:p>
      <w:pPr>
        <w:ind w:left="1140" w:right="40" w:hanging="565"/>
        <w:spacing w:after="0" w:line="264" w:lineRule="auto"/>
        <w:tabs>
          <w:tab w:leader="none" w:pos="11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When the compliance performance of the distributor is not enough to offset the performance penalty, the distributor’s rebate will be deducted. If the rebate is also not enough, the distributor shall make up the amount in cash. If the distributor fails to do so, its distributor qualification will be canceled.</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It shall be determined by Baidu whether any act constitutes the violation abovementioned.</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 xml:space="preserve">Release by advertisers in the </w:t>
      </w:r>
      <w:r>
        <w:rPr>
          <w:rFonts w:ascii="Arial" w:cs="Arial" w:eastAsia="Arial" w:hAnsi="Arial"/>
          <w:sz w:val="13"/>
          <w:szCs w:val="13"/>
          <w:color w:val="auto"/>
        </w:rPr>
        <w:t>***</w:t>
      </w:r>
      <w:r>
        <w:rPr>
          <w:rFonts w:ascii="Arial" w:cs="Arial" w:eastAsia="Arial" w:hAnsi="Arial"/>
          <w:sz w:val="16"/>
          <w:szCs w:val="16"/>
          <w:color w:val="auto"/>
        </w:rPr>
        <w:t xml:space="preserve"> industry will not be included in calculation of rebate proportion and no rebate will be given to the distributors.</w:t>
      </w:r>
    </w:p>
    <w:p>
      <w:pPr>
        <w:spacing w:after="0" w:line="131" w:lineRule="exact"/>
        <w:rPr>
          <w:sz w:val="20"/>
          <w:szCs w:val="20"/>
          <w:color w:val="auto"/>
        </w:rPr>
      </w:pPr>
    </w:p>
    <w:p>
      <w:pPr>
        <w:ind w:left="580" w:right="400" w:hanging="566"/>
        <w:spacing w:after="0" w:line="277" w:lineRule="auto"/>
        <w:tabs>
          <w:tab w:leader="none" w:pos="5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 xml:space="preserve">No release amounts of related advertisers under the overall framework of </w:t>
      </w:r>
      <w:r>
        <w:rPr>
          <w:rFonts w:ascii="Arial" w:cs="Arial" w:eastAsia="Arial" w:hAnsi="Arial"/>
          <w:sz w:val="15"/>
          <w:szCs w:val="15"/>
          <w:color w:val="auto"/>
        </w:rPr>
        <w:t>***</w:t>
      </w:r>
      <w:r>
        <w:rPr>
          <w:rFonts w:ascii="Arial" w:cs="Arial" w:eastAsia="Arial" w:hAnsi="Arial"/>
          <w:sz w:val="18"/>
          <w:szCs w:val="18"/>
          <w:color w:val="auto"/>
        </w:rPr>
        <w:t xml:space="preserve"> in Key Account Sales Department of Baidu shall be included in the rebate base of the distributors.</w:t>
      </w:r>
    </w:p>
    <w:p>
      <w:pPr>
        <w:spacing w:after="0" w:line="76" w:lineRule="exact"/>
        <w:rPr>
          <w:sz w:val="20"/>
          <w:szCs w:val="20"/>
          <w:color w:val="auto"/>
        </w:rPr>
      </w:pPr>
    </w:p>
    <w:p>
      <w:pPr>
        <w:ind w:left="580" w:hanging="566"/>
        <w:spacing w:after="0" w:line="264" w:lineRule="auto"/>
        <w:tabs>
          <w:tab w:leader="none" w:pos="5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The rebates shall only apply to overseas key distributors signing the distributor contract with Baidu. Where overseas key distributors develop and sign any agreement with secondary distributors according to their own business needs, no rebate will be given to such overseas key distributors with respect to consumption of the advertisers of the secondary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center"/>
        <w:ind w:left="5500" w:right="240" w:hanging="5492"/>
        <w:spacing w:after="0" w:line="449" w:lineRule="auto"/>
        <w:tabs>
          <w:tab w:leader="none" w:pos="566" w:val="left"/>
        </w:tabs>
        <w:numPr>
          <w:ilvl w:val="0"/>
          <w:numId w:val="190"/>
        </w:numPr>
        <w:rPr>
          <w:rFonts w:ascii="Arial" w:cs="Arial" w:eastAsia="Arial" w:hAnsi="Arial"/>
          <w:sz w:val="15"/>
          <w:szCs w:val="15"/>
          <w:color w:val="auto"/>
        </w:rPr>
      </w:pPr>
      <w:r>
        <w:rPr>
          <w:rFonts w:ascii="Arial" w:cs="Arial" w:eastAsia="Arial" w:hAnsi="Arial"/>
          <w:sz w:val="18"/>
          <w:szCs w:val="18"/>
          <w:color w:val="auto"/>
        </w:rPr>
        <w:t>Indicate that certain information contained herein has been omitted. Confidential treatment has been requested with respect to the omitted portions. 4 / 10</w:t>
      </w:r>
    </w:p>
    <w:p>
      <w:pPr>
        <w:sectPr>
          <w:pgSz w:w="11900" w:h="16838" w:orient="portrait"/>
          <w:cols w:equalWidth="0" w:num="1">
            <w:col w:w="11400"/>
          </w:cols>
          <w:pgMar w:left="240" w:top="945" w:right="259" w:bottom="1440" w:gutter="0" w:footer="0" w:header="0"/>
        </w:sectPr>
      </w:pPr>
    </w:p>
    <w:bookmarkStart w:id="210" w:name="page211"/>
    <w:bookmarkEnd w:id="210"/>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5.8</w:t>
      </w:r>
      <w:r>
        <w:rPr>
          <w:sz w:val="20"/>
          <w:szCs w:val="20"/>
          <w:color w:val="auto"/>
        </w:rPr>
        <w:tab/>
      </w:r>
      <w:r>
        <w:rPr>
          <w:rFonts w:ascii="Arial" w:cs="Arial" w:eastAsia="Arial" w:hAnsi="Arial"/>
          <w:sz w:val="16"/>
          <w:szCs w:val="16"/>
          <w:color w:val="auto"/>
        </w:rPr>
        <w:t>KA overseas distributors shall develop advertisers in accordance with the overseas business development rules of Baidu.</w:t>
      </w:r>
    </w:p>
    <w:p>
      <w:pPr>
        <w:spacing w:after="0" w:line="370" w:lineRule="exact"/>
        <w:rPr>
          <w:sz w:val="20"/>
          <w:szCs w:val="20"/>
          <w:color w:val="auto"/>
        </w:rPr>
      </w:pPr>
    </w:p>
    <w:p>
      <w:pPr>
        <w:ind w:left="580" w:hanging="572"/>
        <w:spacing w:after="0"/>
        <w:tabs>
          <w:tab w:leader="none" w:pos="5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121" w:lineRule="exact"/>
        <w:rPr>
          <w:rFonts w:ascii="Arial" w:cs="Arial" w:eastAsia="Arial" w:hAnsi="Arial"/>
          <w:sz w:val="18"/>
          <w:szCs w:val="18"/>
          <w:b w:val="1"/>
          <w:bCs w:val="1"/>
          <w:color w:val="auto"/>
        </w:rPr>
      </w:pPr>
    </w:p>
    <w:p>
      <w:pPr>
        <w:ind w:left="5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Party B represents any product of any company other than Baidu, it shall obtain prior consent of Baidu and file a record with Baidu. Where Party B breaches this Clause 6, Party A shall have the right to cancel Party B’s qualification of regional agent at any time and to recover the Authorization Certificate without assuming any liability for breach of contract or for compensation.</w:t>
      </w:r>
    </w:p>
    <w:p>
      <w:pPr>
        <w:spacing w:after="0" w:line="73" w:lineRule="exact"/>
        <w:rPr>
          <w:rFonts w:ascii="Arial" w:cs="Arial" w:eastAsia="Arial" w:hAnsi="Arial"/>
          <w:sz w:val="18"/>
          <w:szCs w:val="18"/>
          <w:b w:val="1"/>
          <w:bCs w:val="1"/>
          <w:color w:val="auto"/>
        </w:rPr>
      </w:pPr>
    </w:p>
    <w:p>
      <w:pPr>
        <w:ind w:left="580" w:right="320" w:hanging="1"/>
        <w:spacing w:after="0" w:line="277" w:lineRule="auto"/>
        <w:tabs>
          <w:tab w:leader="none" w:pos="854" w:val="left"/>
        </w:tabs>
        <w:numPr>
          <w:ilvl w:val="1"/>
          <w:numId w:val="191"/>
        </w:numPr>
        <w:rPr>
          <w:rFonts w:ascii="Arial" w:cs="Arial" w:eastAsia="Arial" w:hAnsi="Arial"/>
          <w:sz w:val="15"/>
          <w:szCs w:val="15"/>
          <w:color w:val="auto"/>
        </w:rPr>
      </w:pPr>
      <w:r>
        <w:rPr>
          <w:rFonts w:ascii="Arial" w:cs="Arial" w:eastAsia="Arial" w:hAnsi="Arial"/>
          <w:sz w:val="18"/>
          <w:szCs w:val="18"/>
          <w:color w:val="auto"/>
        </w:rPr>
        <w:t>If Party B breaches this Clause 6, Party A shall have the right to cancel Party B’s qualification of regional agent at any time and to recover the Authorization Certificate without assuming any liability for breach of contract or for compensation.</w:t>
      </w:r>
    </w:p>
    <w:p>
      <w:pPr>
        <w:spacing w:after="0" w:line="315" w:lineRule="exact"/>
        <w:rPr>
          <w:rFonts w:ascii="Arial" w:cs="Arial" w:eastAsia="Arial" w:hAnsi="Arial"/>
          <w:sz w:val="15"/>
          <w:szCs w:val="15"/>
          <w:color w:val="auto"/>
        </w:rPr>
      </w:pPr>
    </w:p>
    <w:p>
      <w:pPr>
        <w:ind w:left="580" w:hanging="572"/>
        <w:spacing w:after="0"/>
        <w:tabs>
          <w:tab w:leader="none" w:pos="5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Distributor Rebate System</w:t>
      </w:r>
    </w:p>
    <w:p>
      <w:pPr>
        <w:spacing w:after="0" w:line="135" w:lineRule="exact"/>
        <w:rPr>
          <w:sz w:val="20"/>
          <w:szCs w:val="20"/>
          <w:color w:val="auto"/>
        </w:rPr>
      </w:pPr>
    </w:p>
    <w:p>
      <w:pPr>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P4P product rebate</w:t>
      </w:r>
      <w:r>
        <w:rPr>
          <w:rFonts w:ascii="Arial" w:cs="Arial" w:eastAsia="Arial" w:hAnsi="Arial"/>
          <w:sz w:val="18"/>
          <w:szCs w:val="18"/>
          <w:color w:val="auto"/>
        </w:rPr>
        <w:t>. The rebate proportion that Party B can enjoy within the term of this Contract for promotion service of P4P products is</w:t>
      </w:r>
      <w:r>
        <w:rPr>
          <w:rFonts w:ascii="Arial" w:cs="Arial" w:eastAsia="Arial" w:hAnsi="Arial"/>
          <w:sz w:val="18"/>
          <w:szCs w:val="18"/>
          <w:u w:val="single" w:color="auto"/>
          <w:color w:val="auto"/>
        </w:rPr>
        <w:t xml:space="preserve"> </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will be achieved through the management account. The standard rebate will be automatically added to Party B’s Agent Management Account of Baidu Promotions, which can only be used for transfer and cannot be withdrawn in cash. Party B will not receive other discounts during transfer. The P4P products involved in such rebate are subject to the agreement with Baidu.</w:t>
      </w:r>
    </w:p>
    <w:p>
      <w:pPr>
        <w:spacing w:after="0" w:line="88" w:lineRule="exact"/>
        <w:rPr>
          <w:sz w:val="20"/>
          <w:szCs w:val="20"/>
          <w:color w:val="auto"/>
        </w:rPr>
      </w:pPr>
    </w:p>
    <w:p>
      <w:pPr>
        <w:ind w:left="580" w:right="20" w:hanging="566"/>
        <w:spacing w:after="0" w:line="266" w:lineRule="auto"/>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 xml:space="preserve">Party B will enjoy </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discount (hereinafter referred to as “</w:t>
      </w:r>
      <w:r>
        <w:rPr>
          <w:rFonts w:ascii="Arial" w:cs="Arial" w:eastAsia="Arial" w:hAnsi="Arial"/>
          <w:sz w:val="18"/>
          <w:szCs w:val="18"/>
          <w:b w:val="1"/>
          <w:bCs w:val="1"/>
          <w:color w:val="auto"/>
        </w:rPr>
        <w:t>Standard Discount</w:t>
      </w:r>
      <w:r>
        <w:rPr>
          <w:rFonts w:ascii="Arial" w:cs="Arial" w:eastAsia="Arial" w:hAnsi="Arial"/>
          <w:sz w:val="18"/>
          <w:szCs w:val="18"/>
          <w:color w:val="auto"/>
        </w:rPr>
        <w:t>”) on the products in the non-search category with open and standard quotation during the term of this Contract. The specific open and standard price and products that enjoy discounts are subject to those published by Party A;</w:t>
      </w:r>
    </w:p>
    <w:p>
      <w:pPr>
        <w:spacing w:after="0" w:line="3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Rebate for completion of the quarterly task</w:t>
      </w:r>
      <w:r>
        <w:rPr>
          <w:rFonts w:ascii="Arial" w:cs="Arial" w:eastAsia="Arial" w:hAnsi="Arial"/>
          <w:sz w:val="16"/>
          <w:szCs w:val="16"/>
          <w:color w:val="auto"/>
        </w:rPr>
        <w:t>.</w:t>
      </w:r>
    </w:p>
    <w:p>
      <w:pPr>
        <w:spacing w:after="0" w:line="131" w:lineRule="exact"/>
        <w:rPr>
          <w:sz w:val="20"/>
          <w:szCs w:val="20"/>
          <w:color w:val="auto"/>
        </w:rPr>
      </w:pPr>
    </w:p>
    <w:p>
      <w:pPr>
        <w:ind w:left="1140" w:hanging="566"/>
        <w:spacing w:after="0" w:line="286" w:lineRule="auto"/>
        <w:tabs>
          <w:tab w:leader="none" w:pos="112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7"/>
          <w:szCs w:val="17"/>
          <w:color w:val="auto"/>
        </w:rPr>
        <w:t>Baidu will issue quarterly assessment tasks to distributors on a quarterly basis and give corresponding rebate for completion of the quarterly task according to the completion status of the distributor quarterly assessment task. Rebate for completion of the quarterly task = rebate base * rebate ratio for completion of the quarterly task * rebate coefficient for completion of the quarterly task.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89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0" w:lineRule="exact"/>
        <w:rPr>
          <w:sz w:val="20"/>
          <w:szCs w:val="20"/>
          <w:color w:val="auto"/>
        </w:rPr>
      </w:pPr>
    </w:p>
    <w:p>
      <w:pPr>
        <w:jc w:val="center"/>
        <w:ind w:left="5500" w:right="240" w:hanging="5492"/>
        <w:spacing w:after="0" w:line="449" w:lineRule="auto"/>
        <w:tabs>
          <w:tab w:leader="none" w:pos="566" w:val="left"/>
        </w:tabs>
        <w:numPr>
          <w:ilvl w:val="0"/>
          <w:numId w:val="192"/>
        </w:numPr>
        <w:rPr>
          <w:rFonts w:ascii="Arial" w:cs="Arial" w:eastAsia="Arial" w:hAnsi="Arial"/>
          <w:sz w:val="15"/>
          <w:szCs w:val="15"/>
          <w:color w:val="auto"/>
        </w:rPr>
      </w:pPr>
      <w:r>
        <w:rPr>
          <w:rFonts w:ascii="Arial" w:cs="Arial" w:eastAsia="Arial" w:hAnsi="Arial"/>
          <w:sz w:val="18"/>
          <w:szCs w:val="18"/>
          <w:color w:val="auto"/>
        </w:rPr>
        <w:t>Indicate that certain information contained herein has been omitted. Confidential treatment has been requested with respect to the omitted portions. 5 / 10</w:t>
      </w:r>
    </w:p>
    <w:p>
      <w:pPr>
        <w:sectPr>
          <w:pgSz w:w="11900" w:h="16838" w:orient="portrait"/>
          <w:cols w:equalWidth="0" w:num="1">
            <w:col w:w="11400"/>
          </w:cols>
          <w:pgMar w:left="240" w:top="949" w:right="259" w:bottom="1440" w:gutter="0" w:footer="0" w:header="0"/>
        </w:sectPr>
      </w:pPr>
    </w:p>
    <w:bookmarkStart w:id="211" w:name="page212"/>
    <w:bookmarkEnd w:id="211"/>
    <w:tbl>
      <w:tblPr>
        <w:tblLayout w:type="fixed"/>
        <w:tblInd w:w="18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600" w:type="dxa"/>
            <w:vAlign w:val="bottom"/>
            <w:gridSpan w:val="4"/>
          </w:tcPr>
          <w:p>
            <w:pPr>
              <w:spacing w:after="0"/>
              <w:rPr>
                <w:sz w:val="20"/>
                <w:szCs w:val="20"/>
                <w:color w:val="auto"/>
              </w:rPr>
            </w:pPr>
            <w:r>
              <w:rPr>
                <w:rFonts w:ascii="Arial" w:cs="Arial" w:eastAsia="Arial" w:hAnsi="Arial"/>
                <w:sz w:val="14"/>
                <w:szCs w:val="14"/>
                <w:b w:val="1"/>
                <w:bCs w:val="1"/>
                <w:color w:val="auto"/>
              </w:rPr>
              <w:t>Quarterly Task Rebate</w:t>
            </w:r>
          </w:p>
        </w:tc>
        <w:tc>
          <w:tcPr>
            <w:tcW w:w="0" w:type="dxa"/>
            <w:vAlign w:val="bottom"/>
          </w:tcPr>
          <w:p>
            <w:pPr>
              <w:spacing w:after="0"/>
              <w:rPr>
                <w:sz w:val="1"/>
                <w:szCs w:val="1"/>
                <w:color w:val="auto"/>
              </w:rPr>
            </w:pPr>
          </w:p>
        </w:tc>
      </w:tr>
      <w:tr>
        <w:trPr>
          <w:trHeight w:val="23"/>
        </w:trPr>
        <w:tc>
          <w:tcPr>
            <w:tcW w:w="3160" w:type="dxa"/>
            <w:vAlign w:val="bottom"/>
            <w:vMerge w:val="restart"/>
          </w:tcPr>
          <w:p>
            <w:pPr>
              <w:jc w:val="center"/>
              <w:ind w:left="702"/>
              <w:spacing w:after="0" w:line="149" w:lineRule="exact"/>
              <w:rPr>
                <w:sz w:val="20"/>
                <w:szCs w:val="20"/>
                <w:color w:val="auto"/>
              </w:rPr>
            </w:pPr>
            <w:r>
              <w:rPr>
                <w:rFonts w:ascii="Arial" w:cs="Arial" w:eastAsia="Arial" w:hAnsi="Arial"/>
                <w:sz w:val="14"/>
                <w:szCs w:val="14"/>
                <w:b w:val="1"/>
                <w:bCs w:val="1"/>
                <w:color w:val="auto"/>
                <w:w w:val="94"/>
              </w:rPr>
              <w:t>Ratio for Completion of the</w:t>
            </w: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180" w:type="dxa"/>
            <w:vAlign w:val="bottom"/>
            <w:vMerge w:val="restart"/>
          </w:tcPr>
          <w:p>
            <w:pPr>
              <w:jc w:val="center"/>
              <w:ind w:right="348"/>
              <w:spacing w:after="0" w:line="149" w:lineRule="exact"/>
              <w:rPr>
                <w:sz w:val="20"/>
                <w:szCs w:val="20"/>
                <w:color w:val="auto"/>
              </w:rPr>
            </w:pPr>
            <w:r>
              <w:rPr>
                <w:rFonts w:ascii="Arial" w:cs="Arial" w:eastAsia="Arial" w:hAnsi="Arial"/>
                <w:sz w:val="14"/>
                <w:szCs w:val="14"/>
                <w:b w:val="1"/>
                <w:bCs w:val="1"/>
                <w:color w:val="auto"/>
                <w:w w:val="93"/>
              </w:rPr>
              <w:t>Rebate Ratio for Completion of the</w:t>
            </w:r>
          </w:p>
        </w:tc>
        <w:tc>
          <w:tcPr>
            <w:tcW w:w="0" w:type="dxa"/>
            <w:vAlign w:val="bottom"/>
          </w:tcPr>
          <w:p>
            <w:pPr>
              <w:spacing w:after="0"/>
              <w:rPr>
                <w:sz w:val="1"/>
                <w:szCs w:val="1"/>
                <w:color w:val="auto"/>
              </w:rPr>
            </w:pPr>
          </w:p>
        </w:tc>
      </w:tr>
      <w:tr>
        <w:trPr>
          <w:trHeight w:val="106"/>
        </w:trPr>
        <w:tc>
          <w:tcPr>
            <w:tcW w:w="31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auto"/>
            </w:tcBorders>
          </w:tcPr>
          <w:p>
            <w:pPr>
              <w:jc w:val="center"/>
              <w:ind w:left="722"/>
              <w:spacing w:after="0"/>
              <w:rPr>
                <w:sz w:val="20"/>
                <w:szCs w:val="20"/>
                <w:color w:val="auto"/>
              </w:rPr>
            </w:pPr>
            <w:r>
              <w:rPr>
                <w:rFonts w:ascii="Arial" w:cs="Arial" w:eastAsia="Arial" w:hAnsi="Arial"/>
                <w:sz w:val="14"/>
                <w:szCs w:val="14"/>
                <w:b w:val="1"/>
                <w:bCs w:val="1"/>
                <w:color w:val="auto"/>
                <w:w w:val="96"/>
              </w:rPr>
              <w:t>Quarterly Task (T)</w:t>
            </w: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95"/>
              </w:rPr>
              <w:t>Quarterly Task</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jc w:val="center"/>
              <w:ind w:left="702"/>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%&gt;T³</w:t>
            </w:r>
            <w:r>
              <w:rPr>
                <w:rFonts w:ascii="Arial" w:cs="Arial" w:eastAsia="Arial" w:hAnsi="Arial"/>
                <w:sz w:val="15"/>
                <w:szCs w:val="15"/>
                <w:color w:val="auto"/>
              </w:rPr>
              <w:t>***</w:t>
            </w: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jc w:val="center"/>
              <w:ind w:left="702"/>
              <w:spacing w:after="0"/>
              <w:rPr>
                <w:sz w:val="20"/>
                <w:szCs w:val="20"/>
                <w:color w:val="auto"/>
              </w:rPr>
            </w:pPr>
            <w:r>
              <w:rPr>
                <w:rFonts w:ascii="Arial" w:cs="Arial" w:eastAsia="Arial" w:hAnsi="Arial"/>
                <w:sz w:val="18"/>
                <w:szCs w:val="18"/>
                <w:color w:val="auto"/>
              </w:rPr>
              <w:t>T³</w:t>
            </w:r>
            <w:r>
              <w:rPr>
                <w:rFonts w:ascii="Arial" w:cs="Arial" w:eastAsia="Arial" w:hAnsi="Arial"/>
                <w:sz w:val="15"/>
                <w:szCs w:val="15"/>
                <w:color w:val="auto"/>
              </w:rPr>
              <w:t>***</w:t>
            </w:r>
            <w:r>
              <w:rPr>
                <w:rFonts w:ascii="Arial" w:cs="Arial" w:eastAsia="Arial" w:hAnsi="Arial"/>
                <w:sz w:val="18"/>
                <w:szCs w:val="18"/>
                <w:color w:val="auto"/>
              </w:rPr>
              <w:t>%</w:t>
            </w:r>
          </w:p>
        </w:tc>
        <w:tc>
          <w:tcPr>
            <w:tcW w:w="4600" w:type="dxa"/>
            <w:vAlign w:val="bottom"/>
            <w:gridSpan w:val="4"/>
          </w:tcPr>
          <w:p>
            <w:pPr>
              <w:jc w:val="center"/>
              <w:ind w:left="946"/>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r>
    </w:p>
    <w:p>
      <w:pPr>
        <w:ind w:left="580" w:hanging="572"/>
        <w:spacing w:after="0"/>
        <w:tabs>
          <w:tab w:leader="none" w:pos="5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Quarterly task and quarterly task completion assessment shall be calculated based on the operating income of Baidu.</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Rebate calculation and payment are subject to the financial income of Baidu.</w:t>
      </w:r>
    </w:p>
    <w:p>
      <w:pPr>
        <w:spacing w:after="0" w:line="3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color w:val="auto"/>
        </w:rPr>
        <w:t>Rebate coefficient for completion of the quarterly task is set according to the gradient of completion status of the distributor quarterly task as follows: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Rebate Gradient Table of Completion Status of Quarterly Task</w:t>
      </w:r>
    </w:p>
    <w:p>
      <w:pPr>
        <w:spacing w:after="0" w:line="4" w:lineRule="exact"/>
        <w:rPr>
          <w:sz w:val="20"/>
          <w:szCs w:val="20"/>
          <w:color w:val="auto"/>
        </w:rPr>
      </w:pPr>
    </w:p>
    <w:tbl>
      <w:tblPr>
        <w:tblLayout w:type="fixed"/>
        <w:tblInd w:w="1840" w:type="dxa"/>
        <w:tblCellMar>
          <w:top w:w="0" w:type="dxa"/>
          <w:left w:w="0" w:type="dxa"/>
          <w:bottom w:w="0" w:type="dxa"/>
          <w:right w:w="0" w:type="dxa"/>
        </w:tblCellMar>
      </w:tblPr>
      <w:tr>
        <w:trPr>
          <w:trHeight w:val="20"/>
        </w:trPr>
        <w:tc>
          <w:tcPr>
            <w:tcW w:w="194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940" w:type="dxa"/>
            <w:vAlign w:val="bottom"/>
            <w:vMerge w:val="restart"/>
          </w:tcPr>
          <w:p>
            <w:pPr>
              <w:jc w:val="right"/>
              <w:ind w:right="828"/>
              <w:spacing w:after="0"/>
              <w:rPr>
                <w:sz w:val="20"/>
                <w:szCs w:val="20"/>
                <w:color w:val="auto"/>
              </w:rPr>
            </w:pPr>
            <w:r>
              <w:rPr>
                <w:rFonts w:ascii="Arial" w:cs="Arial" w:eastAsia="Arial" w:hAnsi="Arial"/>
                <w:sz w:val="14"/>
                <w:szCs w:val="14"/>
                <w:b w:val="1"/>
                <w:bCs w:val="1"/>
                <w:color w:val="auto"/>
                <w:w w:val="82"/>
              </w:rPr>
              <w:t>Rebate Coefficient</w:t>
            </w:r>
          </w:p>
        </w:tc>
        <w:tc>
          <w:tcPr>
            <w:tcW w:w="0" w:type="dxa"/>
            <w:vAlign w:val="bottom"/>
          </w:tcPr>
          <w:p>
            <w:pPr>
              <w:spacing w:after="0" w:line="20" w:lineRule="exact"/>
              <w:rPr>
                <w:sz w:val="1"/>
                <w:szCs w:val="1"/>
                <w:color w:val="auto"/>
              </w:rPr>
            </w:pPr>
          </w:p>
        </w:tc>
      </w:tr>
      <w:tr>
        <w:trPr>
          <w:trHeight w:val="149"/>
        </w:trPr>
        <w:tc>
          <w:tcPr>
            <w:tcW w:w="4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Task Completion Ratio</w:t>
            </w:r>
          </w:p>
        </w:tc>
        <w:tc>
          <w:tcPr>
            <w:tcW w:w="162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Quarterly</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%&gt;T</w:t>
            </w:r>
          </w:p>
        </w:tc>
        <w:tc>
          <w:tcPr>
            <w:tcW w:w="24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gridSpan w:val="2"/>
            <w:shd w:val="clear" w:color="auto" w:fill="CCEEFF"/>
          </w:tcPr>
          <w:p>
            <w:pPr>
              <w:jc w:val="right"/>
              <w:ind w:right="16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200" w:type="dxa"/>
            <w:vAlign w:val="bottom"/>
            <w:gridSpan w:val="3"/>
          </w:tcPr>
          <w:p>
            <w:pPr>
              <w:jc w:val="center"/>
              <w:ind w:right="260"/>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%&gt;T³</w:t>
            </w:r>
            <w:r>
              <w:rPr>
                <w:rFonts w:ascii="Arial" w:cs="Arial" w:eastAsia="Arial" w:hAnsi="Arial"/>
                <w:sz w:val="15"/>
                <w:szCs w:val="15"/>
                <w:color w:val="auto"/>
              </w:rPr>
              <w:t>***</w:t>
            </w:r>
            <w:r>
              <w:rPr>
                <w:rFonts w:ascii="Arial" w:cs="Arial" w:eastAsia="Arial" w:hAnsi="Arial"/>
                <w:sz w:val="18"/>
                <w:szCs w:val="18"/>
                <w:color w:val="auto"/>
              </w:rPr>
              <w:t>%</w:t>
            </w:r>
          </w:p>
        </w:tc>
        <w:tc>
          <w:tcPr>
            <w:tcW w:w="3560" w:type="dxa"/>
            <w:vAlign w:val="bottom"/>
            <w:gridSpan w:val="2"/>
          </w:tcPr>
          <w:p>
            <w:pPr>
              <w:jc w:val="right"/>
              <w:ind w:right="16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T³</w:t>
            </w:r>
            <w:r>
              <w:rPr>
                <w:rFonts w:ascii="Arial" w:cs="Arial" w:eastAsia="Arial" w:hAnsi="Arial"/>
                <w:sz w:val="15"/>
                <w:szCs w:val="15"/>
                <w:color w:val="auto"/>
              </w:rPr>
              <w:t>***</w:t>
            </w:r>
            <w:r>
              <w:rPr>
                <w:rFonts w:ascii="Arial" w:cs="Arial" w:eastAsia="Arial" w:hAnsi="Arial"/>
                <w:sz w:val="18"/>
                <w:szCs w:val="18"/>
                <w:color w:val="auto"/>
              </w:rPr>
              <w:t>%</w:t>
            </w:r>
          </w:p>
        </w:tc>
        <w:tc>
          <w:tcPr>
            <w:tcW w:w="3560" w:type="dxa"/>
            <w:vAlign w:val="bottom"/>
            <w:gridSpan w:val="2"/>
            <w:shd w:val="clear" w:color="auto" w:fill="CCEEFF"/>
          </w:tcPr>
          <w:p>
            <w:pPr>
              <w:jc w:val="right"/>
              <w:ind w:right="16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80" w:hanging="566"/>
        <w:spacing w:after="0" w:line="264" w:lineRule="auto"/>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Conditions for calculation of the rebate amount</w:t>
      </w:r>
      <w:r>
        <w:rPr>
          <w:rFonts w:ascii="Arial" w:cs="Arial" w:eastAsia="Arial" w:hAnsi="Arial"/>
          <w:sz w:val="18"/>
          <w:szCs w:val="18"/>
          <w:color w:val="auto"/>
        </w:rPr>
        <w:t>. Party A will conduct quarterly assessment on Party B according to the natural quarter during the term</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this Contract. The assessment criteria are subject to the Key Distributor Incentive Policy of Key Account Sales Department (Overseas Distributors) 2017.</w:t>
      </w:r>
    </w:p>
    <w:p>
      <w:pPr>
        <w:spacing w:after="0" w:line="87" w:lineRule="exact"/>
        <w:rPr>
          <w:sz w:val="20"/>
          <w:szCs w:val="20"/>
          <w:color w:val="auto"/>
        </w:rPr>
      </w:pPr>
    </w:p>
    <w:p>
      <w:pPr>
        <w:ind w:left="1140" w:right="200" w:hanging="566"/>
        <w:spacing w:after="0" w:line="277" w:lineRule="auto"/>
        <w:tabs>
          <w:tab w:leader="none" w:pos="1120" w:val="left"/>
        </w:tabs>
        <w:rPr>
          <w:sz w:val="20"/>
          <w:szCs w:val="20"/>
          <w:color w:val="auto"/>
        </w:rPr>
      </w:pPr>
      <w:r>
        <w:rPr>
          <w:rFonts w:ascii="Arial" w:cs="Arial" w:eastAsia="Arial" w:hAnsi="Arial"/>
          <w:sz w:val="18"/>
          <w:szCs w:val="18"/>
          <w:color w:val="auto"/>
        </w:rPr>
        <w:t>7.4.1</w:t>
        <w:tab/>
        <w:t>The amount credited to the rebate shall be paid within the payment period specified in the Online Promotion Service Contract and Network Distribution Service Contract for each release.</w:t>
      </w:r>
    </w:p>
    <w:p>
      <w:pPr>
        <w:spacing w:after="0" w:line="76" w:lineRule="exact"/>
        <w:rPr>
          <w:sz w:val="20"/>
          <w:szCs w:val="20"/>
          <w:color w:val="auto"/>
        </w:rPr>
      </w:pPr>
    </w:p>
    <w:p>
      <w:pPr>
        <w:ind w:left="1140" w:right="160" w:hanging="566"/>
        <w:spacing w:after="0" w:line="277" w:lineRule="auto"/>
        <w:tabs>
          <w:tab w:leader="none" w:pos="1120" w:val="left"/>
        </w:tabs>
        <w:rPr>
          <w:sz w:val="20"/>
          <w:szCs w:val="20"/>
          <w:color w:val="auto"/>
        </w:rPr>
      </w:pPr>
      <w:r>
        <w:rPr>
          <w:rFonts w:ascii="Arial" w:cs="Arial" w:eastAsia="Arial" w:hAnsi="Arial"/>
          <w:sz w:val="18"/>
          <w:szCs w:val="18"/>
          <w:color w:val="auto"/>
        </w:rPr>
        <w:t>7.4.2</w:t>
        <w:tab/>
        <w:t>The amount credited to the rebate shall be the amount specified in the Online Promotion Service Contract and Network Distribution Service Contract for each release which is received and recognized as income.</w:t>
      </w:r>
    </w:p>
    <w:p>
      <w:pPr>
        <w:spacing w:after="0" w:line="7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6"/>
          <w:szCs w:val="16"/>
          <w:color w:val="auto"/>
        </w:rPr>
        <w:t>The base for calculating the rebate is determined in accordance with the provisions of Clause 7.6 and Clause 7.7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jc w:val="center"/>
        <w:ind w:left="5500" w:right="220" w:hanging="5492"/>
        <w:spacing w:after="0" w:line="449" w:lineRule="auto"/>
        <w:tabs>
          <w:tab w:leader="none" w:pos="566" w:val="left"/>
        </w:tabs>
        <w:numPr>
          <w:ilvl w:val="0"/>
          <w:numId w:val="194"/>
        </w:numPr>
        <w:rPr>
          <w:rFonts w:ascii="Arial" w:cs="Arial" w:eastAsia="Arial" w:hAnsi="Arial"/>
          <w:sz w:val="15"/>
          <w:szCs w:val="15"/>
          <w:color w:val="auto"/>
        </w:rPr>
      </w:pPr>
      <w:r>
        <w:rPr>
          <w:rFonts w:ascii="Arial" w:cs="Arial" w:eastAsia="Arial" w:hAnsi="Arial"/>
          <w:sz w:val="18"/>
          <w:szCs w:val="18"/>
          <w:color w:val="auto"/>
        </w:rPr>
        <w:t>Indicate that certain information contained herein has been omitted. Confidential treatment has been requested with respect to the omitted portions. 6 / 10</w:t>
      </w:r>
    </w:p>
    <w:p>
      <w:pPr>
        <w:sectPr>
          <w:pgSz w:w="11900" w:h="16838" w:orient="portrait"/>
          <w:cols w:equalWidth="0" w:num="1">
            <w:col w:w="11380"/>
          </w:cols>
          <w:pgMar w:left="240" w:top="928" w:right="279" w:bottom="1440" w:gutter="0" w:footer="0" w:header="0"/>
        </w:sectPr>
      </w:pPr>
    </w:p>
    <w:bookmarkStart w:id="212" w:name="page213"/>
    <w:bookmarkEnd w:id="212"/>
    <w:p>
      <w:pPr>
        <w:ind w:left="580" w:hanging="566"/>
        <w:spacing w:after="0" w:line="312"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483870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7.5</w:t>
      </w:r>
      <w:r>
        <w:rPr>
          <w:sz w:val="20"/>
          <w:szCs w:val="20"/>
          <w:color w:val="auto"/>
        </w:rPr>
        <w:tab/>
      </w:r>
      <w:r>
        <w:rPr>
          <w:rFonts w:ascii="Arial" w:cs="Arial" w:eastAsia="Arial" w:hAnsi="Arial"/>
          <w:sz w:val="16"/>
          <w:szCs w:val="16"/>
          <w:u w:val="single" w:color="auto"/>
          <w:color w:val="auto"/>
        </w:rPr>
        <w:t>Calculation method for the base of quarterly rebate</w:t>
      </w:r>
      <w:r>
        <w:rPr>
          <w:rFonts w:ascii="Arial" w:cs="Arial" w:eastAsia="Arial" w:hAnsi="Arial"/>
          <w:sz w:val="16"/>
          <w:szCs w:val="16"/>
          <w:color w:val="auto"/>
        </w:rPr>
        <w:t>. Baidu shall confirm the income of Baidu for the last quarter in accordance with the entrusted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release of the distributors on Baidu website or other websites agreed by the parties and the accounting standards of China and the United States at the end of this quarter, calculate the rebate according to the quarterly income and the received payment, and pay the rebate after receipt of payment.</w:t>
      </w:r>
    </w:p>
    <w:p>
      <w:pPr>
        <w:spacing w:after="0" w:line="52" w:lineRule="exact"/>
        <w:rPr>
          <w:sz w:val="20"/>
          <w:szCs w:val="20"/>
          <w:color w:val="auto"/>
        </w:rPr>
      </w:pPr>
    </w:p>
    <w:p>
      <w:pPr>
        <w:jc w:val="both"/>
        <w:ind w:left="580" w:right="240" w:hanging="566"/>
        <w:spacing w:after="0" w:line="312" w:lineRule="auto"/>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Calculation method for the base of annual rebate</w:t>
      </w:r>
      <w:r>
        <w:rPr>
          <w:rFonts w:ascii="Arial" w:cs="Arial" w:eastAsia="Arial" w:hAnsi="Arial"/>
          <w:sz w:val="16"/>
          <w:szCs w:val="16"/>
          <w:color w:val="auto"/>
        </w:rPr>
        <w:t>. Baidu shall confirm the income of Baidu in 2017 in accordance with the entrusted release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distributors on Baidu website or other websites agreed by the parties and the accounting standards of China and the United States at the end of the first quarter of 2018, calculate the rebate according to the annual income and the received payment and pay the rebate after receipt of payment.</w:t>
      </w:r>
    </w:p>
    <w:p>
      <w:pPr>
        <w:spacing w:after="0" w:line="52" w:lineRule="exact"/>
        <w:rPr>
          <w:sz w:val="20"/>
          <w:szCs w:val="20"/>
          <w:color w:val="auto"/>
        </w:rPr>
      </w:pPr>
    </w:p>
    <w:p>
      <w:pPr>
        <w:jc w:val="both"/>
        <w:ind w:left="580" w:right="100" w:hanging="566"/>
        <w:spacing w:after="0" w:line="264" w:lineRule="auto"/>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rebate amount will be paid by bank transfer. The distributors enjoying a rebate or special discount shall issue a special VAT invoice in advance with the equivalent amount. When the rebate is used to deduct the release amount or the frame deposit, the distributor shall also issue a special VAT invoice with the equivalent amount.</w:t>
      </w:r>
    </w:p>
    <w:p>
      <w:pPr>
        <w:spacing w:after="0" w:line="326" w:lineRule="exact"/>
        <w:rPr>
          <w:sz w:val="20"/>
          <w:szCs w:val="20"/>
          <w:color w:val="auto"/>
        </w:rPr>
      </w:pPr>
    </w:p>
    <w:p>
      <w:pPr>
        <w:ind w:left="580" w:hanging="572"/>
        <w:spacing w:after="0"/>
        <w:tabs>
          <w:tab w:leader="none" w:pos="58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Others</w:t>
      </w:r>
    </w:p>
    <w:p>
      <w:pPr>
        <w:spacing w:after="0" w:line="135" w:lineRule="exact"/>
        <w:rPr>
          <w:sz w:val="20"/>
          <w:szCs w:val="20"/>
          <w:color w:val="auto"/>
        </w:rPr>
      </w:pPr>
    </w:p>
    <w:p>
      <w:pPr>
        <w:ind w:left="580" w:right="100" w:hanging="566"/>
        <w:spacing w:after="0" w:line="277"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quarterly rebate shall be paid in the form of bank telegraphic transfer within one month after settlement of the Parties. The distributor receiving the rebate shall issue an invoice with equal amount.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Baidu reserves the right of final interpretation and the discretion on these distributor management rules.</w:t>
      </w:r>
    </w:p>
    <w:p>
      <w:pPr>
        <w:spacing w:after="0" w:line="131" w:lineRule="exact"/>
        <w:rPr>
          <w:sz w:val="20"/>
          <w:szCs w:val="20"/>
          <w:color w:val="auto"/>
        </w:rPr>
      </w:pPr>
    </w:p>
    <w:p>
      <w:pPr>
        <w:ind w:left="580" w:right="460" w:hanging="566"/>
        <w:spacing w:after="0" w:line="277"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Baidu has the right to modify the management rules at any time as needed, provided that it shall notify the distributor. The modification has no retroactivity.</w:t>
      </w:r>
    </w:p>
    <w:p>
      <w:pPr>
        <w:spacing w:after="0" w:line="315" w:lineRule="exact"/>
        <w:rPr>
          <w:sz w:val="20"/>
          <w:szCs w:val="20"/>
          <w:color w:val="auto"/>
        </w:rPr>
      </w:pPr>
    </w:p>
    <w:p>
      <w:pPr>
        <w:ind w:left="580" w:hanging="572"/>
        <w:spacing w:after="0"/>
        <w:tabs>
          <w:tab w:leader="none" w:pos="58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Mechanism and Penalties for Violations</w:t>
      </w:r>
    </w:p>
    <w:p>
      <w:pPr>
        <w:spacing w:after="0" w:line="135" w:lineRule="exact"/>
        <w:rPr>
          <w:sz w:val="20"/>
          <w:szCs w:val="20"/>
          <w:color w:val="auto"/>
        </w:rPr>
      </w:pPr>
    </w:p>
    <w:p>
      <w:pPr>
        <w:ind w:left="580" w:right="260" w:hanging="566"/>
        <w:spacing w:after="0" w:line="264"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Distributor selection mechanism</w:t>
      </w:r>
      <w:r>
        <w:rPr>
          <w:rFonts w:ascii="Arial" w:cs="Arial" w:eastAsia="Arial" w:hAnsi="Arial"/>
          <w:sz w:val="18"/>
          <w:szCs w:val="18"/>
          <w:color w:val="auto"/>
        </w:rPr>
        <w:t>. Baidu has the right to eliminate the distributors meeting the following circumstances to protect the core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competitiveness of overseas distributors and maintain the sustainability of Baidu overseas business. The overseas distributors eliminated shall not re-apply to become overseas distributors for two quarters.</w:t>
      </w:r>
    </w:p>
    <w:p>
      <w:pPr>
        <w:spacing w:after="0" w:line="87" w:lineRule="exact"/>
        <w:rPr>
          <w:sz w:val="20"/>
          <w:szCs w:val="20"/>
          <w:color w:val="auto"/>
        </w:rPr>
      </w:pPr>
    </w:p>
    <w:p>
      <w:pPr>
        <w:ind w:left="1140" w:hanging="565"/>
        <w:spacing w:after="0"/>
        <w:tabs>
          <w:tab w:leader="none" w:pos="11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overseas distributor fails to complete quarterly tasks for two consecutive quarters, and the task completion rate is less than 90%.</w:t>
      </w:r>
    </w:p>
    <w:p>
      <w:pPr>
        <w:spacing w:after="0" w:line="142" w:lineRule="exact"/>
        <w:rPr>
          <w:rFonts w:ascii="Arial" w:cs="Arial" w:eastAsia="Arial" w:hAnsi="Arial"/>
          <w:sz w:val="17"/>
          <w:szCs w:val="17"/>
          <w:color w:val="auto"/>
        </w:rPr>
      </w:pPr>
    </w:p>
    <w:p>
      <w:pPr>
        <w:ind w:left="1140" w:right="440" w:hanging="565"/>
        <w:spacing w:after="0" w:line="308" w:lineRule="auto"/>
        <w:tabs>
          <w:tab w:leader="none" w:pos="11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overseas distributor has significant irregularities in any quarter, including but not limited to low price competition, development or transfer in violation of relevant provisions, advertisers’ service complaints and spread of views adverse to Baidu.</w:t>
      </w:r>
    </w:p>
    <w:p>
      <w:pPr>
        <w:spacing w:after="0" w:line="51" w:lineRule="exact"/>
        <w:rPr>
          <w:rFonts w:ascii="Arial" w:cs="Arial" w:eastAsia="Arial" w:hAnsi="Arial"/>
          <w:sz w:val="17"/>
          <w:szCs w:val="17"/>
          <w:color w:val="auto"/>
        </w:rPr>
      </w:pPr>
    </w:p>
    <w:p>
      <w:pPr>
        <w:ind w:left="1140" w:right="320" w:hanging="565"/>
        <w:spacing w:after="0" w:line="308" w:lineRule="auto"/>
        <w:tabs>
          <w:tab w:leader="none" w:pos="114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overseas distributor delays in payment of fees for several times, delays in payment of any single fee for more than 30 days, delays in return of any contract, or otherwise violates Baidu’s financial system, thus impairing Baidu’s normal operation.</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 / 10</w:t>
      </w:r>
    </w:p>
    <w:p>
      <w:pPr>
        <w:sectPr>
          <w:pgSz w:w="11900" w:h="16838" w:orient="portrait"/>
          <w:cols w:equalWidth="0" w:num="1">
            <w:col w:w="11320"/>
          </w:cols>
          <w:pgMar w:left="240" w:top="949" w:right="339" w:bottom="1440" w:gutter="0" w:footer="0" w:header="0"/>
        </w:sectPr>
      </w:pPr>
    </w:p>
    <w:bookmarkStart w:id="213" w:name="page214"/>
    <w:bookmarkEnd w:id="21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9.2</w:t>
      </w:r>
      <w:r>
        <w:rPr>
          <w:sz w:val="20"/>
          <w:szCs w:val="20"/>
          <w:color w:val="auto"/>
        </w:rPr>
        <w:tab/>
      </w:r>
      <w:r>
        <w:rPr>
          <w:rFonts w:ascii="Arial" w:cs="Arial" w:eastAsia="Arial" w:hAnsi="Arial"/>
          <w:sz w:val="16"/>
          <w:szCs w:val="16"/>
          <w:u w:val="single" w:color="auto"/>
          <w:color w:val="auto"/>
        </w:rPr>
        <w:t>Penalties for Distributor Violations</w:t>
      </w:r>
      <w:r>
        <w:rPr>
          <w:rFonts w:ascii="Arial" w:cs="Arial" w:eastAsia="Arial" w:hAnsi="Arial"/>
          <w:sz w:val="16"/>
          <w:szCs w:val="16"/>
          <w:color w:val="auto"/>
        </w:rPr>
        <w:t>. Where any distributor commits any of (but not limited to) the following violations:</w:t>
      </w:r>
    </w:p>
    <w:p>
      <w:pPr>
        <w:spacing w:after="0" w:line="131" w:lineRule="exact"/>
        <w:rPr>
          <w:sz w:val="20"/>
          <w:szCs w:val="20"/>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distributor does not comply with the confidentiality provisions of this Contract;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distributor spreads false information against Baidu and other competitors;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distributor delays in paying any due amount,</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Baidu has the right to take any one or more of the following measures, depending on the severity of the violation:</w:t>
      </w:r>
    </w:p>
    <w:p>
      <w:pPr>
        <w:spacing w:after="0" w:line="131" w:lineRule="exact"/>
        <w:rPr>
          <w:sz w:val="20"/>
          <w:szCs w:val="20"/>
          <w:color w:val="auto"/>
        </w:rPr>
      </w:pPr>
    </w:p>
    <w:p>
      <w:pPr>
        <w:ind w:left="1140" w:hanging="565"/>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Warning;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Reducing Rebates;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Cancelling Rebates;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Cancelling the distributor’s qualification;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Stopping release of promotions;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Require payment of liquidated damages.</w:t>
      </w:r>
    </w:p>
    <w:p>
      <w:pPr>
        <w:spacing w:after="0" w:line="117" w:lineRule="exact"/>
        <w:rPr>
          <w:sz w:val="20"/>
          <w:szCs w:val="20"/>
          <w:color w:val="auto"/>
        </w:rPr>
      </w:pPr>
    </w:p>
    <w:p>
      <w:pPr>
        <w:ind w:left="580" w:right="360"/>
        <w:spacing w:after="0" w:line="277" w:lineRule="auto"/>
        <w:rPr>
          <w:sz w:val="20"/>
          <w:szCs w:val="20"/>
          <w:color w:val="auto"/>
        </w:rPr>
      </w:pPr>
      <w:r>
        <w:rPr>
          <w:rFonts w:ascii="Arial" w:cs="Arial" w:eastAsia="Arial" w:hAnsi="Arial"/>
          <w:sz w:val="18"/>
          <w:szCs w:val="18"/>
          <w:color w:val="auto"/>
        </w:rPr>
        <w:t>The distributors shall continue to perform the payment obligations in accordance with the Online Promotion Service Contract and Online Release Service Contract for each release even Baidu takes the above measures.</w:t>
      </w:r>
    </w:p>
    <w:p>
      <w:pPr>
        <w:spacing w:after="0" w:line="315" w:lineRule="exact"/>
        <w:rPr>
          <w:sz w:val="20"/>
          <w:szCs w:val="20"/>
          <w:color w:val="auto"/>
        </w:rPr>
      </w:pPr>
    </w:p>
    <w:p>
      <w:pPr>
        <w:ind w:left="580" w:hanging="572"/>
        <w:spacing w:after="0"/>
        <w:tabs>
          <w:tab w:leader="none" w:pos="5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Contract</w:t>
      </w:r>
    </w:p>
    <w:p>
      <w:pPr>
        <w:spacing w:after="0" w:line="135" w:lineRule="exact"/>
        <w:rPr>
          <w:sz w:val="20"/>
          <w:szCs w:val="20"/>
          <w:color w:val="auto"/>
        </w:rPr>
      </w:pPr>
    </w:p>
    <w:p>
      <w:pPr>
        <w:ind w:left="580" w:right="140" w:hanging="566"/>
        <w:spacing w:after="0" w:line="277" w:lineRule="auto"/>
        <w:tabs>
          <w:tab w:leader="none" w:pos="560" w:val="left"/>
        </w:tabs>
        <w:rPr>
          <w:sz w:val="20"/>
          <w:szCs w:val="20"/>
          <w:color w:val="auto"/>
        </w:rPr>
      </w:pPr>
      <w:r>
        <w:rPr>
          <w:rFonts w:ascii="Arial" w:cs="Arial" w:eastAsia="Arial" w:hAnsi="Arial"/>
          <w:sz w:val="18"/>
          <w:szCs w:val="18"/>
          <w:color w:val="auto"/>
        </w:rPr>
        <w:t>10.1</w:t>
        <w:tab/>
        <w:t>Either Party may inform the other Party 3 months in advance to early terminate this Contract, which, however, shall not affect any Online Promotion Service Contract and Online Release Service Contract that are already signed by the Parties and have taken effect.</w:t>
      </w:r>
    </w:p>
    <w:p>
      <w:pPr>
        <w:spacing w:after="0" w:line="76" w:lineRule="exact"/>
        <w:rPr>
          <w:sz w:val="20"/>
          <w:szCs w:val="20"/>
          <w:color w:val="auto"/>
        </w:rPr>
      </w:pPr>
    </w:p>
    <w:p>
      <w:pPr>
        <w:ind w:left="580" w:right="480" w:hanging="566"/>
        <w:spacing w:after="0" w:line="277" w:lineRule="auto"/>
        <w:tabs>
          <w:tab w:leader="none" w:pos="560" w:val="left"/>
        </w:tabs>
        <w:rPr>
          <w:sz w:val="20"/>
          <w:szCs w:val="20"/>
          <w:color w:val="auto"/>
        </w:rPr>
      </w:pPr>
      <w:r>
        <w:rPr>
          <w:rFonts w:ascii="Arial" w:cs="Arial" w:eastAsia="Arial" w:hAnsi="Arial"/>
          <w:sz w:val="18"/>
          <w:szCs w:val="18"/>
          <w:color w:val="auto"/>
        </w:rPr>
        <w:t>10.2</w:t>
        <w:tab/>
        <w:t>Where either Party enters the bankruptcy application or liquidation procedure and the other Party notifies early termination of this Contract, this Contract shall be terminated.</w:t>
      </w:r>
    </w:p>
    <w:p>
      <w:pPr>
        <w:spacing w:after="0" w:line="76" w:lineRule="exact"/>
        <w:rPr>
          <w:sz w:val="20"/>
          <w:szCs w:val="20"/>
          <w:color w:val="auto"/>
        </w:rPr>
      </w:pPr>
    </w:p>
    <w:p>
      <w:pPr>
        <w:ind w:left="580" w:right="360" w:hanging="566"/>
        <w:spacing w:after="0" w:line="277" w:lineRule="auto"/>
        <w:tabs>
          <w:tab w:leader="none" w:pos="560" w:val="left"/>
        </w:tabs>
        <w:rPr>
          <w:sz w:val="20"/>
          <w:szCs w:val="20"/>
          <w:color w:val="auto"/>
        </w:rPr>
      </w:pPr>
      <w:r>
        <w:rPr>
          <w:rFonts w:ascii="Arial" w:cs="Arial" w:eastAsia="Arial" w:hAnsi="Arial"/>
          <w:sz w:val="18"/>
          <w:szCs w:val="18"/>
          <w:color w:val="auto"/>
        </w:rPr>
        <w:t>10.3</w:t>
        <w:tab/>
        <w:t>Where either Party is divided or merges with any other company, the company succeeding the rights and obligations of the Party shall continue to perform this Contract.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When the Parties fulfill the obligations herein, this Contract shall terminate automatically.</w:t>
      </w:r>
    </w:p>
    <w:p>
      <w:pPr>
        <w:spacing w:after="0" w:line="370" w:lineRule="exact"/>
        <w:rPr>
          <w:sz w:val="20"/>
          <w:szCs w:val="20"/>
          <w:color w:val="auto"/>
        </w:rPr>
      </w:pPr>
    </w:p>
    <w:p>
      <w:pPr>
        <w:ind w:left="580" w:hanging="572"/>
        <w:spacing w:after="0"/>
        <w:tabs>
          <w:tab w:leader="none" w:pos="58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11.1</w:t>
        <w:tab/>
        <w:t>The Parties shall keep strictly confidential the trade secrets and technical information of the other Party known in the performance of this Contract and shall not disclose them to any third party without the consent of the other Party.</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Parties shall keep confidential the rebate policies set forth herein.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The Parties shall procure their respective employees to fulfill the above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 10</w:t>
      </w:r>
    </w:p>
    <w:p>
      <w:pPr>
        <w:sectPr>
          <w:pgSz w:w="11900" w:h="16838" w:orient="portrait"/>
          <w:cols w:equalWidth="0" w:num="1">
            <w:col w:w="11420"/>
          </w:cols>
          <w:pgMar w:left="240" w:top="949" w:right="239" w:bottom="1440" w:gutter="0" w:footer="0" w:header="0"/>
        </w:sectPr>
      </w:pPr>
    </w:p>
    <w:bookmarkStart w:id="214" w:name="page215"/>
    <w:bookmarkEnd w:id="21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11.4</w:t>
      </w:r>
      <w:r>
        <w:rPr>
          <w:sz w:val="20"/>
          <w:szCs w:val="20"/>
          <w:color w:val="auto"/>
        </w:rPr>
        <w:tab/>
      </w:r>
      <w:r>
        <w:rPr>
          <w:rFonts w:ascii="Arial" w:cs="Arial" w:eastAsia="Arial" w:hAnsi="Arial"/>
          <w:sz w:val="16"/>
          <w:szCs w:val="16"/>
          <w:color w:val="auto"/>
        </w:rPr>
        <w:t>The obligations in this Clause 11 shall survive the invalidity, rescission, early termination, cancellation or unenforceability of this Contract.</w:t>
      </w:r>
    </w:p>
    <w:p>
      <w:pPr>
        <w:spacing w:after="0" w:line="370" w:lineRule="exact"/>
        <w:rPr>
          <w:sz w:val="20"/>
          <w:szCs w:val="20"/>
          <w:color w:val="auto"/>
        </w:rPr>
      </w:pPr>
    </w:p>
    <w:p>
      <w:pPr>
        <w:ind w:left="580" w:hanging="572"/>
        <w:spacing w:after="0"/>
        <w:tabs>
          <w:tab w:leader="none" w:pos="58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and Party B shall settle any matters not covered by this Contract through consultation and shall sign a supplementary contract to this Contract.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supplementary contract shall take effect after the Parties seal it and shall have the same legal effect as this Contract.</w:t>
      </w:r>
    </w:p>
    <w:p>
      <w:pPr>
        <w:spacing w:after="0" w:line="116"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12.2</w:t>
        <w:tab/>
        <w:t>Party A and Party B shall resolve any disputes arising from performance of this Contract through consultation. If the consultation fails, either Party can file a lawsuit to the competent people’s court at the place of Party A.</w:t>
      </w:r>
    </w:p>
    <w:p>
      <w:pPr>
        <w:spacing w:after="0" w:line="76"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12.3</w:t>
        <w:tab/>
        <w:t>The signing, performance, interpretation and dispute resolution of this Contract shall be governed by the laws, regulations and rules of the People’s Republic of China.</w:t>
      </w:r>
    </w:p>
    <w:p>
      <w:pPr>
        <w:spacing w:after="0" w:line="315" w:lineRule="exact"/>
        <w:rPr>
          <w:sz w:val="20"/>
          <w:szCs w:val="20"/>
          <w:color w:val="auto"/>
        </w:rPr>
      </w:pPr>
    </w:p>
    <w:p>
      <w:pPr>
        <w:ind w:left="580" w:hanging="572"/>
        <w:spacing w:after="0"/>
        <w:tabs>
          <w:tab w:leader="none" w:pos="5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Contract</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This Contract is made in duplicate with each party holding one. All counterparts have the same legal effect.</w:t>
      </w:r>
    </w:p>
    <w:p>
      <w:pPr>
        <w:spacing w:after="0" w:line="131" w:lineRule="exact"/>
        <w:rPr>
          <w:sz w:val="20"/>
          <w:szCs w:val="20"/>
          <w:color w:val="auto"/>
        </w:rPr>
      </w:pPr>
    </w:p>
    <w:p>
      <w:pPr>
        <w:jc w:val="both"/>
        <w:ind w:left="580" w:right="160" w:hanging="566"/>
        <w:spacing w:after="0" w:line="264" w:lineRule="auto"/>
        <w:tabs>
          <w:tab w:leader="none" w:pos="560" w:val="left"/>
        </w:tabs>
        <w:rPr>
          <w:sz w:val="20"/>
          <w:szCs w:val="20"/>
          <w:color w:val="auto"/>
        </w:rPr>
      </w:pPr>
      <w:r>
        <w:rPr>
          <w:rFonts w:ascii="Arial" w:cs="Arial" w:eastAsia="Arial" w:hAnsi="Arial"/>
          <w:sz w:val="18"/>
          <w:szCs w:val="18"/>
          <w:color w:val="auto"/>
        </w:rPr>
        <w:t>13.2</w:t>
        <w:tab/>
        <w:t>This Contract shall become effective when the representatives of the Parties affix it with their contract seals or common seals. If the commencement date of the cooperation set forth in this Contract is earlier than the effective date of this Contract, the rights and obligations shall be performed from the commencement date of the cooperation according to this Contract.</w:t>
      </w:r>
    </w:p>
    <w:p>
      <w:pPr>
        <w:spacing w:after="0" w:line="87"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13.3</w:t>
        <w:tab/>
        <w:t>If any provision of this Contract conflicts with existing laws and regulations, the Parties may amend it without affecting the overall validity of this Contract.</w:t>
      </w:r>
    </w:p>
    <w:p>
      <w:pPr>
        <w:spacing w:after="0" w:line="76" w:lineRule="exact"/>
        <w:rPr>
          <w:sz w:val="20"/>
          <w:szCs w:val="20"/>
          <w:color w:val="auto"/>
        </w:rPr>
      </w:pPr>
    </w:p>
    <w:p>
      <w:pPr>
        <w:ind w:left="580" w:right="780" w:hanging="566"/>
        <w:spacing w:after="0" w:line="277" w:lineRule="auto"/>
        <w:tabs>
          <w:tab w:leader="none" w:pos="560" w:val="left"/>
        </w:tabs>
        <w:rPr>
          <w:sz w:val="20"/>
          <w:szCs w:val="20"/>
          <w:color w:val="auto"/>
        </w:rPr>
      </w:pPr>
      <w:r>
        <w:rPr>
          <w:rFonts w:ascii="Arial" w:cs="Arial" w:eastAsia="Arial" w:hAnsi="Arial"/>
          <w:sz w:val="18"/>
          <w:szCs w:val="18"/>
          <w:color w:val="auto"/>
        </w:rPr>
        <w:t>13.4</w:t>
        <w:tab/>
        <w:t>If this Contract terminates after it is fully performed, it shall not affect either Party’s right to seek liabilities to be borne by the other Party in accordance with relevant provisions of this Contract.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 / 10</w:t>
      </w:r>
    </w:p>
    <w:p>
      <w:pPr>
        <w:sectPr>
          <w:pgSz w:w="11900" w:h="16838" w:orient="portrait"/>
          <w:cols w:equalWidth="0" w:num="1">
            <w:col w:w="11420"/>
          </w:cols>
          <w:pgMar w:left="240" w:top="949" w:right="239" w:bottom="1440" w:gutter="0" w:footer="0" w:header="0"/>
        </w:sectPr>
      </w:pPr>
    </w:p>
    <w:bookmarkStart w:id="215" w:name="page216"/>
    <w:bookmarkEnd w:id="215"/>
    <w:p>
      <w:pPr>
        <w:jc w:val="right"/>
        <w:ind w:right="23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(Signature page of Baidu Distributor Cooperation Contract)</w:t>
      </w:r>
    </w:p>
    <w:p>
      <w:pPr>
        <w:sectPr>
          <w:pgSz w:w="11900" w:h="16838" w:orient="portrait"/>
          <w:cols w:equalWidth="0" w:num="1">
            <w:col w:w="10219"/>
          </w:cols>
          <w:pgMar w:left="240" w:top="949" w:right="1440"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Party B:</w:t>
      </w:r>
    </w:p>
    <w:p>
      <w:pPr>
        <w:spacing w:after="0" w:line="211" w:lineRule="exact"/>
        <w:rPr>
          <w:sz w:val="20"/>
          <w:szCs w:val="20"/>
          <w:color w:val="auto"/>
        </w:rPr>
      </w:pPr>
    </w:p>
    <w:p>
      <w:pPr>
        <w:sectPr>
          <w:pgSz w:w="11900" w:h="16838" w:orient="portrait"/>
          <w:cols w:equalWidth="0" w:num="2">
            <w:col w:w="3860" w:space="720"/>
            <w:col w:w="5639"/>
          </w:cols>
          <w:pgMar w:left="240" w:top="949" w:right="1440" w:bottom="1440" w:gutter="0" w:footer="0" w:header="0"/>
          <w:type w:val="continuous"/>
        </w:sectPr>
      </w:pPr>
    </w:p>
    <w:p>
      <w:pPr>
        <w:spacing w:after="0" w:line="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seal: /s/ Baidu Online Network Technology (Beijing) Co., Ltd.)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2499"/>
        <w:spacing w:after="0" w:line="277" w:lineRule="auto"/>
        <w:rPr>
          <w:sz w:val="20"/>
          <w:szCs w:val="20"/>
          <w:color w:val="auto"/>
        </w:rPr>
      </w:pPr>
      <w:r>
        <w:rPr>
          <w:rFonts w:ascii="Arial" w:cs="Arial" w:eastAsia="Arial" w:hAnsi="Arial"/>
          <w:sz w:val="18"/>
          <w:szCs w:val="18"/>
          <w:color w:val="auto"/>
        </w:rPr>
        <w:t>(Company seal: /s/ Search Asia Technology (Shenzhen) Co., Ltd.)</w:t>
      </w:r>
    </w:p>
    <w:p>
      <w:pPr>
        <w:spacing w:after="0" w:line="184" w:lineRule="exact"/>
        <w:rPr>
          <w:sz w:val="20"/>
          <w:szCs w:val="20"/>
          <w:color w:val="auto"/>
        </w:rPr>
      </w:pPr>
    </w:p>
    <w:p>
      <w:pPr>
        <w:sectPr>
          <w:pgSz w:w="11900" w:h="16838" w:orient="portrait"/>
          <w:cols w:equalWidth="0" w:num="2">
            <w:col w:w="3940" w:space="640"/>
            <w:col w:w="5639"/>
          </w:cols>
          <w:pgMar w:left="240" w:top="949" w:right="1440"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/s/ Wing Hong Sammy Hsieh</w:t>
      </w:r>
    </w:p>
    <w:p>
      <w:pPr>
        <w:sectPr>
          <w:pgSz w:w="11900" w:h="16838" w:orient="portrait"/>
          <w:cols w:equalWidth="0" w:num="1">
            <w:col w:w="10219"/>
          </w:cols>
          <w:pgMar w:left="240" w:top="949"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2018</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2018</w:t>
      </w:r>
    </w:p>
    <w:p>
      <w:pPr>
        <w:spacing w:after="0" w:line="181" w:lineRule="exact"/>
        <w:rPr>
          <w:sz w:val="20"/>
          <w:szCs w:val="20"/>
          <w:color w:val="auto"/>
        </w:rPr>
      </w:pPr>
    </w:p>
    <w:p>
      <w:pPr>
        <w:sectPr>
          <w:pgSz w:w="11900" w:h="16838" w:orient="portrait"/>
          <w:cols w:equalWidth="0" w:num="2">
            <w:col w:w="3860" w:space="720"/>
            <w:col w:w="5639"/>
          </w:cols>
          <w:pgMar w:left="240" w:top="949" w:right="1440" w:bottom="1440" w:gutter="0" w:footer="0" w:header="0"/>
          <w:type w:val="continuous"/>
        </w:sectPr>
      </w:pPr>
    </w:p>
    <w:p>
      <w:pPr>
        <w:ind w:left="5460"/>
        <w:spacing w:after="0"/>
        <w:rPr>
          <w:sz w:val="20"/>
          <w:szCs w:val="20"/>
          <w:color w:val="auto"/>
        </w:rPr>
      </w:pPr>
      <w:r>
        <w:rPr>
          <w:rFonts w:ascii="Arial" w:cs="Arial" w:eastAsia="Arial" w:hAnsi="Arial"/>
          <w:sz w:val="16"/>
          <w:szCs w:val="16"/>
          <w:color w:val="auto"/>
        </w:rPr>
        <w:t>10 / 10</w:t>
      </w:r>
    </w:p>
    <w:p>
      <w:pPr>
        <w:sectPr>
          <w:pgSz w:w="11900" w:h="16838" w:orient="portrait"/>
          <w:cols w:equalWidth="0" w:num="1">
            <w:col w:w="10219"/>
          </w:cols>
          <w:pgMar w:left="240" w:top="949" w:right="1440" w:bottom="1440" w:gutter="0" w:footer="0" w:header="0"/>
          <w:type w:val="continuous"/>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172085</wp:posOffset>
            </wp:positionV>
            <wp:extent cx="875030" cy="2743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87503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Baidu Distributor Cooperation Contract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BAIDU (HONGKONG) LIMITED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Xiang Hailong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Address: RM 2201-03 22/F WORLD WIDE HOUSE 19 DES VOEUX ROAD CENTRAL 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Li Yinyu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China Search (Asia) Ltd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 Xue Yongkang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Address: 31/F, Prosperity Millennia Plaza, 663 King’s Road Quarry Bay, 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Jon Chan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Party A is an information service provider duly established who provides network information services. Party B is a company duly established and validly existing and owns a good service system. Upon entrustment of the promotion clients (hereinafter referred to as the “</w:t>
      </w:r>
      <w:r>
        <w:rPr>
          <w:rFonts w:ascii="Arial" w:cs="Arial" w:eastAsia="Arial" w:hAnsi="Arial"/>
          <w:sz w:val="18"/>
          <w:szCs w:val="18"/>
          <w:b w:val="1"/>
          <w:bCs w:val="1"/>
          <w:color w:val="auto"/>
        </w:rPr>
        <w:t>Clients</w:t>
      </w:r>
      <w:r>
        <w:rPr>
          <w:rFonts w:ascii="Arial" w:cs="Arial" w:eastAsia="Arial" w:hAnsi="Arial"/>
          <w:sz w:val="18"/>
          <w:szCs w:val="18"/>
          <w:color w:val="auto"/>
        </w:rPr>
        <w:t>”), Party B needs the promotion services provided by Party A. With respect to relevant matters regarding Party B’s releases and promotions on Party A’s website (including Party A’s website and websites of Party A’s affiliates, pages or interfaces of Party A’ allied members, hereinafter referred to as the “</w:t>
      </w:r>
      <w:r>
        <w:rPr>
          <w:rFonts w:ascii="Arial" w:cs="Arial" w:eastAsia="Arial" w:hAnsi="Arial"/>
          <w:sz w:val="18"/>
          <w:szCs w:val="18"/>
          <w:b w:val="1"/>
          <w:bCs w:val="1"/>
          <w:color w:val="auto"/>
        </w:rPr>
        <w:t>Baidu Websites</w:t>
      </w:r>
      <w:r>
        <w:rPr>
          <w:rFonts w:ascii="Arial" w:cs="Arial" w:eastAsia="Arial" w:hAnsi="Arial"/>
          <w:sz w:val="18"/>
          <w:szCs w:val="18"/>
          <w:color w:val="auto"/>
        </w:rPr>
        <w:t>”), upon entrustment of the Clients, Party A and Party B, through friendly consultation, reach the following agreement and enter into this Contract in accordance with the principles of mutual benefit and joint development.</w:t>
      </w:r>
    </w:p>
    <w:p>
      <w:pPr>
        <w:spacing w:after="0" w:line="18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Note: The Parties confirm that this Contract has a collateral contract signed by Baidu Online Network Technology (Beijing) Co., Ltd. and Search Asia Technology (Shenzhen) Co., Ltd. The performance is calculated based on Party B’s actual consolidated consumption in two contracts. BAIDU (HONGKONG) LIMITED will pay rebates to China Search (Asia) Ltd.</w:t>
      </w:r>
    </w:p>
    <w:p>
      <w:pPr>
        <w:spacing w:after="0" w:line="325" w:lineRule="exact"/>
        <w:rPr>
          <w:sz w:val="20"/>
          <w:szCs w:val="20"/>
          <w:color w:val="auto"/>
        </w:rPr>
      </w:pPr>
    </w:p>
    <w:p>
      <w:pPr>
        <w:ind w:left="580" w:hanging="572"/>
        <w:spacing w:after="0"/>
        <w:tabs>
          <w:tab w:leader="none" w:pos="5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Term of Distribution Cooperation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This Contract is valid from January 1, 2017 to December 31, 2017 for a period of 12 months.</w:t>
      </w:r>
    </w:p>
    <w:p>
      <w:pPr>
        <w:spacing w:after="0" w:line="131" w:lineRule="exact"/>
        <w:rPr>
          <w:sz w:val="20"/>
          <w:szCs w:val="20"/>
          <w:color w:val="auto"/>
        </w:rPr>
      </w:pPr>
    </w:p>
    <w:p>
      <w:pPr>
        <w:ind w:left="580" w:right="80" w:hanging="566"/>
        <w:spacing w:after="0" w:line="279" w:lineRule="auto"/>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The Parties acknowledge and agree that Party A will authorize Party B, as a distributor of Party A, to promote Party A’s “Baidu Promotion” technical services (including the existing Baidu Promotion and its derivative services, hereinafter referred to as “</w:t>
      </w:r>
      <w:r>
        <w:rPr>
          <w:rFonts w:ascii="Arial" w:cs="Arial" w:eastAsia="Arial" w:hAnsi="Arial"/>
          <w:sz w:val="17"/>
          <w:szCs w:val="17"/>
          <w:b w:val="1"/>
          <w:bCs w:val="1"/>
          <w:color w:val="auto"/>
        </w:rPr>
        <w:t>Baidu Promotions</w:t>
      </w:r>
      <w:r>
        <w:rPr>
          <w:rFonts w:ascii="Arial" w:cs="Arial" w:eastAsia="Arial" w:hAnsi="Arial"/>
          <w:sz w:val="17"/>
          <w:szCs w:val="17"/>
          <w:color w:val="auto"/>
        </w:rPr>
        <w:t>”) to its final clients and to serve as Party A’s general agent in the regions including but not limited to Hong Kong, Macao, Taiwan, Singapore, and Europe. Party B shall not mislead the Clients in any express or implied manner into believing that Party B acts on behalf of Party A.</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 / 10</w:t>
      </w:r>
    </w:p>
    <w:p>
      <w:pPr>
        <w:sectPr>
          <w:pgSz w:w="11900" w:h="16838" w:orient="portrait"/>
          <w:cols w:equalWidth="0" w:num="1">
            <w:col w:w="11420"/>
          </w:cols>
          <w:pgMar w:left="240" w:top="121" w:right="239" w:bottom="1440" w:gutter="0" w:footer="0" w:header="0"/>
        </w:sectPr>
      </w:pPr>
    </w:p>
    <w:bookmarkStart w:id="217" w:name="page218"/>
    <w:bookmarkEnd w:id="217"/>
    <w:p>
      <w:pPr>
        <w:ind w:left="580" w:hanging="572"/>
        <w:spacing w:after="0"/>
        <w:tabs>
          <w:tab w:leader="none" w:pos="5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483870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Rights and Obligations of Party A</w:t>
      </w:r>
    </w:p>
    <w:p>
      <w:pPr>
        <w:spacing w:after="0" w:line="135" w:lineRule="exact"/>
        <w:rPr>
          <w:sz w:val="20"/>
          <w:szCs w:val="20"/>
          <w:color w:val="auto"/>
        </w:rPr>
      </w:pPr>
    </w:p>
    <w:p>
      <w:pPr>
        <w:ind w:left="580" w:right="120" w:hanging="566"/>
        <w:spacing w:after="0" w:line="264" w:lineRule="auto"/>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Party A will open a “Regional Agent Management Account” of Baidu Promotions for Party B. The ownership of such management account belongs to Party A. If Party A withdraws the authority of regional agent from Party B for any reason (except that this Contract is no longer renewed upon expiration), Party B shall stop using the management account from the date of withdrawal of the authority.</w:t>
      </w:r>
    </w:p>
    <w:p>
      <w:pPr>
        <w:spacing w:after="0" w:line="8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Party A will issue an Authorization Certificate of Regional Agents with a limited period to Party B for Baidu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Party A authorizes Party B to carry out marketing activities in the name of a regional agent of Baidu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Party A has the right to refuse or modify the released contents which are unreal, illegal and contrary to sound social custom.</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Party A undertakes to give priority for Party B to select channel space under the same conditions.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If Party B makes a written request, Party A will assist Party B to provide a real monitoring report after release of the promotions.</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Party A will display Party B’s logo provided by Party B in the partner area on Party A’s website.</w:t>
      </w:r>
    </w:p>
    <w:p>
      <w:pPr>
        <w:spacing w:after="0" w:line="370" w:lineRule="exact"/>
        <w:rPr>
          <w:sz w:val="20"/>
          <w:szCs w:val="20"/>
          <w:color w:val="auto"/>
        </w:rPr>
      </w:pPr>
    </w:p>
    <w:p>
      <w:pPr>
        <w:ind w:left="580" w:hanging="572"/>
        <w:spacing w:after="0"/>
        <w:tabs>
          <w:tab w:leader="none" w:pos="5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B</w:t>
      </w:r>
    </w:p>
    <w:p>
      <w:pPr>
        <w:spacing w:after="0" w:line="135" w:lineRule="exact"/>
        <w:rPr>
          <w:sz w:val="20"/>
          <w:szCs w:val="20"/>
          <w:color w:val="auto"/>
        </w:rPr>
      </w:pPr>
    </w:p>
    <w:p>
      <w:pPr>
        <w:ind w:left="580" w:right="340" w:hanging="566"/>
        <w:spacing w:after="0" w:line="312" w:lineRule="auto"/>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Party B shall apply for an independent “Baidu Promotion” account for each “Baidu Promotion” Client. The Client’s information shall be true and valid. Supporting documents of the Client to prove effective subject qualification and legitimate operation in related industries, such as business license, are also required. Party B will conduct daily management on its Clients, including account opening, top-up, renewal and contact.</w:t>
      </w:r>
    </w:p>
    <w:p>
      <w:pPr>
        <w:spacing w:after="0" w:line="52"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Party B shall first check the qualifications and other materials and information of Clients it provides to Party A for Baidu Promotions, and shall assume independent and full responsibility for the authenticity, legality, validity and accuracy of all kinds of materials and information provided by it. At the same time, Party B shall warrant that the information provided to Party A is true and lawful, and that Party A’s use of such information will not infringe the legitimate rights and interests of any third party. If the above information is changed, Party A shall be notified immediately. Where Party A makes any compensation to netizens owing to fraud and other acts of the Clients developed by Party B, Party A has the right to recover the compensation from Party B.</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 / 10</w:t>
      </w:r>
    </w:p>
    <w:p>
      <w:pPr>
        <w:sectPr>
          <w:pgSz w:w="11900" w:h="16838" w:orient="portrait"/>
          <w:cols w:equalWidth="0" w:num="1">
            <w:col w:w="11380"/>
          </w:cols>
          <w:pgMar w:left="240" w:top="945" w:right="279" w:bottom="1440" w:gutter="0" w:footer="0" w:header="0"/>
        </w:sectPr>
      </w:pPr>
    </w:p>
    <w:bookmarkStart w:id="218" w:name="page219"/>
    <w:bookmarkEnd w:id="218"/>
    <w:p>
      <w:pPr>
        <w:ind w:left="580" w:right="720" w:hanging="566"/>
        <w:spacing w:after="0" w:line="277"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3.3</w:t>
      </w:r>
      <w:r>
        <w:rPr>
          <w:sz w:val="20"/>
          <w:szCs w:val="20"/>
          <w:color w:val="auto"/>
        </w:rPr>
        <w:tab/>
      </w:r>
      <w:r>
        <w:rPr>
          <w:rFonts w:ascii="Arial" w:cs="Arial" w:eastAsia="Arial" w:hAnsi="Arial"/>
          <w:sz w:val="18"/>
          <w:szCs w:val="18"/>
          <w:color w:val="auto"/>
        </w:rPr>
        <w:t>The Clients developed by Party B shall comply with the provisions of national laws and regulations and shall not violate Party A’s rules and regulations.</w:t>
      </w:r>
    </w:p>
    <w:p>
      <w:pPr>
        <w:spacing w:after="0" w:line="76" w:lineRule="exact"/>
        <w:rPr>
          <w:sz w:val="20"/>
          <w:szCs w:val="20"/>
          <w:color w:val="auto"/>
        </w:rPr>
      </w:pPr>
    </w:p>
    <w:p>
      <w:pPr>
        <w:ind w:left="580" w:right="260" w:hanging="566"/>
        <w:spacing w:after="0" w:line="312" w:lineRule="auto"/>
        <w:tabs>
          <w:tab w:leader="none" w:pos="5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Party B shall actively expand sales business of online release. It shall sign the Online Promotion Service Contract and Online Release Service Contract with Party A five working days before commencement of the information release plan for each release, indicating the release form, time, location, content, price and other specific items, and provide Party A with such contracts and complete information required to release.</w:t>
      </w:r>
    </w:p>
    <w:p>
      <w:pPr>
        <w:spacing w:after="0" w:line="52" w:lineRule="exact"/>
        <w:rPr>
          <w:sz w:val="20"/>
          <w:szCs w:val="20"/>
          <w:color w:val="auto"/>
        </w:rPr>
      </w:pPr>
    </w:p>
    <w:p>
      <w:pPr>
        <w:ind w:left="580" w:right="200" w:hanging="566"/>
        <w:spacing w:after="0" w:line="259" w:lineRule="auto"/>
        <w:tabs>
          <w:tab w:leader="none" w:pos="5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The release content provided by Party B shall be true and lawful, and shall not be fraudulent, deceive or mislead consumers, or violate laws and regulations of the People’s Republic of China, public morals and the legitimate interests of any third party. The contents and pictures to be released shall conform to relevant laws. Otherwise, Party A has the right to refuse false or illegal contents to be released, and Party B shall bear the legal liability arising from the released contents.</w:t>
      </w:r>
    </w:p>
    <w:p>
      <w:pPr>
        <w:spacing w:after="0" w:line="9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Party B is obligated to inform Party A of the feedback from its Clients in a timely manner so that Party A can give immediate response.</w:t>
      </w:r>
    </w:p>
    <w:p>
      <w:pPr>
        <w:spacing w:after="0" w:line="131"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Party B shall promptly pay the fees for release services, calculation of which shall be subject to the provisions of Clause 4 (Payment Amount and Payment Term).</w:t>
      </w:r>
    </w:p>
    <w:p>
      <w:pPr>
        <w:spacing w:after="0" w:line="315" w:lineRule="exact"/>
        <w:rPr>
          <w:sz w:val="20"/>
          <w:szCs w:val="20"/>
          <w:color w:val="auto"/>
        </w:rPr>
      </w:pPr>
    </w:p>
    <w:p>
      <w:pPr>
        <w:ind w:left="580" w:hanging="572"/>
        <w:spacing w:after="0"/>
        <w:tabs>
          <w:tab w:leader="none" w:pos="5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Payment Amount and Payment Term</w:t>
      </w:r>
    </w:p>
    <w:p>
      <w:pPr>
        <w:spacing w:after="0" w:line="135" w:lineRule="exact"/>
        <w:rPr>
          <w:sz w:val="20"/>
          <w:szCs w:val="20"/>
          <w:color w:val="auto"/>
        </w:rPr>
      </w:pPr>
    </w:p>
    <w:p>
      <w:pPr>
        <w:ind w:left="580" w:right="160" w:hanging="566"/>
        <w:spacing w:after="0" w:line="277" w:lineRule="auto"/>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Party B shall make advance payment to top up its agent management account. Party B shall timely top up the account when the advance payment is less than RMB5000.</w:t>
      </w:r>
    </w:p>
    <w:p>
      <w:pPr>
        <w:spacing w:after="0" w:line="76" w:lineRule="exact"/>
        <w:rPr>
          <w:sz w:val="20"/>
          <w:szCs w:val="20"/>
          <w:color w:val="auto"/>
        </w:rPr>
      </w:pPr>
    </w:p>
    <w:p>
      <w:pPr>
        <w:jc w:val="both"/>
        <w:ind w:left="580" w:hanging="566"/>
        <w:spacing w:after="0" w:line="302" w:lineRule="auto"/>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Release fees</w:t>
      </w:r>
      <w:r>
        <w:rPr>
          <w:rFonts w:ascii="Arial" w:cs="Arial" w:eastAsia="Arial" w:hAnsi="Arial"/>
          <w:sz w:val="16"/>
          <w:szCs w:val="16"/>
          <w:color w:val="auto"/>
        </w:rPr>
        <w:t>. Party B generally pays the release fees to Party A in accordance with the corresponding offer discount in the table below after accepting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Client’s entrustment of releasing online promotion on the website of Party A. The specific fee standard is subject to the Online Promotion Service Contract and Online Release Service Contract signed by the Parties for each release. Special product lines or special contracts which do not enjoy the preferential policies of this Contract shall be specified in the specific Online Promotion Service Contract and Online Release Service Contract.</w:t>
      </w:r>
    </w:p>
    <w:p>
      <w:pPr>
        <w:spacing w:after="0" w:line="60" w:lineRule="exact"/>
        <w:rPr>
          <w:sz w:val="20"/>
          <w:szCs w:val="20"/>
          <w:color w:val="auto"/>
        </w:rPr>
      </w:pPr>
    </w:p>
    <w:p>
      <w:pPr>
        <w:ind w:left="580" w:right="120" w:hanging="566"/>
        <w:spacing w:after="0" w:line="277" w:lineRule="auto"/>
        <w:tabs>
          <w:tab w:leader="none" w:pos="5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Baidu distribution payment policy</w:t>
      </w:r>
      <w:r>
        <w:rPr>
          <w:rFonts w:ascii="Arial" w:cs="Arial" w:eastAsia="Arial" w:hAnsi="Arial"/>
          <w:sz w:val="18"/>
          <w:szCs w:val="18"/>
          <w:color w:val="auto"/>
        </w:rPr>
        <w:t>. Party B shall pay off the release fee corresponding to the Online Promotion Service Contract and Online Release</w:t>
      </w:r>
      <w:r>
        <w:rPr>
          <w:rFonts w:ascii="Arial" w:cs="Arial" w:eastAsia="Arial" w:hAnsi="Arial"/>
          <w:sz w:val="18"/>
          <w:szCs w:val="18"/>
          <w:u w:val="single" w:color="auto"/>
          <w:color w:val="auto"/>
        </w:rPr>
        <w:t xml:space="preserve"> </w:t>
      </w:r>
      <w:r>
        <w:rPr>
          <w:rFonts w:ascii="Arial" w:cs="Arial" w:eastAsia="Arial" w:hAnsi="Arial"/>
          <w:sz w:val="18"/>
          <w:szCs w:val="18"/>
          <w:color w:val="auto"/>
        </w:rPr>
        <w:t>Service Contract for each release before the settlement date set forth in such contracts.</w:t>
      </w:r>
    </w:p>
    <w:p>
      <w:pPr>
        <w:spacing w:after="0" w:line="76" w:lineRule="exact"/>
        <w:rPr>
          <w:sz w:val="20"/>
          <w:szCs w:val="20"/>
          <w:color w:val="auto"/>
        </w:rPr>
      </w:pPr>
    </w:p>
    <w:p>
      <w:pPr>
        <w:ind w:left="580" w:right="140" w:hanging="566"/>
        <w:spacing w:after="0" w:line="308" w:lineRule="auto"/>
        <w:tabs>
          <w:tab w:leader="none" w:pos="5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If any agent fails to pay the release fee on time, Baidu may deduct the overdue amount from rebates or require Party B to pay liquidated damages at the daily rate of 0.02% of the overdue amount from the overdue payment date, and may require immediate implementation.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 / 10</w:t>
      </w:r>
    </w:p>
    <w:p>
      <w:pPr>
        <w:sectPr>
          <w:pgSz w:w="11900" w:h="16838" w:orient="portrait"/>
          <w:cols w:equalWidth="0" w:num="1">
            <w:col w:w="11360"/>
          </w:cols>
          <w:pgMar w:left="240" w:top="949" w:right="299" w:bottom="1440" w:gutter="0" w:footer="0" w:header="0"/>
        </w:sectPr>
      </w:pPr>
    </w:p>
    <w:bookmarkStart w:id="219" w:name="page220"/>
    <w:bookmarkEnd w:id="219"/>
    <w:p>
      <w:pPr>
        <w:ind w:left="580" w:hanging="572"/>
        <w:spacing w:after="0"/>
        <w:tabs>
          <w:tab w:leader="none" w:pos="58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Product Incentives</w:t>
      </w:r>
    </w:p>
    <w:p>
      <w:pPr>
        <w:spacing w:after="0" w:line="135" w:lineRule="exact"/>
        <w:rPr>
          <w:sz w:val="20"/>
          <w:szCs w:val="20"/>
          <w:color w:val="auto"/>
        </w:rPr>
      </w:pPr>
    </w:p>
    <w:p>
      <w:pPr>
        <w:jc w:val="both"/>
        <w:ind w:left="580" w:right="40" w:hanging="566"/>
        <w:spacing w:after="0" w:line="259"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Party B shall settle relevant release fees with Party A in accordance with the latest quotation issued by Party A and the corresponding discounts in the table below. The specific fee standard is subject to the Online Promotion Service Contract and Online Release Service Contract signed by the Parties for each release. Special product lines or special contracts which do not enjoy the preferential policies of this Contract shall be specified in the Online Promotion Service Contract and Online Release Service Contract.</w:t>
      </w:r>
    </w:p>
    <w:p>
      <w:pPr>
        <w:spacing w:after="0" w:line="92" w:lineRule="exact"/>
        <w:rPr>
          <w:sz w:val="20"/>
          <w:szCs w:val="20"/>
          <w:color w:val="auto"/>
        </w:rPr>
      </w:pPr>
    </w:p>
    <w:p>
      <w:pPr>
        <w:ind w:left="580" w:right="620" w:hanging="566"/>
        <w:spacing w:after="0" w:line="277" w:lineRule="auto"/>
        <w:tabs>
          <w:tab w:leader="none" w:pos="5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 xml:space="preserve">With respect to </w:t>
      </w:r>
      <w:r>
        <w:rPr>
          <w:rFonts w:ascii="Arial" w:cs="Arial" w:eastAsia="Arial" w:hAnsi="Arial"/>
          <w:sz w:val="15"/>
          <w:szCs w:val="15"/>
          <w:color w:val="auto"/>
        </w:rPr>
        <w:t>***</w:t>
      </w:r>
      <w:r>
        <w:rPr>
          <w:rFonts w:ascii="Arial" w:cs="Arial" w:eastAsia="Arial" w:hAnsi="Arial"/>
          <w:sz w:val="18"/>
          <w:szCs w:val="18"/>
          <w:color w:val="auto"/>
        </w:rPr>
        <w:t xml:space="preserve"> products, their release amounts shall not be included in calculation of rebate proportion and no rebate shall be given to the distributors. Other products are subject to specific product policies.</w:t>
      </w:r>
    </w:p>
    <w:p>
      <w:pPr>
        <w:spacing w:after="0" w:line="76" w:lineRule="exact"/>
        <w:rPr>
          <w:sz w:val="20"/>
          <w:szCs w:val="20"/>
          <w:color w:val="auto"/>
        </w:rPr>
      </w:pPr>
    </w:p>
    <w:p>
      <w:pPr>
        <w:ind w:left="580" w:right="560" w:hanging="566"/>
        <w:spacing w:after="0" w:line="277" w:lineRule="auto"/>
        <w:tabs>
          <w:tab w:leader="none" w:pos="5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release amounts of advertisers held by Baidu (holding ratio ³ 51%, the list of such advertisers is subject to confirmation by Baidu) shall be included in calculation of rebate proportion, but no rebate shall be given to the distributors.</w:t>
      </w:r>
    </w:p>
    <w:p>
      <w:pPr>
        <w:spacing w:after="0" w:line="76" w:lineRule="exact"/>
        <w:rPr>
          <w:sz w:val="20"/>
          <w:szCs w:val="20"/>
          <w:color w:val="auto"/>
        </w:rPr>
      </w:pPr>
    </w:p>
    <w:p>
      <w:pPr>
        <w:ind w:left="580" w:right="280" w:hanging="566"/>
        <w:spacing w:after="0" w:line="279" w:lineRule="auto"/>
        <w:tabs>
          <w:tab w:leader="none" w:pos="5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If any advertiser releasing promotions through any distributor is identified by Baidu as committing business violations (including promotion violations, cross-regional violations and framework violations) in 2017, the consumption of such advertiser shall not be included in calculation of rebate proportion and no rebate shall be given to the distributor. If there is any rebate paid before determination of the violation, the rebate shall be recovered. Moreover, performance penalties shall be imposed according to the following rules:</w:t>
      </w:r>
    </w:p>
    <w:p>
      <w:pPr>
        <w:spacing w:after="0" w:line="77" w:lineRule="exact"/>
        <w:rPr>
          <w:sz w:val="20"/>
          <w:szCs w:val="20"/>
          <w:color w:val="auto"/>
        </w:rPr>
      </w:pPr>
    </w:p>
    <w:p>
      <w:pPr>
        <w:ind w:left="1140" w:right="180" w:hanging="565"/>
        <w:spacing w:after="0" w:line="277" w:lineRule="auto"/>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Serious Class A violation</w:t>
      </w:r>
      <w:r>
        <w:rPr>
          <w:rFonts w:ascii="Arial" w:cs="Arial" w:eastAsia="Arial" w:hAnsi="Arial"/>
          <w:sz w:val="18"/>
          <w:szCs w:val="18"/>
          <w:color w:val="auto"/>
        </w:rPr>
        <w:t>: double the performance penalty based on the rebate that the distributor can enjoy according to these policies. The penalty limit is 1 time of the total consumption of the violating advertiser for the current term.</w:t>
      </w:r>
    </w:p>
    <w:p>
      <w:pPr>
        <w:spacing w:after="0" w:line="75" w:lineRule="exact"/>
        <w:rPr>
          <w:rFonts w:ascii="Arial" w:cs="Arial" w:eastAsia="Arial" w:hAnsi="Arial"/>
          <w:sz w:val="18"/>
          <w:szCs w:val="18"/>
          <w:color w:val="auto"/>
        </w:rPr>
      </w:pPr>
    </w:p>
    <w:p>
      <w:pPr>
        <w:ind w:left="1140" w:right="140" w:hanging="565"/>
        <w:spacing w:after="0" w:line="277" w:lineRule="auto"/>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Non-serious Class A violation</w:t>
      </w:r>
      <w:r>
        <w:rPr>
          <w:rFonts w:ascii="Arial" w:cs="Arial" w:eastAsia="Arial" w:hAnsi="Arial"/>
          <w:sz w:val="18"/>
          <w:szCs w:val="18"/>
          <w:color w:val="auto"/>
        </w:rPr>
        <w:t>: impose the performance penalty based on the rebate that the distributor can enjoy according to these policies. The penalty limit is the performance amount determined by Baidu.</w:t>
      </w:r>
    </w:p>
    <w:p>
      <w:pPr>
        <w:spacing w:after="0" w:line="75" w:lineRule="exact"/>
        <w:rPr>
          <w:rFonts w:ascii="Arial" w:cs="Arial" w:eastAsia="Arial" w:hAnsi="Arial"/>
          <w:sz w:val="18"/>
          <w:szCs w:val="18"/>
          <w:color w:val="auto"/>
        </w:rPr>
      </w:pPr>
    </w:p>
    <w:p>
      <w:pPr>
        <w:ind w:left="1140" w:right="40" w:hanging="565"/>
        <w:spacing w:after="0" w:line="264" w:lineRule="auto"/>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When the compliance performance of the distributor is not enough to offset the performance penalty, the distributor’s rebate will be deducted. If the rebate is also not enough, the distributor shall make up the amount in cash. If the distributor fails to do so, its distributor qualification will be canceled.</w:t>
      </w:r>
    </w:p>
    <w:p>
      <w:pPr>
        <w:spacing w:after="0" w:line="86" w:lineRule="exact"/>
        <w:rPr>
          <w:rFonts w:ascii="Arial" w:cs="Arial" w:eastAsia="Arial" w:hAnsi="Arial"/>
          <w:sz w:val="18"/>
          <w:szCs w:val="18"/>
          <w:color w:val="auto"/>
        </w:rPr>
      </w:pPr>
    </w:p>
    <w:p>
      <w:pPr>
        <w:ind w:left="1140" w:hanging="565"/>
        <w:spacing w:after="0"/>
        <w:tabs>
          <w:tab w:leader="none" w:pos="11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It shall be determined by Baidu whether any act constitutes the violation abovementioned.</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 xml:space="preserve">Release by advertisers in the </w:t>
      </w:r>
      <w:r>
        <w:rPr>
          <w:rFonts w:ascii="Arial" w:cs="Arial" w:eastAsia="Arial" w:hAnsi="Arial"/>
          <w:sz w:val="13"/>
          <w:szCs w:val="13"/>
          <w:color w:val="auto"/>
        </w:rPr>
        <w:t>***</w:t>
      </w:r>
      <w:r>
        <w:rPr>
          <w:rFonts w:ascii="Arial" w:cs="Arial" w:eastAsia="Arial" w:hAnsi="Arial"/>
          <w:sz w:val="16"/>
          <w:szCs w:val="16"/>
          <w:color w:val="auto"/>
        </w:rPr>
        <w:t xml:space="preserve"> industry will not be included in calculation of rebate proportion and no rebate will be given to the distributors.</w:t>
      </w:r>
    </w:p>
    <w:p>
      <w:pPr>
        <w:spacing w:after="0" w:line="131" w:lineRule="exact"/>
        <w:rPr>
          <w:sz w:val="20"/>
          <w:szCs w:val="20"/>
          <w:color w:val="auto"/>
        </w:rPr>
      </w:pPr>
    </w:p>
    <w:p>
      <w:pPr>
        <w:ind w:left="580" w:right="400" w:hanging="566"/>
        <w:spacing w:after="0" w:line="277" w:lineRule="auto"/>
        <w:tabs>
          <w:tab w:leader="none" w:pos="5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 xml:space="preserve">No release amounts of related advertisers under the overall framework of </w:t>
      </w:r>
      <w:r>
        <w:rPr>
          <w:rFonts w:ascii="Arial" w:cs="Arial" w:eastAsia="Arial" w:hAnsi="Arial"/>
          <w:sz w:val="15"/>
          <w:szCs w:val="15"/>
          <w:color w:val="auto"/>
        </w:rPr>
        <w:t>***</w:t>
      </w:r>
      <w:r>
        <w:rPr>
          <w:rFonts w:ascii="Arial" w:cs="Arial" w:eastAsia="Arial" w:hAnsi="Arial"/>
          <w:sz w:val="18"/>
          <w:szCs w:val="18"/>
          <w:color w:val="auto"/>
        </w:rPr>
        <w:t xml:space="preserve"> in Key Account Sales Department of Baidu shall be included in the rebate base of the distributors.</w:t>
      </w:r>
    </w:p>
    <w:p>
      <w:pPr>
        <w:spacing w:after="0" w:line="76" w:lineRule="exact"/>
        <w:rPr>
          <w:sz w:val="20"/>
          <w:szCs w:val="20"/>
          <w:color w:val="auto"/>
        </w:rPr>
      </w:pPr>
    </w:p>
    <w:p>
      <w:pPr>
        <w:ind w:left="580" w:hanging="566"/>
        <w:spacing w:after="0" w:line="264" w:lineRule="auto"/>
        <w:tabs>
          <w:tab w:leader="none" w:pos="5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color w:val="auto"/>
        </w:rPr>
        <w:t>The rebates shall only apply to overseas key distributors signing the distributor contract with Baidu. Where overseas key distributors develop and sign any agreement with secondary distributors according to their own business needs, no rebate will be given to such overseas key distributors with respect to consumption of the advertisers of the secondary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jc w:val="center"/>
        <w:ind w:left="5500" w:right="240" w:hanging="5492"/>
        <w:spacing w:after="0" w:line="449" w:lineRule="auto"/>
        <w:tabs>
          <w:tab w:leader="none" w:pos="566" w:val="left"/>
        </w:tabs>
        <w:numPr>
          <w:ilvl w:val="0"/>
          <w:numId w:val="210"/>
        </w:numPr>
        <w:rPr>
          <w:rFonts w:ascii="Arial" w:cs="Arial" w:eastAsia="Arial" w:hAnsi="Arial"/>
          <w:sz w:val="15"/>
          <w:szCs w:val="15"/>
          <w:color w:val="auto"/>
        </w:rPr>
      </w:pPr>
      <w:r>
        <w:rPr>
          <w:rFonts w:ascii="Arial" w:cs="Arial" w:eastAsia="Arial" w:hAnsi="Arial"/>
          <w:sz w:val="18"/>
          <w:szCs w:val="18"/>
          <w:color w:val="auto"/>
        </w:rPr>
        <w:t>Indicate that certain information contained herein has been omitted. Confidential treatment has been requested with respect to the omitted portions. 4 / 10</w:t>
      </w:r>
    </w:p>
    <w:p>
      <w:pPr>
        <w:sectPr>
          <w:pgSz w:w="11900" w:h="16838" w:orient="portrait"/>
          <w:cols w:equalWidth="0" w:num="1">
            <w:col w:w="11400"/>
          </w:cols>
          <w:pgMar w:left="240" w:top="945" w:right="259" w:bottom="1440" w:gutter="0" w:footer="0" w:header="0"/>
        </w:sectPr>
      </w:pPr>
    </w:p>
    <w:bookmarkStart w:id="220" w:name="page221"/>
    <w:bookmarkEnd w:id="220"/>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5.8</w:t>
      </w:r>
      <w:r>
        <w:rPr>
          <w:sz w:val="20"/>
          <w:szCs w:val="20"/>
          <w:color w:val="auto"/>
        </w:rPr>
        <w:tab/>
      </w:r>
      <w:r>
        <w:rPr>
          <w:rFonts w:ascii="Arial" w:cs="Arial" w:eastAsia="Arial" w:hAnsi="Arial"/>
          <w:sz w:val="16"/>
          <w:szCs w:val="16"/>
          <w:color w:val="auto"/>
        </w:rPr>
        <w:t>KA overseas distributors shall develop advertisers in accordance with the overseas business development rules of Baidu.</w:t>
      </w:r>
    </w:p>
    <w:p>
      <w:pPr>
        <w:spacing w:after="0" w:line="370" w:lineRule="exact"/>
        <w:rPr>
          <w:sz w:val="20"/>
          <w:szCs w:val="20"/>
          <w:color w:val="auto"/>
        </w:rPr>
      </w:pPr>
    </w:p>
    <w:p>
      <w:pPr>
        <w:ind w:left="580" w:hanging="572"/>
        <w:spacing w:after="0"/>
        <w:tabs>
          <w:tab w:leader="none" w:pos="58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121" w:lineRule="exact"/>
        <w:rPr>
          <w:rFonts w:ascii="Arial" w:cs="Arial" w:eastAsia="Arial" w:hAnsi="Arial"/>
          <w:sz w:val="18"/>
          <w:szCs w:val="18"/>
          <w:b w:val="1"/>
          <w:bCs w:val="1"/>
          <w:color w:val="auto"/>
        </w:rPr>
      </w:pPr>
    </w:p>
    <w:p>
      <w:pPr>
        <w:ind w:left="5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If Party B represents any product of any company other than Baidu, it shall obtain prior consent of Baidu and file a record with Baidu. Where Party B breaches this Clause 6, Party A shall have the right to cancel Party B’s qualification of regional agent at any time and to recover the Authorization Certificate without assuming any liability for breach of contract or for compensation.</w:t>
      </w:r>
    </w:p>
    <w:p>
      <w:pPr>
        <w:spacing w:after="0" w:line="73" w:lineRule="exact"/>
        <w:rPr>
          <w:rFonts w:ascii="Arial" w:cs="Arial" w:eastAsia="Arial" w:hAnsi="Arial"/>
          <w:sz w:val="18"/>
          <w:szCs w:val="18"/>
          <w:b w:val="1"/>
          <w:bCs w:val="1"/>
          <w:color w:val="auto"/>
        </w:rPr>
      </w:pPr>
    </w:p>
    <w:p>
      <w:pPr>
        <w:ind w:left="580" w:right="320" w:hanging="1"/>
        <w:spacing w:after="0" w:line="277" w:lineRule="auto"/>
        <w:tabs>
          <w:tab w:leader="none" w:pos="854" w:val="left"/>
        </w:tabs>
        <w:numPr>
          <w:ilvl w:val="1"/>
          <w:numId w:val="211"/>
        </w:numPr>
        <w:rPr>
          <w:rFonts w:ascii="Arial" w:cs="Arial" w:eastAsia="Arial" w:hAnsi="Arial"/>
          <w:sz w:val="15"/>
          <w:szCs w:val="15"/>
          <w:color w:val="auto"/>
        </w:rPr>
      </w:pPr>
      <w:r>
        <w:rPr>
          <w:rFonts w:ascii="Arial" w:cs="Arial" w:eastAsia="Arial" w:hAnsi="Arial"/>
          <w:sz w:val="18"/>
          <w:szCs w:val="18"/>
          <w:color w:val="auto"/>
        </w:rPr>
        <w:t>If Party B breaches this Clause 6, Party A shall have the right to cancel Party B’s qualification of regional agent at any time and to recover the Authorization Certificate without assuming any liability for breach of contract or for compensation.</w:t>
      </w:r>
    </w:p>
    <w:p>
      <w:pPr>
        <w:spacing w:after="0" w:line="315" w:lineRule="exact"/>
        <w:rPr>
          <w:rFonts w:ascii="Arial" w:cs="Arial" w:eastAsia="Arial" w:hAnsi="Arial"/>
          <w:sz w:val="15"/>
          <w:szCs w:val="15"/>
          <w:color w:val="auto"/>
        </w:rPr>
      </w:pPr>
    </w:p>
    <w:p>
      <w:pPr>
        <w:ind w:left="580" w:hanging="572"/>
        <w:spacing w:after="0"/>
        <w:tabs>
          <w:tab w:leader="none" w:pos="58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Distributor Rebate System</w:t>
      </w:r>
    </w:p>
    <w:p>
      <w:pPr>
        <w:spacing w:after="0" w:line="135" w:lineRule="exact"/>
        <w:rPr>
          <w:sz w:val="20"/>
          <w:szCs w:val="20"/>
          <w:color w:val="auto"/>
        </w:rPr>
      </w:pPr>
    </w:p>
    <w:p>
      <w:pPr>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u w:val="single" w:color="auto"/>
          <w:color w:val="auto"/>
        </w:rPr>
        <w:t>P4P product rebate</w:t>
      </w:r>
      <w:r>
        <w:rPr>
          <w:rFonts w:ascii="Arial" w:cs="Arial" w:eastAsia="Arial" w:hAnsi="Arial"/>
          <w:sz w:val="18"/>
          <w:szCs w:val="18"/>
          <w:color w:val="auto"/>
        </w:rPr>
        <w:t>. The rebate proportion that Party B can enjoy within the term of this Contract for promotion service of P4P products is</w:t>
      </w:r>
      <w:r>
        <w:rPr>
          <w:rFonts w:ascii="Arial" w:cs="Arial" w:eastAsia="Arial" w:hAnsi="Arial"/>
          <w:sz w:val="18"/>
          <w:szCs w:val="18"/>
          <w:u w:val="single" w:color="auto"/>
          <w:color w:val="auto"/>
        </w:rPr>
        <w:t xml:space="preserve"> </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will be achieved through the management account. The standard rebate will be automatically added to Party B’s Agent Management Account of Baidu Promotions, which can only be used for transfer and cannot be withdrawn in cash. Party B will not receive other discounts during transfer. The P4P products involved in such rebate are subject to the agreement with Baidu.</w:t>
      </w:r>
    </w:p>
    <w:p>
      <w:pPr>
        <w:spacing w:after="0" w:line="88" w:lineRule="exact"/>
        <w:rPr>
          <w:sz w:val="20"/>
          <w:szCs w:val="20"/>
          <w:color w:val="auto"/>
        </w:rPr>
      </w:pPr>
    </w:p>
    <w:p>
      <w:pPr>
        <w:ind w:left="580" w:right="20" w:hanging="566"/>
        <w:spacing w:after="0" w:line="266" w:lineRule="auto"/>
        <w:tabs>
          <w:tab w:leader="none" w:pos="5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 xml:space="preserve">Party B will enjoy </w:t>
      </w:r>
      <w:r>
        <w:rPr>
          <w:rFonts w:ascii="Arial" w:cs="Arial" w:eastAsia="Arial" w:hAnsi="Arial"/>
          <w:sz w:val="15"/>
          <w:szCs w:val="15"/>
          <w:u w:val="single" w:color="auto"/>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discount (hereinafter referred to as “</w:t>
      </w:r>
      <w:r>
        <w:rPr>
          <w:rFonts w:ascii="Arial" w:cs="Arial" w:eastAsia="Arial" w:hAnsi="Arial"/>
          <w:sz w:val="18"/>
          <w:szCs w:val="18"/>
          <w:b w:val="1"/>
          <w:bCs w:val="1"/>
          <w:color w:val="auto"/>
        </w:rPr>
        <w:t>Standard Discount</w:t>
      </w:r>
      <w:r>
        <w:rPr>
          <w:rFonts w:ascii="Arial" w:cs="Arial" w:eastAsia="Arial" w:hAnsi="Arial"/>
          <w:sz w:val="18"/>
          <w:szCs w:val="18"/>
          <w:color w:val="auto"/>
        </w:rPr>
        <w:t>”) on the products in the non-search category with open and standard quotation during the term of this Contract. The specific open and standard price and products that enjoy discounts are subject to those published by Party A;</w:t>
      </w:r>
    </w:p>
    <w:p>
      <w:pPr>
        <w:spacing w:after="0" w:line="3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Rebate for completion of the quarterly task</w:t>
      </w:r>
      <w:r>
        <w:rPr>
          <w:rFonts w:ascii="Arial" w:cs="Arial" w:eastAsia="Arial" w:hAnsi="Arial"/>
          <w:sz w:val="16"/>
          <w:szCs w:val="16"/>
          <w:color w:val="auto"/>
        </w:rPr>
        <w:t>.</w:t>
      </w:r>
    </w:p>
    <w:p>
      <w:pPr>
        <w:spacing w:after="0" w:line="131" w:lineRule="exact"/>
        <w:rPr>
          <w:sz w:val="20"/>
          <w:szCs w:val="20"/>
          <w:color w:val="auto"/>
        </w:rPr>
      </w:pPr>
    </w:p>
    <w:p>
      <w:pPr>
        <w:ind w:left="1140" w:hanging="566"/>
        <w:spacing w:after="0" w:line="286" w:lineRule="auto"/>
        <w:tabs>
          <w:tab w:leader="none" w:pos="112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7"/>
          <w:szCs w:val="17"/>
          <w:color w:val="auto"/>
        </w:rPr>
        <w:t>Baidu will issue quarterly assessment tasks to distributors on a quarterly basis and give corresponding rebate for completion of the quarterly task according to the completion status of the distributor quarterly assessment task. Rebate for completion of the quarterly task = rebate base * rebate ratio for completion of the quarterly task * rebate coefficient for completion of the quarterly task.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89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0" w:lineRule="exact"/>
        <w:rPr>
          <w:sz w:val="20"/>
          <w:szCs w:val="20"/>
          <w:color w:val="auto"/>
        </w:rPr>
      </w:pPr>
    </w:p>
    <w:p>
      <w:pPr>
        <w:jc w:val="center"/>
        <w:ind w:left="5500" w:right="240" w:hanging="5492"/>
        <w:spacing w:after="0" w:line="449" w:lineRule="auto"/>
        <w:tabs>
          <w:tab w:leader="none" w:pos="566" w:val="left"/>
        </w:tabs>
        <w:numPr>
          <w:ilvl w:val="0"/>
          <w:numId w:val="212"/>
        </w:numPr>
        <w:rPr>
          <w:rFonts w:ascii="Arial" w:cs="Arial" w:eastAsia="Arial" w:hAnsi="Arial"/>
          <w:sz w:val="15"/>
          <w:szCs w:val="15"/>
          <w:color w:val="auto"/>
        </w:rPr>
      </w:pPr>
      <w:r>
        <w:rPr>
          <w:rFonts w:ascii="Arial" w:cs="Arial" w:eastAsia="Arial" w:hAnsi="Arial"/>
          <w:sz w:val="18"/>
          <w:szCs w:val="18"/>
          <w:color w:val="auto"/>
        </w:rPr>
        <w:t>Indicate that certain information contained herein has been omitted. Confidential treatment has been requested with respect to the omitted portions. 5 / 10</w:t>
      </w:r>
    </w:p>
    <w:p>
      <w:pPr>
        <w:sectPr>
          <w:pgSz w:w="11900" w:h="16838" w:orient="portrait"/>
          <w:cols w:equalWidth="0" w:num="1">
            <w:col w:w="11400"/>
          </w:cols>
          <w:pgMar w:left="240" w:top="949" w:right="259" w:bottom="1440" w:gutter="0" w:footer="0" w:header="0"/>
        </w:sectPr>
      </w:pPr>
    </w:p>
    <w:bookmarkStart w:id="221" w:name="page222"/>
    <w:bookmarkEnd w:id="221"/>
    <w:tbl>
      <w:tblPr>
        <w:tblLayout w:type="fixed"/>
        <w:tblInd w:w="184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600" w:type="dxa"/>
            <w:vAlign w:val="bottom"/>
            <w:gridSpan w:val="4"/>
          </w:tcPr>
          <w:p>
            <w:pPr>
              <w:spacing w:after="0"/>
              <w:rPr>
                <w:sz w:val="20"/>
                <w:szCs w:val="20"/>
                <w:color w:val="auto"/>
              </w:rPr>
            </w:pPr>
            <w:r>
              <w:rPr>
                <w:rFonts w:ascii="Arial" w:cs="Arial" w:eastAsia="Arial" w:hAnsi="Arial"/>
                <w:sz w:val="14"/>
                <w:szCs w:val="14"/>
                <w:b w:val="1"/>
                <w:bCs w:val="1"/>
                <w:color w:val="auto"/>
              </w:rPr>
              <w:t>Quarterly Task Rebate</w:t>
            </w:r>
          </w:p>
        </w:tc>
        <w:tc>
          <w:tcPr>
            <w:tcW w:w="0" w:type="dxa"/>
            <w:vAlign w:val="bottom"/>
          </w:tcPr>
          <w:p>
            <w:pPr>
              <w:spacing w:after="0"/>
              <w:rPr>
                <w:sz w:val="1"/>
                <w:szCs w:val="1"/>
                <w:color w:val="auto"/>
              </w:rPr>
            </w:pPr>
          </w:p>
        </w:tc>
      </w:tr>
      <w:tr>
        <w:trPr>
          <w:trHeight w:val="23"/>
        </w:trPr>
        <w:tc>
          <w:tcPr>
            <w:tcW w:w="3160" w:type="dxa"/>
            <w:vAlign w:val="bottom"/>
            <w:vMerge w:val="restart"/>
          </w:tcPr>
          <w:p>
            <w:pPr>
              <w:jc w:val="center"/>
              <w:ind w:left="702"/>
              <w:spacing w:after="0" w:line="149" w:lineRule="exact"/>
              <w:rPr>
                <w:sz w:val="20"/>
                <w:szCs w:val="20"/>
                <w:color w:val="auto"/>
              </w:rPr>
            </w:pPr>
            <w:r>
              <w:rPr>
                <w:rFonts w:ascii="Arial" w:cs="Arial" w:eastAsia="Arial" w:hAnsi="Arial"/>
                <w:sz w:val="14"/>
                <w:szCs w:val="14"/>
                <w:b w:val="1"/>
                <w:bCs w:val="1"/>
                <w:color w:val="auto"/>
                <w:w w:val="94"/>
              </w:rPr>
              <w:t>Ratio for Completion of the</w:t>
            </w: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180" w:type="dxa"/>
            <w:vAlign w:val="bottom"/>
            <w:vMerge w:val="restart"/>
          </w:tcPr>
          <w:p>
            <w:pPr>
              <w:jc w:val="center"/>
              <w:ind w:right="348"/>
              <w:spacing w:after="0" w:line="149" w:lineRule="exact"/>
              <w:rPr>
                <w:sz w:val="20"/>
                <w:szCs w:val="20"/>
                <w:color w:val="auto"/>
              </w:rPr>
            </w:pPr>
            <w:r>
              <w:rPr>
                <w:rFonts w:ascii="Arial" w:cs="Arial" w:eastAsia="Arial" w:hAnsi="Arial"/>
                <w:sz w:val="14"/>
                <w:szCs w:val="14"/>
                <w:b w:val="1"/>
                <w:bCs w:val="1"/>
                <w:color w:val="auto"/>
                <w:w w:val="93"/>
              </w:rPr>
              <w:t>Rebate Ratio for Completion of the</w:t>
            </w:r>
          </w:p>
        </w:tc>
        <w:tc>
          <w:tcPr>
            <w:tcW w:w="0" w:type="dxa"/>
            <w:vAlign w:val="bottom"/>
          </w:tcPr>
          <w:p>
            <w:pPr>
              <w:spacing w:after="0"/>
              <w:rPr>
                <w:sz w:val="1"/>
                <w:szCs w:val="1"/>
                <w:color w:val="auto"/>
              </w:rPr>
            </w:pPr>
          </w:p>
        </w:tc>
      </w:tr>
      <w:tr>
        <w:trPr>
          <w:trHeight w:val="106"/>
        </w:trPr>
        <w:tc>
          <w:tcPr>
            <w:tcW w:w="31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3160" w:type="dxa"/>
            <w:vAlign w:val="bottom"/>
            <w:tcBorders>
              <w:bottom w:val="single" w:sz="8" w:color="auto"/>
            </w:tcBorders>
          </w:tcPr>
          <w:p>
            <w:pPr>
              <w:jc w:val="center"/>
              <w:ind w:left="722"/>
              <w:spacing w:after="0"/>
              <w:rPr>
                <w:sz w:val="20"/>
                <w:szCs w:val="20"/>
                <w:color w:val="auto"/>
              </w:rPr>
            </w:pPr>
            <w:r>
              <w:rPr>
                <w:rFonts w:ascii="Arial" w:cs="Arial" w:eastAsia="Arial" w:hAnsi="Arial"/>
                <w:sz w:val="14"/>
                <w:szCs w:val="14"/>
                <w:b w:val="1"/>
                <w:bCs w:val="1"/>
                <w:color w:val="auto"/>
                <w:w w:val="96"/>
              </w:rPr>
              <w:t>Quarterly Task (T)</w:t>
            </w: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w w:val="95"/>
              </w:rPr>
              <w:t>Quarterly Task</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jc w:val="center"/>
              <w:ind w:left="702"/>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%&gt;T³</w:t>
            </w:r>
            <w:r>
              <w:rPr>
                <w:rFonts w:ascii="Arial" w:cs="Arial" w:eastAsia="Arial" w:hAnsi="Arial"/>
                <w:sz w:val="15"/>
                <w:szCs w:val="15"/>
                <w:color w:val="auto"/>
              </w:rPr>
              <w:t>***</w:t>
            </w: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jc w:val="center"/>
              <w:ind w:left="702"/>
              <w:spacing w:after="0"/>
              <w:rPr>
                <w:sz w:val="20"/>
                <w:szCs w:val="20"/>
                <w:color w:val="auto"/>
              </w:rPr>
            </w:pPr>
            <w:r>
              <w:rPr>
                <w:rFonts w:ascii="Arial" w:cs="Arial" w:eastAsia="Arial" w:hAnsi="Arial"/>
                <w:sz w:val="18"/>
                <w:szCs w:val="18"/>
                <w:color w:val="auto"/>
              </w:rPr>
              <w:t>T³</w:t>
            </w:r>
            <w:r>
              <w:rPr>
                <w:rFonts w:ascii="Arial" w:cs="Arial" w:eastAsia="Arial" w:hAnsi="Arial"/>
                <w:sz w:val="15"/>
                <w:szCs w:val="15"/>
                <w:color w:val="auto"/>
              </w:rPr>
              <w:t>***</w:t>
            </w:r>
            <w:r>
              <w:rPr>
                <w:rFonts w:ascii="Arial" w:cs="Arial" w:eastAsia="Arial" w:hAnsi="Arial"/>
                <w:sz w:val="18"/>
                <w:szCs w:val="18"/>
                <w:color w:val="auto"/>
              </w:rPr>
              <w:t>%</w:t>
            </w:r>
          </w:p>
        </w:tc>
        <w:tc>
          <w:tcPr>
            <w:tcW w:w="4600" w:type="dxa"/>
            <w:vAlign w:val="bottom"/>
            <w:gridSpan w:val="4"/>
          </w:tcPr>
          <w:p>
            <w:pPr>
              <w:jc w:val="center"/>
              <w:ind w:left="946"/>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r>
    </w:p>
    <w:p>
      <w:pPr>
        <w:ind w:left="580" w:hanging="572"/>
        <w:spacing w:after="0"/>
        <w:tabs>
          <w:tab w:leader="none" w:pos="5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Quarterly task and quarterly task completion assessment shall be calculated based on the operating income of Baidu.</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Rebate calculation and payment are subject to the financial income of Baidu.</w:t>
      </w:r>
    </w:p>
    <w:p>
      <w:pPr>
        <w:spacing w:after="0" w:line="3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6"/>
          <w:szCs w:val="16"/>
          <w:color w:val="auto"/>
        </w:rPr>
        <w:t>Rebate coefficient for completion of the quarterly task is set according to the gradient of completion status of the distributor quarterly task as follows:</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Rebate Gradient Table of Completion Status of Quarterly Task</w:t>
      </w:r>
    </w:p>
    <w:p>
      <w:pPr>
        <w:spacing w:after="0" w:line="4" w:lineRule="exact"/>
        <w:rPr>
          <w:sz w:val="20"/>
          <w:szCs w:val="20"/>
          <w:color w:val="auto"/>
        </w:rPr>
      </w:pPr>
    </w:p>
    <w:tbl>
      <w:tblPr>
        <w:tblLayout w:type="fixed"/>
        <w:tblInd w:w="1840" w:type="dxa"/>
        <w:tblCellMar>
          <w:top w:w="0" w:type="dxa"/>
          <w:left w:w="0" w:type="dxa"/>
          <w:bottom w:w="0" w:type="dxa"/>
          <w:right w:w="0" w:type="dxa"/>
        </w:tblCellMar>
      </w:tblPr>
      <w:tr>
        <w:trPr>
          <w:trHeight w:val="20"/>
        </w:trPr>
        <w:tc>
          <w:tcPr>
            <w:tcW w:w="1940" w:type="dxa"/>
            <w:vAlign w:val="bottom"/>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940" w:type="dxa"/>
            <w:vAlign w:val="bottom"/>
            <w:vMerge w:val="restart"/>
          </w:tcPr>
          <w:p>
            <w:pPr>
              <w:jc w:val="right"/>
              <w:ind w:right="828"/>
              <w:spacing w:after="0"/>
              <w:rPr>
                <w:sz w:val="20"/>
                <w:szCs w:val="20"/>
                <w:color w:val="auto"/>
              </w:rPr>
            </w:pPr>
            <w:r>
              <w:rPr>
                <w:rFonts w:ascii="Arial" w:cs="Arial" w:eastAsia="Arial" w:hAnsi="Arial"/>
                <w:sz w:val="14"/>
                <w:szCs w:val="14"/>
                <w:b w:val="1"/>
                <w:bCs w:val="1"/>
                <w:color w:val="auto"/>
                <w:w w:val="82"/>
              </w:rPr>
              <w:t>Rebate Coefficient</w:t>
            </w:r>
          </w:p>
        </w:tc>
        <w:tc>
          <w:tcPr>
            <w:tcW w:w="0" w:type="dxa"/>
            <w:vAlign w:val="bottom"/>
          </w:tcPr>
          <w:p>
            <w:pPr>
              <w:spacing w:after="0" w:line="20" w:lineRule="exact"/>
              <w:rPr>
                <w:sz w:val="1"/>
                <w:szCs w:val="1"/>
                <w:color w:val="auto"/>
              </w:rPr>
            </w:pPr>
          </w:p>
        </w:tc>
      </w:tr>
      <w:tr>
        <w:trPr>
          <w:trHeight w:val="149"/>
        </w:trPr>
        <w:tc>
          <w:tcPr>
            <w:tcW w:w="42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Task Completion Ratio</w:t>
            </w:r>
          </w:p>
        </w:tc>
        <w:tc>
          <w:tcPr>
            <w:tcW w:w="162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Quarterly</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%&gt;T</w:t>
            </w:r>
          </w:p>
        </w:tc>
        <w:tc>
          <w:tcPr>
            <w:tcW w:w="24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gridSpan w:val="2"/>
            <w:shd w:val="clear" w:color="auto" w:fill="CCEEFF"/>
          </w:tcPr>
          <w:p>
            <w:pPr>
              <w:jc w:val="right"/>
              <w:ind w:right="16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200" w:type="dxa"/>
            <w:vAlign w:val="bottom"/>
            <w:gridSpan w:val="3"/>
          </w:tcPr>
          <w:p>
            <w:pPr>
              <w:jc w:val="center"/>
              <w:ind w:right="260"/>
              <w:spacing w:after="0"/>
              <w:rPr>
                <w:sz w:val="20"/>
                <w:szCs w:val="20"/>
                <w:color w:val="auto"/>
              </w:rPr>
            </w:pPr>
            <w:r>
              <w:rPr>
                <w:rFonts w:ascii="Arial" w:cs="Arial" w:eastAsia="Arial" w:hAnsi="Arial"/>
                <w:sz w:val="15"/>
                <w:szCs w:val="15"/>
                <w:color w:val="auto"/>
              </w:rPr>
              <w:t>***</w:t>
            </w:r>
            <w:r>
              <w:rPr>
                <w:rFonts w:ascii="Arial" w:cs="Arial" w:eastAsia="Arial" w:hAnsi="Arial"/>
                <w:sz w:val="18"/>
                <w:szCs w:val="18"/>
                <w:color w:val="auto"/>
              </w:rPr>
              <w:t>%&gt;T³</w:t>
            </w:r>
            <w:r>
              <w:rPr>
                <w:rFonts w:ascii="Arial" w:cs="Arial" w:eastAsia="Arial" w:hAnsi="Arial"/>
                <w:sz w:val="15"/>
                <w:szCs w:val="15"/>
                <w:color w:val="auto"/>
              </w:rPr>
              <w:t>***</w:t>
            </w:r>
            <w:r>
              <w:rPr>
                <w:rFonts w:ascii="Arial" w:cs="Arial" w:eastAsia="Arial" w:hAnsi="Arial"/>
                <w:sz w:val="18"/>
                <w:szCs w:val="18"/>
                <w:color w:val="auto"/>
              </w:rPr>
              <w:t>%</w:t>
            </w:r>
          </w:p>
        </w:tc>
        <w:tc>
          <w:tcPr>
            <w:tcW w:w="3560" w:type="dxa"/>
            <w:vAlign w:val="bottom"/>
            <w:gridSpan w:val="2"/>
          </w:tcPr>
          <w:p>
            <w:pPr>
              <w:jc w:val="right"/>
              <w:ind w:right="16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6"/>
        </w:trPr>
        <w:tc>
          <w:tcPr>
            <w:tcW w:w="42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rPr>
              <w:t>T³</w:t>
            </w:r>
            <w:r>
              <w:rPr>
                <w:rFonts w:ascii="Arial" w:cs="Arial" w:eastAsia="Arial" w:hAnsi="Arial"/>
                <w:sz w:val="15"/>
                <w:szCs w:val="15"/>
                <w:color w:val="auto"/>
              </w:rPr>
              <w:t>***</w:t>
            </w:r>
            <w:r>
              <w:rPr>
                <w:rFonts w:ascii="Arial" w:cs="Arial" w:eastAsia="Arial" w:hAnsi="Arial"/>
                <w:sz w:val="18"/>
                <w:szCs w:val="18"/>
                <w:color w:val="auto"/>
              </w:rPr>
              <w:t>%</w:t>
            </w:r>
          </w:p>
        </w:tc>
        <w:tc>
          <w:tcPr>
            <w:tcW w:w="3560" w:type="dxa"/>
            <w:vAlign w:val="bottom"/>
            <w:gridSpan w:val="2"/>
            <w:shd w:val="clear" w:color="auto" w:fill="CCEEFF"/>
          </w:tcPr>
          <w:p>
            <w:pPr>
              <w:jc w:val="right"/>
              <w:ind w:right="160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80" w:hanging="566"/>
        <w:spacing w:after="0" w:line="264" w:lineRule="auto"/>
        <w:tabs>
          <w:tab w:leader="none" w:pos="5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u w:val="single" w:color="auto"/>
          <w:color w:val="auto"/>
        </w:rPr>
        <w:t>Conditions for calculation of the rebate amount</w:t>
      </w:r>
      <w:r>
        <w:rPr>
          <w:rFonts w:ascii="Arial" w:cs="Arial" w:eastAsia="Arial" w:hAnsi="Arial"/>
          <w:sz w:val="18"/>
          <w:szCs w:val="18"/>
          <w:color w:val="auto"/>
        </w:rPr>
        <w:t>. Party A will conduct quarterly assessment on Party B according to the natural quarter during the term</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this Contract. The assessment criteria are subject to the Key Distributor Incentive Policy of Key Account Sales Department (Overseas Distributors) 2017.</w:t>
      </w:r>
    </w:p>
    <w:p>
      <w:pPr>
        <w:spacing w:after="0" w:line="87" w:lineRule="exact"/>
        <w:rPr>
          <w:sz w:val="20"/>
          <w:szCs w:val="20"/>
          <w:color w:val="auto"/>
        </w:rPr>
      </w:pPr>
    </w:p>
    <w:p>
      <w:pPr>
        <w:ind w:left="1140" w:right="200" w:hanging="566"/>
        <w:spacing w:after="0" w:line="277" w:lineRule="auto"/>
        <w:tabs>
          <w:tab w:leader="none" w:pos="1120" w:val="left"/>
        </w:tabs>
        <w:rPr>
          <w:sz w:val="20"/>
          <w:szCs w:val="20"/>
          <w:color w:val="auto"/>
        </w:rPr>
      </w:pPr>
      <w:r>
        <w:rPr>
          <w:rFonts w:ascii="Arial" w:cs="Arial" w:eastAsia="Arial" w:hAnsi="Arial"/>
          <w:sz w:val="18"/>
          <w:szCs w:val="18"/>
          <w:color w:val="auto"/>
        </w:rPr>
        <w:t>7.4.1</w:t>
        <w:tab/>
        <w:t>The amount credited to the rebate shall be paid within the payment period specified in the Online Promotion Service Contract and Network Distribution Service Contract for each release.</w:t>
      </w:r>
    </w:p>
    <w:p>
      <w:pPr>
        <w:spacing w:after="0" w:line="76" w:lineRule="exact"/>
        <w:rPr>
          <w:sz w:val="20"/>
          <w:szCs w:val="20"/>
          <w:color w:val="auto"/>
        </w:rPr>
      </w:pPr>
    </w:p>
    <w:p>
      <w:pPr>
        <w:ind w:left="1140" w:right="160" w:hanging="566"/>
        <w:spacing w:after="0" w:line="277" w:lineRule="auto"/>
        <w:tabs>
          <w:tab w:leader="none" w:pos="1120" w:val="left"/>
        </w:tabs>
        <w:rPr>
          <w:sz w:val="20"/>
          <w:szCs w:val="20"/>
          <w:color w:val="auto"/>
        </w:rPr>
      </w:pPr>
      <w:r>
        <w:rPr>
          <w:rFonts w:ascii="Arial" w:cs="Arial" w:eastAsia="Arial" w:hAnsi="Arial"/>
          <w:sz w:val="18"/>
          <w:szCs w:val="18"/>
          <w:color w:val="auto"/>
        </w:rPr>
        <w:t>7.4.2</w:t>
        <w:tab/>
        <w:t>The amount credited to the rebate shall be the amount specified in the Online Promotion Service Contract and Network Distribution Service Contract for each release which is received and recognized as income.</w:t>
      </w:r>
    </w:p>
    <w:p>
      <w:pPr>
        <w:spacing w:after="0" w:line="76"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6"/>
          <w:szCs w:val="16"/>
          <w:color w:val="auto"/>
        </w:rPr>
        <w:t>The base for calculating the rebate is determined in accordance with the provisions of Clause 7.6 and Clause 7.7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0" w:lineRule="exact"/>
        <w:rPr>
          <w:sz w:val="20"/>
          <w:szCs w:val="20"/>
          <w:color w:val="auto"/>
        </w:rPr>
      </w:pPr>
    </w:p>
    <w:p>
      <w:pPr>
        <w:jc w:val="center"/>
        <w:ind w:left="5500" w:right="220" w:hanging="5492"/>
        <w:spacing w:after="0" w:line="449" w:lineRule="auto"/>
        <w:tabs>
          <w:tab w:leader="none" w:pos="566" w:val="left"/>
        </w:tabs>
        <w:numPr>
          <w:ilvl w:val="0"/>
          <w:numId w:val="214"/>
        </w:numPr>
        <w:rPr>
          <w:rFonts w:ascii="Arial" w:cs="Arial" w:eastAsia="Arial" w:hAnsi="Arial"/>
          <w:sz w:val="15"/>
          <w:szCs w:val="15"/>
          <w:color w:val="auto"/>
        </w:rPr>
      </w:pPr>
      <w:r>
        <w:rPr>
          <w:rFonts w:ascii="Arial" w:cs="Arial" w:eastAsia="Arial" w:hAnsi="Arial"/>
          <w:sz w:val="18"/>
          <w:szCs w:val="18"/>
          <w:color w:val="auto"/>
        </w:rPr>
        <w:t>Indicate that certain information contained herein has been omitted. Confidential treatment has been requested with respect to the omitted portions. 6 / 10</w:t>
      </w:r>
    </w:p>
    <w:p>
      <w:pPr>
        <w:sectPr>
          <w:pgSz w:w="11900" w:h="16838" w:orient="portrait"/>
          <w:cols w:equalWidth="0" w:num="1">
            <w:col w:w="11380"/>
          </w:cols>
          <w:pgMar w:left="240" w:top="928" w:right="279" w:bottom="1440" w:gutter="0" w:footer="0" w:header="0"/>
        </w:sectPr>
      </w:pPr>
    </w:p>
    <w:bookmarkStart w:id="222" w:name="page223"/>
    <w:bookmarkEnd w:id="222"/>
    <w:p>
      <w:pPr>
        <w:ind w:left="580" w:hanging="566"/>
        <w:spacing w:after="0" w:line="312"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7.5</w:t>
      </w:r>
      <w:r>
        <w:rPr>
          <w:sz w:val="20"/>
          <w:szCs w:val="20"/>
          <w:color w:val="auto"/>
        </w:rPr>
        <w:tab/>
      </w:r>
      <w:r>
        <w:rPr>
          <w:rFonts w:ascii="Arial" w:cs="Arial" w:eastAsia="Arial" w:hAnsi="Arial"/>
          <w:sz w:val="16"/>
          <w:szCs w:val="16"/>
          <w:u w:val="single" w:color="auto"/>
          <w:color w:val="auto"/>
        </w:rPr>
        <w:t>Calculation method for the base of quarterly rebate</w:t>
      </w:r>
      <w:r>
        <w:rPr>
          <w:rFonts w:ascii="Arial" w:cs="Arial" w:eastAsia="Arial" w:hAnsi="Arial"/>
          <w:sz w:val="16"/>
          <w:szCs w:val="16"/>
          <w:color w:val="auto"/>
        </w:rPr>
        <w:t>. Baidu shall confirm the income of Baidu for the last quarter in accordance with the entrusted</w:t>
      </w:r>
      <w:r>
        <w:rPr>
          <w:rFonts w:ascii="Arial" w:cs="Arial" w:eastAsia="Arial" w:hAnsi="Arial"/>
          <w:sz w:val="16"/>
          <w:szCs w:val="16"/>
          <w:u w:val="single" w:color="auto"/>
          <w:color w:val="auto"/>
        </w:rPr>
        <w:t xml:space="preserve"> </w:t>
      </w:r>
      <w:r>
        <w:rPr>
          <w:rFonts w:ascii="Arial" w:cs="Arial" w:eastAsia="Arial" w:hAnsi="Arial"/>
          <w:sz w:val="16"/>
          <w:szCs w:val="16"/>
          <w:color w:val="auto"/>
        </w:rPr>
        <w:t>release of the distributors on Baidu website or other websites agreed by the parties and the accounting standards of China and the United States at the end of this quarter, calculate the rebate according to the quarterly income and the received payment, and pay the rebate after receipt of payment.</w:t>
      </w:r>
    </w:p>
    <w:p>
      <w:pPr>
        <w:spacing w:after="0" w:line="52" w:lineRule="exact"/>
        <w:rPr>
          <w:sz w:val="20"/>
          <w:szCs w:val="20"/>
          <w:color w:val="auto"/>
        </w:rPr>
      </w:pPr>
    </w:p>
    <w:p>
      <w:pPr>
        <w:jc w:val="both"/>
        <w:ind w:left="580" w:right="240" w:hanging="566"/>
        <w:spacing w:after="0" w:line="312" w:lineRule="auto"/>
        <w:tabs>
          <w:tab w:leader="none" w:pos="56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6"/>
          <w:szCs w:val="16"/>
          <w:u w:val="single" w:color="auto"/>
          <w:color w:val="auto"/>
        </w:rPr>
        <w:t>Calculation method for the base of annual rebate</w:t>
      </w:r>
      <w:r>
        <w:rPr>
          <w:rFonts w:ascii="Arial" w:cs="Arial" w:eastAsia="Arial" w:hAnsi="Arial"/>
          <w:sz w:val="16"/>
          <w:szCs w:val="16"/>
          <w:color w:val="auto"/>
        </w:rPr>
        <w:t>. Baidu shall confirm the income of Baidu in 2017 in accordance with the entrusted release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distributors on Baidu website or other websites agreed by the parties and the accounting standards of China and the United States at the end of the first quarter of 2018, calculate the rebate according to the annual income and the received payment and pay the rebate after receipt of payment.</w:t>
      </w:r>
    </w:p>
    <w:p>
      <w:pPr>
        <w:spacing w:after="0" w:line="52" w:lineRule="exact"/>
        <w:rPr>
          <w:sz w:val="20"/>
          <w:szCs w:val="20"/>
          <w:color w:val="auto"/>
        </w:rPr>
      </w:pPr>
    </w:p>
    <w:p>
      <w:pPr>
        <w:jc w:val="both"/>
        <w:ind w:left="580" w:right="100" w:hanging="566"/>
        <w:spacing w:after="0" w:line="264" w:lineRule="auto"/>
        <w:tabs>
          <w:tab w:leader="none" w:pos="56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The rebate amount will be paid by bank transfer. The distributors enjoying a rebate or special discount shall issue a special VAT invoice in advance with the equivalent amount. When the rebate is used to deduct the release amount or the frame deposit, the distributor shall also issue a special VAT invoice with the equivalent amount.</w:t>
      </w:r>
    </w:p>
    <w:p>
      <w:pPr>
        <w:spacing w:after="0" w:line="326" w:lineRule="exact"/>
        <w:rPr>
          <w:sz w:val="20"/>
          <w:szCs w:val="20"/>
          <w:color w:val="auto"/>
        </w:rPr>
      </w:pPr>
    </w:p>
    <w:p>
      <w:pPr>
        <w:ind w:left="580" w:hanging="572"/>
        <w:spacing w:after="0"/>
        <w:tabs>
          <w:tab w:leader="none" w:pos="58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Others</w:t>
      </w:r>
    </w:p>
    <w:p>
      <w:pPr>
        <w:spacing w:after="0" w:line="135" w:lineRule="exact"/>
        <w:rPr>
          <w:sz w:val="20"/>
          <w:szCs w:val="20"/>
          <w:color w:val="auto"/>
        </w:rPr>
      </w:pPr>
    </w:p>
    <w:p>
      <w:pPr>
        <w:ind w:left="580" w:right="100" w:hanging="566"/>
        <w:spacing w:after="0" w:line="277" w:lineRule="auto"/>
        <w:tabs>
          <w:tab w:leader="none" w:pos="5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The quarterly rebate shall be paid in the form of bank telegraphic transfer within one month after settlement of the Parties. The distributor receiving the rebate shall issue an invoice with equal amount.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Baidu reserves the right of final interpretation and the discretion on these distributor management rules.</w:t>
      </w:r>
    </w:p>
    <w:p>
      <w:pPr>
        <w:spacing w:after="0" w:line="131" w:lineRule="exact"/>
        <w:rPr>
          <w:sz w:val="20"/>
          <w:szCs w:val="20"/>
          <w:color w:val="auto"/>
        </w:rPr>
      </w:pPr>
    </w:p>
    <w:p>
      <w:pPr>
        <w:ind w:left="580" w:right="460" w:hanging="566"/>
        <w:spacing w:after="0" w:line="277" w:lineRule="auto"/>
        <w:tabs>
          <w:tab w:leader="none" w:pos="5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Baidu has the right to modify the management rules at any time as needed, provided that it shall notify the distributor. The modification has no retroactivity.</w:t>
      </w:r>
    </w:p>
    <w:p>
      <w:pPr>
        <w:spacing w:after="0" w:line="315" w:lineRule="exact"/>
        <w:rPr>
          <w:sz w:val="20"/>
          <w:szCs w:val="20"/>
          <w:color w:val="auto"/>
        </w:rPr>
      </w:pPr>
    </w:p>
    <w:p>
      <w:pPr>
        <w:ind w:left="580" w:hanging="572"/>
        <w:spacing w:after="0"/>
        <w:tabs>
          <w:tab w:leader="none" w:pos="5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Selection Mechanism and Penalties for Violations</w:t>
      </w:r>
    </w:p>
    <w:p>
      <w:pPr>
        <w:spacing w:after="0" w:line="135" w:lineRule="exact"/>
        <w:rPr>
          <w:sz w:val="20"/>
          <w:szCs w:val="20"/>
          <w:color w:val="auto"/>
        </w:rPr>
      </w:pPr>
    </w:p>
    <w:p>
      <w:pPr>
        <w:ind w:left="580" w:right="260" w:hanging="566"/>
        <w:spacing w:after="0" w:line="264" w:lineRule="auto"/>
        <w:tabs>
          <w:tab w:leader="none" w:pos="5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u w:val="single" w:color="auto"/>
          <w:color w:val="auto"/>
        </w:rPr>
        <w:t>Distributor selection mechanism</w:t>
      </w:r>
      <w:r>
        <w:rPr>
          <w:rFonts w:ascii="Arial" w:cs="Arial" w:eastAsia="Arial" w:hAnsi="Arial"/>
          <w:sz w:val="18"/>
          <w:szCs w:val="18"/>
          <w:color w:val="auto"/>
        </w:rPr>
        <w:t>. Baidu has the right to eliminate the distributors meeting the following circumstances to protect the core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competitiveness of overseas distributors and maintain the sustainability of Baidu overseas business. The overseas distributors eliminated shall not re-apply to become overseas distributors for two quarters.</w:t>
      </w:r>
    </w:p>
    <w:p>
      <w:pPr>
        <w:spacing w:after="0" w:line="87" w:lineRule="exact"/>
        <w:rPr>
          <w:sz w:val="20"/>
          <w:szCs w:val="20"/>
          <w:color w:val="auto"/>
        </w:rPr>
      </w:pPr>
    </w:p>
    <w:p>
      <w:pPr>
        <w:ind w:left="1140" w:hanging="565"/>
        <w:spacing w:after="0"/>
        <w:tabs>
          <w:tab w:leader="none" w:pos="11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overseas distributor fails to complete quarterly tasks for two consecutive quarters, and the task completion rate is less than 90%.</w:t>
      </w:r>
    </w:p>
    <w:p>
      <w:pPr>
        <w:spacing w:after="0" w:line="142" w:lineRule="exact"/>
        <w:rPr>
          <w:rFonts w:ascii="Arial" w:cs="Arial" w:eastAsia="Arial" w:hAnsi="Arial"/>
          <w:sz w:val="17"/>
          <w:szCs w:val="17"/>
          <w:color w:val="auto"/>
        </w:rPr>
      </w:pPr>
    </w:p>
    <w:p>
      <w:pPr>
        <w:ind w:left="1140" w:right="440" w:hanging="565"/>
        <w:spacing w:after="0" w:line="308" w:lineRule="auto"/>
        <w:tabs>
          <w:tab w:leader="none" w:pos="11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overseas distributor has significant irregularities in any quarter, including but not limited to low price competition, development or transfer in violation of relevant provisions, advertisers’ service complaints and spread of views adverse to Baidu.</w:t>
      </w:r>
    </w:p>
    <w:p>
      <w:pPr>
        <w:spacing w:after="0" w:line="51" w:lineRule="exact"/>
        <w:rPr>
          <w:rFonts w:ascii="Arial" w:cs="Arial" w:eastAsia="Arial" w:hAnsi="Arial"/>
          <w:sz w:val="17"/>
          <w:szCs w:val="17"/>
          <w:color w:val="auto"/>
        </w:rPr>
      </w:pPr>
    </w:p>
    <w:p>
      <w:pPr>
        <w:ind w:left="1140" w:right="320" w:hanging="565"/>
        <w:spacing w:after="0" w:line="308" w:lineRule="auto"/>
        <w:tabs>
          <w:tab w:leader="none" w:pos="114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overseas distributor delays in payment of fees for several times, delays in payment of any single fee for more than 30 days, delays in return of any contract, or otherwise violates Baidu’s financial system, thus impairing Baidu’s normal operation.</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 / 10</w:t>
      </w:r>
    </w:p>
    <w:p>
      <w:pPr>
        <w:sectPr>
          <w:pgSz w:w="11900" w:h="16838" w:orient="portrait"/>
          <w:cols w:equalWidth="0" w:num="1">
            <w:col w:w="11320"/>
          </w:cols>
          <w:pgMar w:left="240" w:top="949" w:right="339" w:bottom="1440" w:gutter="0" w:footer="0" w:header="0"/>
        </w:sectPr>
      </w:pPr>
    </w:p>
    <w:bookmarkStart w:id="223" w:name="page224"/>
    <w:bookmarkEnd w:id="223"/>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483870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9.2</w:t>
      </w:r>
      <w:r>
        <w:rPr>
          <w:sz w:val="20"/>
          <w:szCs w:val="20"/>
          <w:color w:val="auto"/>
        </w:rPr>
        <w:tab/>
      </w:r>
      <w:r>
        <w:rPr>
          <w:rFonts w:ascii="Arial" w:cs="Arial" w:eastAsia="Arial" w:hAnsi="Arial"/>
          <w:sz w:val="16"/>
          <w:szCs w:val="16"/>
          <w:u w:val="single" w:color="auto"/>
          <w:color w:val="auto"/>
        </w:rPr>
        <w:t>Penalties for Distributor Violations</w:t>
      </w:r>
      <w:r>
        <w:rPr>
          <w:rFonts w:ascii="Arial" w:cs="Arial" w:eastAsia="Arial" w:hAnsi="Arial"/>
          <w:sz w:val="16"/>
          <w:szCs w:val="16"/>
          <w:color w:val="auto"/>
        </w:rPr>
        <w:t>. Where any distributor commits any of (but not limited to) the following violations:</w:t>
      </w:r>
    </w:p>
    <w:p>
      <w:pPr>
        <w:spacing w:after="0" w:line="131" w:lineRule="exact"/>
        <w:rPr>
          <w:sz w:val="20"/>
          <w:szCs w:val="20"/>
          <w:color w:val="auto"/>
        </w:rPr>
      </w:pPr>
    </w:p>
    <w:p>
      <w:pPr>
        <w:ind w:left="1140" w:hanging="565"/>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distributor does not comply with the confidentiality provisions of this Contract;</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distributor spreads false information against Baidu and other competitors;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distributor delays in paying any due amount,</w:t>
      </w:r>
    </w:p>
    <w:p>
      <w:pPr>
        <w:spacing w:after="0" w:line="33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Baidu has the right to take any one or more of the following measures, depending on the severity of the violation:</w:t>
      </w:r>
    </w:p>
    <w:p>
      <w:pPr>
        <w:spacing w:after="0" w:line="131" w:lineRule="exact"/>
        <w:rPr>
          <w:sz w:val="20"/>
          <w:szCs w:val="20"/>
          <w:color w:val="auto"/>
        </w:rPr>
      </w:pPr>
    </w:p>
    <w:p>
      <w:pPr>
        <w:ind w:left="1140" w:hanging="565"/>
        <w:spacing w:after="0"/>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Warning;</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Reducing Rebates;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Cancelling Rebates;</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Cancelling the distributor’s qualification;</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Stopping release of promotions; or</w:t>
      </w:r>
    </w:p>
    <w:p>
      <w:pPr>
        <w:spacing w:after="0" w:line="130" w:lineRule="exact"/>
        <w:rPr>
          <w:rFonts w:ascii="Arial" w:cs="Arial" w:eastAsia="Arial" w:hAnsi="Arial"/>
          <w:sz w:val="18"/>
          <w:szCs w:val="18"/>
          <w:color w:val="auto"/>
        </w:rPr>
      </w:pPr>
    </w:p>
    <w:p>
      <w:pPr>
        <w:ind w:left="1140" w:hanging="565"/>
        <w:spacing w:after="0"/>
        <w:tabs>
          <w:tab w:leader="none" w:pos="114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Require payment of liquidated damages.</w:t>
      </w:r>
    </w:p>
    <w:p>
      <w:pPr>
        <w:spacing w:after="0" w:line="117" w:lineRule="exact"/>
        <w:rPr>
          <w:sz w:val="20"/>
          <w:szCs w:val="20"/>
          <w:color w:val="auto"/>
        </w:rPr>
      </w:pPr>
    </w:p>
    <w:p>
      <w:pPr>
        <w:ind w:left="580" w:right="360"/>
        <w:spacing w:after="0" w:line="277" w:lineRule="auto"/>
        <w:rPr>
          <w:sz w:val="20"/>
          <w:szCs w:val="20"/>
          <w:color w:val="auto"/>
        </w:rPr>
      </w:pPr>
      <w:r>
        <w:rPr>
          <w:rFonts w:ascii="Arial" w:cs="Arial" w:eastAsia="Arial" w:hAnsi="Arial"/>
          <w:sz w:val="18"/>
          <w:szCs w:val="18"/>
          <w:color w:val="auto"/>
        </w:rPr>
        <w:t>The distributors shall continue to perform the payment obligations in accordance with the Online Promotion Service Contract and Online Release Service Contract for each release even Baidu takes the above measures.</w:t>
      </w:r>
    </w:p>
    <w:p>
      <w:pPr>
        <w:spacing w:after="0" w:line="315" w:lineRule="exact"/>
        <w:rPr>
          <w:sz w:val="20"/>
          <w:szCs w:val="20"/>
          <w:color w:val="auto"/>
        </w:rPr>
      </w:pPr>
    </w:p>
    <w:p>
      <w:pPr>
        <w:ind w:left="580" w:hanging="572"/>
        <w:spacing w:after="0"/>
        <w:tabs>
          <w:tab w:leader="none" w:pos="5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Contract</w:t>
      </w:r>
    </w:p>
    <w:p>
      <w:pPr>
        <w:spacing w:after="0" w:line="135" w:lineRule="exact"/>
        <w:rPr>
          <w:sz w:val="20"/>
          <w:szCs w:val="20"/>
          <w:color w:val="auto"/>
        </w:rPr>
      </w:pPr>
    </w:p>
    <w:p>
      <w:pPr>
        <w:ind w:left="580" w:right="140" w:hanging="566"/>
        <w:spacing w:after="0" w:line="277" w:lineRule="auto"/>
        <w:tabs>
          <w:tab w:leader="none" w:pos="560" w:val="left"/>
        </w:tabs>
        <w:rPr>
          <w:sz w:val="20"/>
          <w:szCs w:val="20"/>
          <w:color w:val="auto"/>
        </w:rPr>
      </w:pPr>
      <w:r>
        <w:rPr>
          <w:rFonts w:ascii="Arial" w:cs="Arial" w:eastAsia="Arial" w:hAnsi="Arial"/>
          <w:sz w:val="18"/>
          <w:szCs w:val="18"/>
          <w:color w:val="auto"/>
        </w:rPr>
        <w:t>10.1</w:t>
        <w:tab/>
        <w:t>Either Party may inform the other Party 3 months in advance to early terminate this Contract, which, however, shall not affect any Online Promotion Service Contract and Online Release Service Contract that are already signed by the Parties and have taken effect.</w:t>
      </w:r>
    </w:p>
    <w:p>
      <w:pPr>
        <w:spacing w:after="0" w:line="76" w:lineRule="exact"/>
        <w:rPr>
          <w:sz w:val="20"/>
          <w:szCs w:val="20"/>
          <w:color w:val="auto"/>
        </w:rPr>
      </w:pPr>
    </w:p>
    <w:p>
      <w:pPr>
        <w:ind w:left="580" w:right="480" w:hanging="566"/>
        <w:spacing w:after="0" w:line="277" w:lineRule="auto"/>
        <w:tabs>
          <w:tab w:leader="none" w:pos="560" w:val="left"/>
        </w:tabs>
        <w:rPr>
          <w:sz w:val="20"/>
          <w:szCs w:val="20"/>
          <w:color w:val="auto"/>
        </w:rPr>
      </w:pPr>
      <w:r>
        <w:rPr>
          <w:rFonts w:ascii="Arial" w:cs="Arial" w:eastAsia="Arial" w:hAnsi="Arial"/>
          <w:sz w:val="18"/>
          <w:szCs w:val="18"/>
          <w:color w:val="auto"/>
        </w:rPr>
        <w:t>10.2</w:t>
        <w:tab/>
        <w:t>Where either Party enters the bankruptcy application or liquidation procedure and the other Party notifies early termination of this Contract, this Contract shall be terminated.</w:t>
      </w:r>
    </w:p>
    <w:p>
      <w:pPr>
        <w:spacing w:after="0" w:line="76" w:lineRule="exact"/>
        <w:rPr>
          <w:sz w:val="20"/>
          <w:szCs w:val="20"/>
          <w:color w:val="auto"/>
        </w:rPr>
      </w:pPr>
    </w:p>
    <w:p>
      <w:pPr>
        <w:ind w:left="580" w:right="360" w:hanging="566"/>
        <w:spacing w:after="0" w:line="277" w:lineRule="auto"/>
        <w:tabs>
          <w:tab w:leader="none" w:pos="560" w:val="left"/>
        </w:tabs>
        <w:rPr>
          <w:sz w:val="20"/>
          <w:szCs w:val="20"/>
          <w:color w:val="auto"/>
        </w:rPr>
      </w:pPr>
      <w:r>
        <w:rPr>
          <w:rFonts w:ascii="Arial" w:cs="Arial" w:eastAsia="Arial" w:hAnsi="Arial"/>
          <w:sz w:val="18"/>
          <w:szCs w:val="18"/>
          <w:color w:val="auto"/>
        </w:rPr>
        <w:t>10.3</w:t>
        <w:tab/>
        <w:t>Where either Party is divided or merges with any other company, the company succeeding the rights and obligations of the Party shall continue to perform this Contract.</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When the Parties fulfill the obligations herein, this Contract shall terminate automatically.</w:t>
      </w:r>
    </w:p>
    <w:p>
      <w:pPr>
        <w:spacing w:after="0" w:line="370" w:lineRule="exact"/>
        <w:rPr>
          <w:sz w:val="20"/>
          <w:szCs w:val="20"/>
          <w:color w:val="auto"/>
        </w:rPr>
      </w:pPr>
    </w:p>
    <w:p>
      <w:pPr>
        <w:ind w:left="580" w:hanging="572"/>
        <w:spacing w:after="0"/>
        <w:tabs>
          <w:tab w:leader="none" w:pos="5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11.1</w:t>
        <w:tab/>
        <w:t>The Parties shall keep strictly confidential the trade secrets and technical information of the other Party known in the performance of this Contract and shall not disclose them to any third party without the consent of the other Party.</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Parties shall keep confidential the rebate policies set forth herein.</w:t>
      </w:r>
    </w:p>
    <w:p>
      <w:pPr>
        <w:spacing w:after="0" w:line="13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The Parties shall procure their respective employees to fulfill the above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 10</w:t>
      </w:r>
    </w:p>
    <w:p>
      <w:pPr>
        <w:sectPr>
          <w:pgSz w:w="11900" w:h="16838" w:orient="portrait"/>
          <w:cols w:equalWidth="0" w:num="1">
            <w:col w:w="11420"/>
          </w:cols>
          <w:pgMar w:left="240" w:top="949" w:right="239" w:bottom="1440" w:gutter="0" w:footer="0" w:header="0"/>
        </w:sectPr>
      </w:pPr>
    </w:p>
    <w:bookmarkStart w:id="224" w:name="page225"/>
    <w:bookmarkEnd w:id="224"/>
    <w:p>
      <w:pPr>
        <w:spacing w:after="0"/>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11.4</w:t>
      </w:r>
      <w:r>
        <w:rPr>
          <w:sz w:val="20"/>
          <w:szCs w:val="20"/>
          <w:color w:val="auto"/>
        </w:rPr>
        <w:tab/>
      </w:r>
      <w:r>
        <w:rPr>
          <w:rFonts w:ascii="Arial" w:cs="Arial" w:eastAsia="Arial" w:hAnsi="Arial"/>
          <w:sz w:val="16"/>
          <w:szCs w:val="16"/>
          <w:color w:val="auto"/>
        </w:rPr>
        <w:t>The obligations in this Clause 11 shall survive the invalidity, rescission, early termination, cancellation or unenforceability of this Contract.</w:t>
      </w:r>
    </w:p>
    <w:p>
      <w:pPr>
        <w:spacing w:after="0" w:line="370" w:lineRule="exact"/>
        <w:rPr>
          <w:sz w:val="20"/>
          <w:szCs w:val="20"/>
          <w:color w:val="auto"/>
        </w:rPr>
      </w:pPr>
    </w:p>
    <w:p>
      <w:pPr>
        <w:ind w:left="580" w:hanging="572"/>
        <w:spacing w:after="0"/>
        <w:tabs>
          <w:tab w:leader="none" w:pos="58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and Party B shall settle any matters not covered by this Contract through consultation and shall sign a supplementary contract to this Contract.</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supplementary contract shall take effect after the Parties seal it and shall have the same legal effect as this Contract.</w:t>
      </w:r>
    </w:p>
    <w:p>
      <w:pPr>
        <w:spacing w:after="0" w:line="116"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12.2</w:t>
        <w:tab/>
        <w:t>Party A and Party B shall resolve any disputes arising from performance of this Contract through consultation. If the consultation fails, either Party can file a lawsuit to the competent people’s court at the place of Party A.</w:t>
      </w:r>
    </w:p>
    <w:p>
      <w:pPr>
        <w:spacing w:after="0" w:line="76" w:lineRule="exact"/>
        <w:rPr>
          <w:sz w:val="20"/>
          <w:szCs w:val="20"/>
          <w:color w:val="auto"/>
        </w:rPr>
      </w:pPr>
    </w:p>
    <w:p>
      <w:pPr>
        <w:ind w:left="580" w:right="240" w:hanging="566"/>
        <w:spacing w:after="0" w:line="277" w:lineRule="auto"/>
        <w:tabs>
          <w:tab w:leader="none" w:pos="560" w:val="left"/>
        </w:tabs>
        <w:rPr>
          <w:sz w:val="20"/>
          <w:szCs w:val="20"/>
          <w:color w:val="auto"/>
        </w:rPr>
      </w:pPr>
      <w:r>
        <w:rPr>
          <w:rFonts w:ascii="Arial" w:cs="Arial" w:eastAsia="Arial" w:hAnsi="Arial"/>
          <w:sz w:val="18"/>
          <w:szCs w:val="18"/>
          <w:color w:val="auto"/>
        </w:rPr>
        <w:t>12.3</w:t>
        <w:tab/>
        <w:t>The signing, performance, interpretation and dispute resolution of this Contract shall be governed by the laws, regulations and rules of the People’s Republic of China.</w:t>
      </w:r>
    </w:p>
    <w:p>
      <w:pPr>
        <w:spacing w:after="0" w:line="315" w:lineRule="exact"/>
        <w:rPr>
          <w:sz w:val="20"/>
          <w:szCs w:val="20"/>
          <w:color w:val="auto"/>
        </w:rPr>
      </w:pPr>
    </w:p>
    <w:p>
      <w:pPr>
        <w:ind w:left="580" w:hanging="572"/>
        <w:spacing w:after="0"/>
        <w:tabs>
          <w:tab w:leader="none" w:pos="58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Contract</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This Contract is made in duplicate with each party holding one. All counterparts have the same legal effect.</w:t>
      </w:r>
    </w:p>
    <w:p>
      <w:pPr>
        <w:spacing w:after="0" w:line="131" w:lineRule="exact"/>
        <w:rPr>
          <w:sz w:val="20"/>
          <w:szCs w:val="20"/>
          <w:color w:val="auto"/>
        </w:rPr>
      </w:pPr>
    </w:p>
    <w:p>
      <w:pPr>
        <w:jc w:val="both"/>
        <w:ind w:left="580" w:right="160" w:hanging="566"/>
        <w:spacing w:after="0" w:line="264" w:lineRule="auto"/>
        <w:tabs>
          <w:tab w:leader="none" w:pos="560" w:val="left"/>
        </w:tabs>
        <w:rPr>
          <w:sz w:val="20"/>
          <w:szCs w:val="20"/>
          <w:color w:val="auto"/>
        </w:rPr>
      </w:pPr>
      <w:r>
        <w:rPr>
          <w:rFonts w:ascii="Arial" w:cs="Arial" w:eastAsia="Arial" w:hAnsi="Arial"/>
          <w:sz w:val="18"/>
          <w:szCs w:val="18"/>
          <w:color w:val="auto"/>
        </w:rPr>
        <w:t>13.2</w:t>
        <w:tab/>
        <w:t>This Contract shall become effective when the representatives of the Parties affix it with their contract seals or common seals. If the commencement date of the cooperation set forth in this Contract is earlier than the effective date of this Contract, the rights and obligations shall be performed from the commencement date of the cooperation according to this Contract.</w:t>
      </w:r>
    </w:p>
    <w:p>
      <w:pPr>
        <w:spacing w:after="0" w:line="87" w:lineRule="exact"/>
        <w:rPr>
          <w:sz w:val="20"/>
          <w:szCs w:val="20"/>
          <w:color w:val="auto"/>
        </w:rPr>
      </w:pPr>
    </w:p>
    <w:p>
      <w:pPr>
        <w:ind w:left="580" w:right="320" w:hanging="566"/>
        <w:spacing w:after="0" w:line="277" w:lineRule="auto"/>
        <w:tabs>
          <w:tab w:leader="none" w:pos="560" w:val="left"/>
        </w:tabs>
        <w:rPr>
          <w:sz w:val="20"/>
          <w:szCs w:val="20"/>
          <w:color w:val="auto"/>
        </w:rPr>
      </w:pPr>
      <w:r>
        <w:rPr>
          <w:rFonts w:ascii="Arial" w:cs="Arial" w:eastAsia="Arial" w:hAnsi="Arial"/>
          <w:sz w:val="18"/>
          <w:szCs w:val="18"/>
          <w:color w:val="auto"/>
        </w:rPr>
        <w:t>13.3</w:t>
        <w:tab/>
        <w:t>If any provision of this Contract conflicts with existing laws and regulations, the Parties may amend it without affecting the overall validity of this Contract.</w:t>
      </w:r>
    </w:p>
    <w:p>
      <w:pPr>
        <w:spacing w:after="0" w:line="76" w:lineRule="exact"/>
        <w:rPr>
          <w:sz w:val="20"/>
          <w:szCs w:val="20"/>
          <w:color w:val="auto"/>
        </w:rPr>
      </w:pPr>
    </w:p>
    <w:p>
      <w:pPr>
        <w:ind w:left="580" w:right="780" w:hanging="566"/>
        <w:spacing w:after="0" w:line="277" w:lineRule="auto"/>
        <w:tabs>
          <w:tab w:leader="none" w:pos="560" w:val="left"/>
        </w:tabs>
        <w:rPr>
          <w:sz w:val="20"/>
          <w:szCs w:val="20"/>
          <w:color w:val="auto"/>
        </w:rPr>
      </w:pPr>
      <w:r>
        <w:rPr>
          <w:rFonts w:ascii="Arial" w:cs="Arial" w:eastAsia="Arial" w:hAnsi="Arial"/>
          <w:sz w:val="18"/>
          <w:szCs w:val="18"/>
          <w:color w:val="auto"/>
        </w:rPr>
        <w:t>13.4</w:t>
        <w:tab/>
        <w:t>If this Contract terminates after it is fully performed, it shall not affect either Party’s right to seek liabilities to be borne by the other Party in accordance with relevant provisions of this Contract.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 / 10</w:t>
      </w:r>
    </w:p>
    <w:p>
      <w:pPr>
        <w:sectPr>
          <w:pgSz w:w="11900" w:h="16838" w:orient="portrait"/>
          <w:cols w:equalWidth="0" w:num="1">
            <w:col w:w="11420"/>
          </w:cols>
          <w:pgMar w:left="240" w:top="949" w:right="239" w:bottom="1440" w:gutter="0" w:footer="0" w:header="0"/>
        </w:sectPr>
      </w:pPr>
    </w:p>
    <w:bookmarkStart w:id="225" w:name="page226"/>
    <w:bookmarkEnd w:id="225"/>
    <w:p>
      <w:pPr>
        <w:ind w:left="35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260350</wp:posOffset>
            </wp:positionH>
            <wp:positionV relativeFrom="page">
              <wp:posOffset>183515</wp:posOffset>
            </wp:positionV>
            <wp:extent cx="900430" cy="25717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900430" cy="257175"/>
                    </a:xfrm>
                    <a:prstGeom prst="rect">
                      <a:avLst/>
                    </a:prstGeom>
                    <a:noFill/>
                  </pic:spPr>
                </pic:pic>
              </a:graphicData>
            </a:graphic>
          </wp:anchor>
        </w:drawing>
        <w:t>(Signature page of Baidu Distributor Cooperation Contract)</w:t>
      </w:r>
    </w:p>
    <w:p>
      <w:pPr>
        <w:sectPr>
          <w:pgSz w:w="11900" w:h="16838" w:orient="portrait"/>
          <w:cols w:equalWidth="0" w:num="1">
            <w:col w:w="10219"/>
          </w:cols>
          <w:pgMar w:left="240" w:top="949" w:right="1440"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4299"/>
        <w:spacing w:after="0"/>
        <w:rPr>
          <w:sz w:val="20"/>
          <w:szCs w:val="20"/>
          <w:color w:val="auto"/>
        </w:rPr>
      </w:pPr>
      <w:r>
        <w:rPr>
          <w:rFonts w:ascii="Arial" w:cs="Arial" w:eastAsia="Arial" w:hAnsi="Arial"/>
          <w:sz w:val="17"/>
          <w:szCs w:val="17"/>
          <w:b w:val="1"/>
          <w:bCs w:val="1"/>
          <w:color w:val="auto"/>
        </w:rPr>
        <w:t>Party B:</w:t>
      </w:r>
    </w:p>
    <w:p>
      <w:pPr>
        <w:spacing w:after="0" w:line="200" w:lineRule="exact"/>
        <w:rPr>
          <w:sz w:val="20"/>
          <w:szCs w:val="20"/>
          <w:color w:val="auto"/>
        </w:rPr>
      </w:pPr>
    </w:p>
    <w:p>
      <w:pPr>
        <w:sectPr>
          <w:pgSz w:w="11900" w:h="16838" w:orient="portrait"/>
          <w:cols w:equalWidth="0" w:num="2">
            <w:col w:w="4540" w:space="720"/>
            <w:col w:w="4959"/>
          </w:cols>
          <w:pgMar w:left="240" w:top="949" w:right="1440"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(Company seal: /s/ BAIDU (HONGKONG) LIMITED)</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seal: /s/ China Search (Asia) Ltd)</w:t>
      </w:r>
    </w:p>
    <w:p>
      <w:pPr>
        <w:spacing w:after="0" w:line="211" w:lineRule="exact"/>
        <w:rPr>
          <w:sz w:val="20"/>
          <w:szCs w:val="20"/>
          <w:color w:val="auto"/>
        </w:rPr>
      </w:pPr>
    </w:p>
    <w:p>
      <w:pPr>
        <w:sectPr>
          <w:pgSz w:w="11900" w:h="16838" w:orient="portrait"/>
          <w:cols w:equalWidth="0" w:num="2">
            <w:col w:w="4540" w:space="720"/>
            <w:col w:w="4959"/>
          </w:cols>
          <w:pgMar w:left="240" w:top="949" w:right="1440" w:bottom="1440" w:gutter="0" w:footer="0" w:header="0"/>
          <w:type w:val="continuous"/>
        </w:sectPr>
      </w:pPr>
    </w:p>
    <w:p>
      <w:pPr>
        <w:spacing w:after="0" w:line="37"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/s/ Wing Hong Sammy Hsieh</w:t>
      </w:r>
    </w:p>
    <w:p>
      <w:pPr>
        <w:sectPr>
          <w:pgSz w:w="11900" w:h="16838" w:orient="portrait"/>
          <w:cols w:equalWidth="0" w:num="1">
            <w:col w:w="10219"/>
          </w:cols>
          <w:pgMar w:left="240" w:top="949" w:right="1440" w:bottom="144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2018</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9, 2018</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 / 10</w:t>
      </w:r>
    </w:p>
    <w:p>
      <w:pPr>
        <w:sectPr>
          <w:pgSz w:w="11900" w:h="16838" w:orient="portrait"/>
          <w:cols w:equalWidth="0" w:num="2">
            <w:col w:w="4540" w:space="720"/>
            <w:col w:w="4959"/>
          </w:cols>
          <w:pgMar w:left="240" w:top="949" w:right="1440" w:bottom="1440" w:gutter="0" w:footer="0" w:header="0"/>
          <w:type w:val="continuous"/>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 of iClick Interactive Asia Group Limited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4760" w:type="dxa"/>
            <w:vAlign w:val="bottom"/>
          </w:tcPr>
          <w:p>
            <w:pPr>
              <w:jc w:val="center"/>
              <w:spacing w:after="0"/>
              <w:rPr>
                <w:sz w:val="20"/>
                <w:szCs w:val="20"/>
                <w:color w:val="auto"/>
              </w:rPr>
            </w:pPr>
            <w:r>
              <w:rPr>
                <w:rFonts w:ascii="Arial" w:cs="Arial" w:eastAsia="Arial" w:hAnsi="Arial"/>
                <w:sz w:val="14"/>
                <w:szCs w:val="14"/>
                <w:b w:val="1"/>
                <w:bCs w:val="1"/>
                <w:color w:val="auto"/>
                <w:w w:val="93"/>
              </w:rPr>
              <w:t>Place of Incorporation</w:t>
            </w:r>
          </w:p>
        </w:tc>
      </w:tr>
      <w:tr>
        <w:trPr>
          <w:trHeight w:val="195"/>
        </w:trPr>
        <w:tc>
          <w:tcPr>
            <w:tcW w:w="2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Optimix Media Asia Limited</w:t>
            </w:r>
          </w:p>
        </w:tc>
        <w:tc>
          <w:tcPr>
            <w:tcW w:w="340" w:type="dxa"/>
            <w:vAlign w:val="bottom"/>
          </w:tcPr>
          <w:p>
            <w:pPr>
              <w:spacing w:after="0"/>
              <w:rPr>
                <w:sz w:val="16"/>
                <w:szCs w:val="16"/>
                <w:color w:val="auto"/>
              </w:rPr>
            </w:pPr>
          </w:p>
        </w:tc>
        <w:tc>
          <w:tcPr>
            <w:tcW w:w="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6"/>
                <w:szCs w:val="16"/>
                <w:color w:val="auto"/>
              </w:rPr>
            </w:pPr>
          </w:p>
        </w:tc>
        <w:tc>
          <w:tcPr>
            <w:tcW w:w="4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Hong Kong</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iClick Interactive Asia Limited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Digital Marketing Group Limited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Tetris Media Limited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iClick Interactive (Singapore) Pte. Ltd.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87"/>
              </w:rPr>
              <w:t>Singapore</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Performance Media Group Limited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iClick Interactive (Beijing) Advertisement Co., Ltd.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Tetris Media (Shanghai) Co., Ltd.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Diablo Holdings Corporation</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4"/>
              </w:rPr>
              <w:t>British Virgin Islands</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Harmanttan Capital Holdings Corporation</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4"/>
              </w:rPr>
              <w:t>British Virgin Islands</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China Search (Asia) Limited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Search Asia Technology (Shenzhen) Co., Ltd.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Buzzinate Company Limited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OptAim Ltd.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89"/>
              </w:rPr>
              <w:t>Cayman Islands</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OptAim (HK) Limited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3"/>
              </w:rPr>
              <w:t>Hong Kong</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OptAim (Beijing) Information Technology Co., Ltd.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Anhui Zhiyunzhong Information Technology Co., Ltd.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Beijing OptAim Network Technology Co., Ltd.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r>
              <w:rPr>
                <w:rFonts w:ascii="Arial" w:cs="Arial" w:eastAsia="Arial" w:hAnsi="Arial"/>
                <w:sz w:val="15"/>
                <w:szCs w:val="15"/>
                <w:color w:val="auto"/>
                <w:w w:val="91"/>
              </w:rPr>
              <w:t>1</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5580" w:type="dxa"/>
            <w:vAlign w:val="bottom"/>
            <w:gridSpan w:val="3"/>
          </w:tcPr>
          <w:p>
            <w:pPr>
              <w:spacing w:after="0"/>
              <w:rPr>
                <w:sz w:val="20"/>
                <w:szCs w:val="20"/>
                <w:color w:val="auto"/>
              </w:rPr>
            </w:pPr>
            <w:r>
              <w:rPr>
                <w:rFonts w:ascii="Arial" w:cs="Arial" w:eastAsia="Arial" w:hAnsi="Arial"/>
                <w:sz w:val="18"/>
                <w:szCs w:val="18"/>
                <w:color w:val="auto"/>
              </w:rPr>
              <w:t>Zhiyunzhong (Shanghai) Technology Co., Ltd.</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r>
              <w:rPr>
                <w:rFonts w:ascii="Arial" w:cs="Arial" w:eastAsia="Arial" w:hAnsi="Arial"/>
                <w:sz w:val="15"/>
                <w:szCs w:val="15"/>
                <w:color w:val="auto"/>
                <w:w w:val="91"/>
              </w:rPr>
              <w:t>2</w:t>
            </w:r>
          </w:p>
        </w:tc>
        <w:tc>
          <w:tcPr>
            <w:tcW w:w="34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r>
      <w:tr>
        <w:trPr>
          <w:trHeight w:val="230"/>
        </w:trPr>
        <w:tc>
          <w:tcPr>
            <w:tcW w:w="5580" w:type="dxa"/>
            <w:vAlign w:val="bottom"/>
            <w:gridSpan w:val="3"/>
          </w:tcPr>
          <w:p>
            <w:pPr>
              <w:spacing w:after="0"/>
              <w:rPr>
                <w:sz w:val="20"/>
                <w:szCs w:val="20"/>
                <w:color w:val="auto"/>
              </w:rPr>
            </w:pPr>
            <w:r>
              <w:rPr>
                <w:rFonts w:ascii="Arial" w:cs="Arial" w:eastAsia="Arial" w:hAnsi="Arial"/>
                <w:sz w:val="18"/>
                <w:szCs w:val="18"/>
                <w:color w:val="auto"/>
              </w:rPr>
              <w:t>i-Click Interactive Taiwan Limited Taiwan Branch</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100%</w:t>
            </w:r>
            <w:r>
              <w:rPr>
                <w:rFonts w:ascii="Arial" w:cs="Arial" w:eastAsia="Arial" w:hAnsi="Arial"/>
                <w:sz w:val="15"/>
                <w:szCs w:val="15"/>
                <w:color w:val="auto"/>
                <w:w w:val="91"/>
              </w:rPr>
              <w:t>3</w:t>
            </w:r>
          </w:p>
        </w:tc>
        <w:tc>
          <w:tcPr>
            <w:tcW w:w="34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89"/>
              </w:rPr>
              <w:t>Taiwan</w:t>
            </w:r>
          </w:p>
        </w:tc>
      </w:tr>
    </w:tbl>
    <w:p>
      <w:pPr>
        <w:spacing w:after="0" w:line="229" w:lineRule="exact"/>
        <w:rPr>
          <w:sz w:val="20"/>
          <w:szCs w:val="20"/>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VIE.</w:t>
      </w:r>
    </w:p>
    <w:p>
      <w:pPr>
        <w:spacing w:after="0" w:line="23" w:lineRule="exact"/>
        <w:rPr>
          <w:sz w:val="20"/>
          <w:szCs w:val="20"/>
          <w:color w:val="auto"/>
        </w:rPr>
      </w:pPr>
    </w:p>
    <w:p>
      <w:pPr>
        <w:ind w:left="460" w:hanging="452"/>
        <w:spacing w:after="0"/>
        <w:tabs>
          <w:tab w:leader="none" w:pos="4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VIE’s subsidiary.</w:t>
      </w:r>
    </w:p>
    <w:p>
      <w:pPr>
        <w:spacing w:after="0" w:line="9"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VIE subsidiary’s branch.</w:t>
      </w:r>
    </w:p>
    <w:p>
      <w:pPr>
        <w:sectPr>
          <w:pgSz w:w="11900" w:h="16838" w:orient="portrait"/>
          <w:cols w:equalWidth="0" w:num="1">
            <w:col w:w="11420"/>
          </w:cols>
          <w:pgMar w:left="240" w:top="121"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Wing Hong Sammy Hsieh, certify that:</w:t>
      </w:r>
    </w:p>
    <w:p>
      <w:pPr>
        <w:spacing w:after="0" w:line="131"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iClick Interactive Asia Group Limited;</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700" w:hanging="452"/>
        <w:spacing w:after="0" w:line="277"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jc w:val="both"/>
        <w:ind w:left="900" w:right="400" w:hanging="446"/>
        <w:spacing w:after="0" w:line="342" w:lineRule="auto"/>
        <w:tabs>
          <w:tab w:leader="none" w:pos="90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29" w:lineRule="exact"/>
        <w:rPr>
          <w:rFonts w:ascii="Arial" w:cs="Arial" w:eastAsia="Arial" w:hAnsi="Arial"/>
          <w:sz w:val="16"/>
          <w:szCs w:val="16"/>
          <w:color w:val="auto"/>
        </w:rPr>
      </w:pPr>
    </w:p>
    <w:p>
      <w:pPr>
        <w:ind w:left="460" w:right="400" w:hanging="452"/>
        <w:spacing w:after="0" w:line="308" w:lineRule="auto"/>
        <w:tabs>
          <w:tab w:leader="none" w:pos="4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2018</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Wing Hong Sammy Hsieh</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Jie Jiao, certify that:</w:t>
      </w:r>
    </w:p>
    <w:p>
      <w:pPr>
        <w:spacing w:after="0" w:line="131" w:lineRule="exact"/>
        <w:rPr>
          <w:sz w:val="20"/>
          <w:szCs w:val="20"/>
          <w:color w:val="auto"/>
        </w:rPr>
      </w:pPr>
    </w:p>
    <w:p>
      <w:pPr>
        <w:ind w:left="900" w:hanging="446"/>
        <w:spacing w:after="0"/>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iClick Interactive Asia Group Limited;</w:t>
      </w:r>
    </w:p>
    <w:p>
      <w:pPr>
        <w:spacing w:after="0" w:line="130" w:lineRule="exact"/>
        <w:rPr>
          <w:rFonts w:ascii="Arial" w:cs="Arial" w:eastAsia="Arial" w:hAnsi="Arial"/>
          <w:sz w:val="18"/>
          <w:szCs w:val="18"/>
          <w:color w:val="auto"/>
        </w:rPr>
      </w:pPr>
    </w:p>
    <w:p>
      <w:pPr>
        <w:jc w:val="both"/>
        <w:ind w:left="900" w:right="40" w:hanging="446"/>
        <w:spacing w:after="0" w:line="264"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900" w:right="20" w:hanging="446"/>
        <w:spacing w:after="0" w:line="308" w:lineRule="auto"/>
        <w:tabs>
          <w:tab w:leader="none" w:pos="90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900" w:right="260" w:hanging="446"/>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75" w:lineRule="exact"/>
        <w:rPr>
          <w:rFonts w:ascii="Arial" w:cs="Arial" w:eastAsia="Arial" w:hAnsi="Arial"/>
          <w:sz w:val="18"/>
          <w:szCs w:val="18"/>
          <w:color w:val="auto"/>
        </w:rPr>
      </w:pPr>
    </w:p>
    <w:p>
      <w:pPr>
        <w:ind w:left="1480" w:right="160" w:hanging="567"/>
        <w:spacing w:after="0" w:line="264" w:lineRule="auto"/>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480" w:hanging="567"/>
        <w:spacing w:after="0"/>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30" w:lineRule="exact"/>
        <w:rPr>
          <w:rFonts w:ascii="Arial" w:cs="Arial" w:eastAsia="Arial" w:hAnsi="Arial"/>
          <w:sz w:val="18"/>
          <w:szCs w:val="18"/>
          <w:color w:val="auto"/>
        </w:rPr>
      </w:pPr>
    </w:p>
    <w:p>
      <w:pPr>
        <w:jc w:val="both"/>
        <w:ind w:left="1480" w:right="220" w:hanging="567"/>
        <w:spacing w:after="0" w:line="342" w:lineRule="auto"/>
        <w:tabs>
          <w:tab w:leader="none" w:pos="148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480" w:right="120" w:hanging="567"/>
        <w:spacing w:after="0" w:line="264" w:lineRule="auto"/>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86" w:lineRule="exact"/>
        <w:rPr>
          <w:rFonts w:ascii="Arial" w:cs="Arial" w:eastAsia="Arial" w:hAnsi="Arial"/>
          <w:sz w:val="18"/>
          <w:szCs w:val="18"/>
          <w:color w:val="auto"/>
        </w:rPr>
      </w:pPr>
    </w:p>
    <w:p>
      <w:pPr>
        <w:ind w:left="900" w:right="220" w:hanging="446"/>
        <w:spacing w:after="0" w:line="342" w:lineRule="auto"/>
        <w:tabs>
          <w:tab w:leader="none" w:pos="90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29" w:lineRule="exact"/>
        <w:rPr>
          <w:rFonts w:ascii="Arial" w:cs="Arial" w:eastAsia="Arial" w:hAnsi="Arial"/>
          <w:sz w:val="16"/>
          <w:szCs w:val="16"/>
          <w:color w:val="auto"/>
        </w:rPr>
      </w:pPr>
    </w:p>
    <w:p>
      <w:pPr>
        <w:ind w:left="1480" w:right="460" w:hanging="567"/>
        <w:spacing w:after="0" w:line="342" w:lineRule="auto"/>
        <w:tabs>
          <w:tab w:leader="none" w:pos="148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9" w:lineRule="exact"/>
        <w:rPr>
          <w:rFonts w:ascii="Arial" w:cs="Arial" w:eastAsia="Arial" w:hAnsi="Arial"/>
          <w:sz w:val="16"/>
          <w:szCs w:val="16"/>
          <w:color w:val="auto"/>
        </w:rPr>
      </w:pPr>
    </w:p>
    <w:p>
      <w:pPr>
        <w:ind w:left="1480" w:right="160" w:hanging="567"/>
        <w:spacing w:after="0" w:line="277" w:lineRule="auto"/>
        <w:tabs>
          <w:tab w:leader="none" w:pos="148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Jie Jiao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 Jie Jiao</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In connection with the Annual Report of (the “Company”) on Form 20-F for the fiscal year ended December 31, 2017 as filed with the Securities and Exchange Commission on the date hereof (the “Report”), I, Wing Hong Sammy Hsieh, Chief Executive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2018</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Wing Hong Sammy Hsieh</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connection with the Annual Report of iClick Interactive Asia Group Limited (the “Company”) on Form 20-F for the fiscal year ended December 31, 2017 as filed with the Securities and Exchange Commission on the date hereof (the “Report”), I, Jie Jiao, Chief Financial Officer of the Company, certify, pursuant to 18 U.S.C. Section 1350, as adopted pursuant to Section 906 of the Sarbanes-Oxley Act of 2002, that to my knowledge:</w:t>
      </w:r>
    </w:p>
    <w:p>
      <w:pPr>
        <w:spacing w:after="0" w:line="71" w:lineRule="exact"/>
        <w:rPr>
          <w:sz w:val="20"/>
          <w:szCs w:val="20"/>
          <w:color w:val="auto"/>
        </w:rPr>
      </w:pPr>
    </w:p>
    <w:p>
      <w:pPr>
        <w:ind w:left="900" w:hanging="446"/>
        <w:spacing w:after="0"/>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Jie Jiao</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Jie Jiao</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171450</wp:posOffset>
            </wp:positionV>
            <wp:extent cx="3978910" cy="13722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397891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April 20,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reference to our firm under the headings “Item 3. Key Information — D. Risk Factors—Risks Related to Our Corporate Structure” “Item 4. Information On the Company — B. Business Overview — Regulation — Regulations on Foreign-related Surveys Measures” “Item 4. Information On the Company — C. Organizational Structure” in the Annual Report of iClick Interactive Asia Group Limited on Form 20-F for the year ended December 31, 2017, which will be filed with the Securities and Exchange Commission in the month of April 2018.</w:t>
      </w:r>
    </w:p>
    <w:p>
      <w:pPr>
        <w:spacing w:after="0" w:line="18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Jingtian &amp; Gongcheng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DF6A55"/>
    <w:multiLevelType w:val="hybridMultilevel"/>
    <w:lvl w:ilvl="0">
      <w:lvlJc w:val="left"/>
      <w:lvlText w:val="☐"/>
      <w:numFmt w:val="bullet"/>
      <w:start w:val="1"/>
    </w:lvl>
  </w:abstractNum>
  <w:abstractNum w:abstractNumId="1">
    <w:nsid w:val="39B7AAA2"/>
    <w:multiLevelType w:val="hybridMultilevel"/>
    <w:lvl w:ilvl="0">
      <w:lvlJc w:val="left"/>
      <w:lvlText w:val="☒"/>
      <w:numFmt w:val="bullet"/>
      <w:start w:val="1"/>
    </w:lvl>
  </w:abstractNum>
  <w:abstractNum w:abstractNumId="2">
    <w:nsid w:val="2B0D8DBE"/>
    <w:multiLevelType w:val="hybridMultilevel"/>
    <w:lvl w:ilvl="0">
      <w:lvlJc w:val="left"/>
      <w:lvlText w:val="☐"/>
      <w:numFmt w:val="bullet"/>
      <w:start w:val="1"/>
    </w:lvl>
  </w:abstractNum>
  <w:abstractNum w:abstractNumId="3">
    <w:nsid w:val="6C80EC70"/>
    <w:multiLevelType w:val="hybridMultilevel"/>
    <w:lvl w:ilvl="0">
      <w:lvlJc w:val="left"/>
      <w:lvlText w:val="☐"/>
      <w:numFmt w:val="bullet"/>
      <w:start w:val="1"/>
    </w:lvl>
  </w:abstractNum>
  <w:abstractNum w:abstractNumId="4">
    <w:nsid w:val="379E21B5"/>
    <w:multiLevelType w:val="hybridMultilevel"/>
    <w:lvl w:ilvl="0">
      <w:lvlJc w:val="left"/>
      <w:lvlText w:val="†"/>
      <w:numFmt w:val="bullet"/>
      <w:start w:val="1"/>
    </w:lvl>
  </w:abstractNum>
  <w:abstractNum w:abstractNumId="5">
    <w:nsid w:val="69E373"/>
    <w:multiLevelType w:val="hybridMultilevel"/>
    <w:lvl w:ilvl="0">
      <w:lvlJc w:val="left"/>
      <w:lvlText w:val="•"/>
      <w:numFmt w:val="bullet"/>
      <w:start w:val="1"/>
    </w:lvl>
  </w:abstractNum>
  <w:abstractNum w:abstractNumId="6">
    <w:nsid w:val="2C27173B"/>
    <w:multiLevelType w:val="hybridMultilevel"/>
    <w:lvl w:ilvl="0">
      <w:lvlJc w:val="left"/>
      <w:lvlText w:val="•"/>
      <w:numFmt w:val="bullet"/>
      <w:start w:val="1"/>
    </w:lvl>
  </w:abstractNum>
  <w:abstractNum w:abstractNumId="7">
    <w:nsid w:val="4C9B0904"/>
    <w:multiLevelType w:val="hybridMultilevel"/>
    <w:lvl w:ilvl="0">
      <w:lvlJc w:val="left"/>
      <w:lvlText w:val="(%1)"/>
      <w:numFmt w:val="decimal"/>
      <w:start w:val="1"/>
    </w:lvl>
  </w:abstractNum>
  <w:abstractNum w:abstractNumId="8">
    <w:nsid w:val="6AA7B75C"/>
    <w:multiLevelType w:val="hybridMultilevel"/>
    <w:lvl w:ilvl="0">
      <w:lvlJc w:val="left"/>
      <w:lvlText w:val="(%1)"/>
      <w:numFmt w:val="decimal"/>
      <w:start w:val="1"/>
    </w:lvl>
  </w:abstractNum>
  <w:abstractNum w:abstractNumId="9">
    <w:nsid w:val="1DF029D3"/>
    <w:multiLevelType w:val="hybridMultilevel"/>
    <w:lvl w:ilvl="0">
      <w:lvlJc w:val="left"/>
      <w:lvlText w:val="•"/>
      <w:numFmt w:val="bullet"/>
      <w:start w:val="1"/>
    </w:lvl>
  </w:abstractNum>
  <w:abstractNum w:abstractNumId="10">
    <w:nsid w:val="5675FF36"/>
    <w:multiLevelType w:val="hybridMultilevel"/>
    <w:lvl w:ilvl="0">
      <w:lvlJc w:val="left"/>
      <w:lvlText w:val="•"/>
      <w:numFmt w:val="bullet"/>
      <w:start w:val="1"/>
    </w:lvl>
  </w:abstractNum>
  <w:abstractNum w:abstractNumId="11">
    <w:nsid w:val="3DD15094"/>
    <w:multiLevelType w:val="hybridMultilevel"/>
    <w:lvl w:ilvl="0">
      <w:lvlJc w:val="left"/>
      <w:lvlText w:val="•"/>
      <w:numFmt w:val="bullet"/>
      <w:start w:val="1"/>
    </w:lvl>
  </w:abstractNum>
  <w:abstractNum w:abstractNumId="12">
    <w:nsid w:val="3DB012B3"/>
    <w:multiLevelType w:val="hybridMultilevel"/>
    <w:lvl w:ilvl="0">
      <w:lvlJc w:val="left"/>
      <w:lvlText w:val="•"/>
      <w:numFmt w:val="bullet"/>
      <w:start w:val="1"/>
    </w:lvl>
  </w:abstractNum>
  <w:abstractNum w:abstractNumId="13">
    <w:nsid w:val="2708C9AF"/>
    <w:multiLevelType w:val="hybridMultilevel"/>
    <w:lvl w:ilvl="0">
      <w:lvlJc w:val="left"/>
      <w:lvlText w:val="•"/>
      <w:numFmt w:val="bullet"/>
      <w:start w:val="1"/>
    </w:lvl>
  </w:abstractNum>
  <w:abstractNum w:abstractNumId="14">
    <w:nsid w:val="5B25ACE2"/>
    <w:multiLevelType w:val="hybridMultilevel"/>
    <w:lvl w:ilvl="0">
      <w:lvlJc w:val="left"/>
      <w:lvlText w:val="(%1)"/>
      <w:numFmt w:val="lowerRoman"/>
      <w:start w:val="1"/>
    </w:lvl>
  </w:abstractNum>
  <w:abstractNum w:abstractNumId="15">
    <w:nsid w:val="175DFCF0"/>
    <w:multiLevelType w:val="hybridMultilevel"/>
    <w:lvl w:ilvl="0">
      <w:lvlJc w:val="left"/>
      <w:lvlText w:val="(%1)"/>
      <w:numFmt w:val="lowerRoman"/>
      <w:start w:val="3"/>
    </w:lvl>
  </w:abstractNum>
  <w:abstractNum w:abstractNumId="16">
    <w:nsid w:val="4F97E3E4"/>
    <w:multiLevelType w:val="hybridMultilevel"/>
    <w:lvl w:ilvl="0">
      <w:lvlJc w:val="left"/>
      <w:lvlText w:val="%1."/>
      <w:numFmt w:val="decimal"/>
      <w:start w:val="19"/>
    </w:lvl>
  </w:abstractNum>
  <w:abstractNum w:abstractNumId="17">
    <w:nsid w:val="53B0A9E"/>
    <w:multiLevelType w:val="hybridMultilevel"/>
    <w:lvl w:ilvl="0">
      <w:lvlJc w:val="left"/>
      <w:lvlText w:val="•"/>
      <w:numFmt w:val="bullet"/>
      <w:start w:val="1"/>
    </w:lvl>
  </w:abstractNum>
  <w:abstractNum w:abstractNumId="18">
    <w:nsid w:val="34FD6B4F"/>
    <w:multiLevelType w:val="hybridMultilevel"/>
    <w:lvl w:ilvl="0">
      <w:lvlJc w:val="left"/>
      <w:lvlText w:val="•"/>
      <w:numFmt w:val="bullet"/>
      <w:start w:val="1"/>
    </w:lvl>
  </w:abstractNum>
  <w:abstractNum w:abstractNumId="19">
    <w:nsid w:val="5915FF32"/>
    <w:multiLevelType w:val="hybridMultilevel"/>
    <w:lvl w:ilvl="0">
      <w:lvlJc w:val="left"/>
      <w:lvlText w:val="•"/>
      <w:numFmt w:val="bullet"/>
      <w:start w:val="1"/>
    </w:lvl>
  </w:abstractNum>
  <w:abstractNum w:abstractNumId="20">
    <w:nsid w:val="56438D15"/>
    <w:multiLevelType w:val="hybridMultilevel"/>
    <w:lvl w:ilvl="0">
      <w:lvlJc w:val="left"/>
      <w:lvlText w:val="•"/>
      <w:numFmt w:val="bullet"/>
      <w:start w:val="1"/>
    </w:lvl>
  </w:abstractNum>
  <w:abstractNum w:abstractNumId="21">
    <w:nsid w:val="519E3149"/>
    <w:multiLevelType w:val="hybridMultilevel"/>
    <w:lvl w:ilvl="0">
      <w:lvlJc w:val="left"/>
      <w:lvlText w:val="•"/>
      <w:numFmt w:val="bullet"/>
      <w:start w:val="1"/>
    </w:lvl>
  </w:abstractNum>
  <w:abstractNum w:abstractNumId="22">
    <w:nsid w:val="2C6E4AFD"/>
    <w:multiLevelType w:val="hybridMultilevel"/>
    <w:lvl w:ilvl="0">
      <w:lvlJc w:val="left"/>
      <w:lvlText w:val="•"/>
      <w:numFmt w:val="bullet"/>
      <w:start w:val="1"/>
    </w:lvl>
  </w:abstractNum>
  <w:abstractNum w:abstractNumId="23">
    <w:nsid w:val="17A1B582"/>
    <w:multiLevelType w:val="hybridMultilevel"/>
    <w:lvl w:ilvl="0">
      <w:lvlJc w:val="left"/>
      <w:lvlText w:val="•"/>
      <w:numFmt w:val="bullet"/>
      <w:start w:val="1"/>
    </w:lvl>
  </w:abstractNum>
  <w:abstractNum w:abstractNumId="24">
    <w:nsid w:val="4DF72E4E"/>
    <w:multiLevelType w:val="hybridMultilevel"/>
    <w:lvl w:ilvl="0">
      <w:lvlJc w:val="left"/>
      <w:lvlText w:val="•"/>
      <w:numFmt w:val="bullet"/>
      <w:start w:val="1"/>
    </w:lvl>
  </w:abstractNum>
  <w:abstractNum w:abstractNumId="25">
    <w:nsid w:val="5046B5A9"/>
    <w:multiLevelType w:val="hybridMultilevel"/>
    <w:lvl w:ilvl="0">
      <w:lvlJc w:val="left"/>
      <w:lvlText w:val="•"/>
      <w:numFmt w:val="bullet"/>
      <w:start w:val="1"/>
    </w:lvl>
  </w:abstractNum>
  <w:abstractNum w:abstractNumId="26">
    <w:nsid w:val="5D888A08"/>
    <w:multiLevelType w:val="hybridMultilevel"/>
    <w:lvl w:ilvl="0">
      <w:lvlJc w:val="left"/>
      <w:lvlText w:val="•"/>
      <w:numFmt w:val="bullet"/>
      <w:start w:val="1"/>
    </w:lvl>
  </w:abstractNum>
  <w:abstractNum w:abstractNumId="27">
    <w:nsid w:val="2A082C70"/>
    <w:multiLevelType w:val="hybridMultilevel"/>
    <w:lvl w:ilvl="0">
      <w:lvlJc w:val="left"/>
      <w:lvlText w:val="•"/>
      <w:numFmt w:val="bullet"/>
      <w:start w:val="1"/>
    </w:lvl>
  </w:abstractNum>
  <w:abstractNum w:abstractNumId="28">
    <w:nsid w:val="5EC6AFD4"/>
    <w:multiLevelType w:val="hybridMultilevel"/>
    <w:lvl w:ilvl="0">
      <w:lvlJc w:val="left"/>
      <w:lvlText w:val="•"/>
      <w:numFmt w:val="bullet"/>
      <w:start w:val="1"/>
    </w:lvl>
  </w:abstractNum>
  <w:abstractNum w:abstractNumId="29">
    <w:nsid w:val="19E21BB2"/>
    <w:multiLevelType w:val="hybridMultilevel"/>
    <w:lvl w:ilvl="0">
      <w:lvlJc w:val="left"/>
      <w:lvlText w:val="•"/>
      <w:numFmt w:val="bullet"/>
      <w:start w:val="1"/>
    </w:lvl>
  </w:abstractNum>
  <w:abstractNum w:abstractNumId="30">
    <w:nsid w:val="75E0858A"/>
    <w:multiLevelType w:val="hybridMultilevel"/>
    <w:lvl w:ilvl="0">
      <w:lvlJc w:val="left"/>
      <w:lvlText w:val="(%1)"/>
      <w:numFmt w:val="lowerRoman"/>
      <w:start w:val="3"/>
    </w:lvl>
  </w:abstractNum>
  <w:abstractNum w:abstractNumId="31">
    <w:nsid w:val="57A61A29"/>
    <w:multiLevelType w:val="hybridMultilevel"/>
    <w:lvl w:ilvl="0">
      <w:lvlJc w:val="left"/>
      <w:lvlText w:val="(%1)"/>
      <w:numFmt w:val="lowerRoman"/>
      <w:start w:val="2"/>
    </w:lvl>
  </w:abstractNum>
  <w:abstractNum w:abstractNumId="32">
    <w:nsid w:val="5399C654"/>
    <w:multiLevelType w:val="hybridMultilevel"/>
    <w:lvl w:ilvl="0">
      <w:lvlJc w:val="left"/>
      <w:lvlText w:val="(%1)"/>
      <w:numFmt w:val="lowerRoman"/>
      <w:start w:val="2"/>
    </w:lvl>
  </w:abstractNum>
  <w:abstractNum w:abstractNumId="33">
    <w:nsid w:val="20EE1348"/>
    <w:multiLevelType w:val="hybridMultilevel"/>
    <w:lvl w:ilvl="0">
      <w:lvlJc w:val="left"/>
      <w:lvlText w:val="(%1)"/>
      <w:numFmt w:val="decimal"/>
      <w:start w:val="1"/>
    </w:lvl>
  </w:abstractNum>
  <w:abstractNum w:abstractNumId="34">
    <w:nsid w:val="4427069A"/>
    <w:multiLevelType w:val="hybridMultilevel"/>
    <w:lvl w:ilvl="0">
      <w:lvlJc w:val="left"/>
      <w:lvlText w:val="•"/>
      <w:numFmt w:val="bullet"/>
      <w:start w:val="1"/>
    </w:lvl>
  </w:abstractNum>
  <w:abstractNum w:abstractNumId="35">
    <w:nsid w:val="B37E80A"/>
    <w:multiLevelType w:val="hybridMultilevel"/>
    <w:lvl w:ilvl="0">
      <w:lvlJc w:val="left"/>
      <w:lvlText w:val="•"/>
      <w:numFmt w:val="bullet"/>
      <w:start w:val="1"/>
    </w:lvl>
  </w:abstractNum>
  <w:abstractNum w:abstractNumId="36">
    <w:nsid w:val="2157F6BC"/>
    <w:multiLevelType w:val="hybridMultilevel"/>
    <w:lvl w:ilvl="0">
      <w:lvlJc w:val="left"/>
      <w:lvlText w:val="•"/>
      <w:numFmt w:val="bullet"/>
      <w:start w:val="1"/>
    </w:lvl>
  </w:abstractNum>
  <w:abstractNum w:abstractNumId="37">
    <w:nsid w:val="704E1DD5"/>
    <w:multiLevelType w:val="hybridMultilevel"/>
    <w:lvl w:ilvl="0">
      <w:lvlJc w:val="left"/>
      <w:lvlText w:val="•"/>
      <w:numFmt w:val="bullet"/>
      <w:start w:val="1"/>
    </w:lvl>
  </w:abstractNum>
  <w:abstractNum w:abstractNumId="38">
    <w:nsid w:val="57D2F10E"/>
    <w:multiLevelType w:val="hybridMultilevel"/>
    <w:lvl w:ilvl="0">
      <w:lvlJc w:val="left"/>
      <w:lvlText w:val="•"/>
      <w:numFmt w:val="bullet"/>
      <w:start w:val="1"/>
    </w:lvl>
  </w:abstractNum>
  <w:abstractNum w:abstractNumId="39">
    <w:nsid w:val="BFFAE18"/>
    <w:multiLevelType w:val="hybridMultilevel"/>
    <w:lvl w:ilvl="0">
      <w:lvlJc w:val="left"/>
      <w:lvlText w:val="•"/>
      <w:numFmt w:val="bullet"/>
      <w:start w:val="1"/>
    </w:lvl>
  </w:abstractNum>
  <w:abstractNum w:abstractNumId="40">
    <w:nsid w:val="E3E47A8"/>
    <w:multiLevelType w:val="hybridMultilevel"/>
    <w:lvl w:ilvl="0">
      <w:lvlJc w:val="left"/>
      <w:lvlText w:val="•"/>
      <w:numFmt w:val="bullet"/>
      <w:start w:val="1"/>
    </w:lvl>
  </w:abstractNum>
  <w:abstractNum w:abstractNumId="41">
    <w:nsid w:val="2E48F044"/>
    <w:multiLevelType w:val="hybridMultilevel"/>
    <w:lvl w:ilvl="0">
      <w:lvlJc w:val="left"/>
      <w:lvlText w:val="•"/>
      <w:numFmt w:val="bullet"/>
      <w:start w:val="1"/>
    </w:lvl>
  </w:abstractNum>
  <w:abstractNum w:abstractNumId="42">
    <w:nsid w:val="49D0FEAC"/>
    <w:multiLevelType w:val="hybridMultilevel"/>
    <w:lvl w:ilvl="0">
      <w:lvlJc w:val="left"/>
      <w:lvlText w:val="(%1)"/>
      <w:numFmt w:val="decimal"/>
      <w:start w:val="4"/>
    </w:lvl>
  </w:abstractNum>
  <w:abstractNum w:abstractNumId="43">
    <w:nsid w:val="4BEE5A5B"/>
    <w:multiLevelType w:val="hybridMultilevel"/>
    <w:lvl w:ilvl="0">
      <w:lvlJc w:val="left"/>
      <w:lvlText w:val="•"/>
      <w:numFmt w:val="bullet"/>
      <w:start w:val="1"/>
    </w:lvl>
  </w:abstractNum>
  <w:abstractNum w:abstractNumId="44">
    <w:nsid w:val="5551B9F3"/>
    <w:multiLevelType w:val="hybridMultilevel"/>
    <w:lvl w:ilvl="0">
      <w:lvlJc w:val="left"/>
      <w:lvlText w:val="(%1)"/>
      <w:numFmt w:val="decimal"/>
      <w:start w:val="1"/>
    </w:lvl>
  </w:abstractNum>
  <w:abstractNum w:abstractNumId="45">
    <w:nsid w:val="24F6AB8E"/>
    <w:multiLevelType w:val="hybridMultilevel"/>
    <w:lvl w:ilvl="0">
      <w:lvlJc w:val="left"/>
      <w:lvlText w:val="(%1)"/>
      <w:numFmt w:val="decimal"/>
      <w:start w:val="1"/>
    </w:lvl>
  </w:abstractNum>
  <w:abstractNum w:abstractNumId="46">
    <w:nsid w:val="634C574C"/>
    <w:multiLevelType w:val="hybridMultilevel"/>
    <w:lvl w:ilvl="0">
      <w:lvlJc w:val="left"/>
      <w:lvlText w:val="(%1)"/>
      <w:numFmt w:val="decimal"/>
      <w:start w:val="1"/>
    </w:lvl>
  </w:abstractNum>
  <w:abstractNum w:abstractNumId="47">
    <w:nsid w:val="24E99DD7"/>
    <w:multiLevelType w:val="hybridMultilevel"/>
    <w:lvl w:ilvl="0">
      <w:lvlJc w:val="left"/>
      <w:lvlText w:val="(%1)"/>
      <w:numFmt w:val="decimal"/>
      <w:start w:val="1"/>
    </w:lvl>
  </w:abstractNum>
  <w:abstractNum w:abstractNumId="48">
    <w:nsid w:val="2A31B62D"/>
    <w:multiLevelType w:val="hybridMultilevel"/>
    <w:lvl w:ilvl="0">
      <w:lvlJc w:val="left"/>
      <w:lvlText w:val="(%1)"/>
      <w:numFmt w:val="decimal"/>
      <w:start w:val="1"/>
    </w:lvl>
  </w:abstractNum>
  <w:abstractNum w:abstractNumId="49">
    <w:nsid w:val="1849C29B"/>
    <w:multiLevelType w:val="hybridMultilevel"/>
    <w:lvl w:ilvl="0">
      <w:lvlJc w:val="left"/>
      <w:lvlText w:val="•"/>
      <w:numFmt w:val="bullet"/>
      <w:start w:val="1"/>
    </w:lvl>
  </w:abstractNum>
  <w:abstractNum w:abstractNumId="50">
    <w:nsid w:val="7DFF9D09"/>
    <w:multiLevelType w:val="hybridMultilevel"/>
    <w:lvl w:ilvl="0">
      <w:lvlJc w:val="left"/>
      <w:lvlText w:val="•"/>
      <w:numFmt w:val="bullet"/>
      <w:start w:val="1"/>
    </w:lvl>
  </w:abstractNum>
  <w:abstractNum w:abstractNumId="51">
    <w:nsid w:val="754342"/>
    <w:multiLevelType w:val="hybridMultilevel"/>
    <w:lvl w:ilvl="0">
      <w:lvlJc w:val="left"/>
      <w:lvlText w:val="•"/>
      <w:numFmt w:val="bullet"/>
      <w:start w:val="1"/>
    </w:lvl>
  </w:abstractNum>
  <w:abstractNum w:abstractNumId="52">
    <w:nsid w:val="69E7F3E5"/>
    <w:multiLevelType w:val="hybridMultilevel"/>
    <w:lvl w:ilvl="0">
      <w:lvlJc w:val="left"/>
      <w:lvlText w:val="•"/>
      <w:numFmt w:val="bullet"/>
      <w:start w:val="1"/>
    </w:lvl>
  </w:abstractNum>
  <w:abstractNum w:abstractNumId="53">
    <w:nsid w:val="2A6DE806"/>
    <w:multiLevelType w:val="hybridMultilevel"/>
    <w:lvl w:ilvl="0">
      <w:lvlJc w:val="left"/>
      <w:lvlText w:val="•"/>
      <w:numFmt w:val="bullet"/>
      <w:start w:val="1"/>
    </w:lvl>
  </w:abstractNum>
  <w:abstractNum w:abstractNumId="54">
    <w:nsid w:val="1816F8C4"/>
    <w:multiLevelType w:val="hybridMultilevel"/>
    <w:lvl w:ilvl="0">
      <w:lvlJc w:val="left"/>
      <w:lvlText w:val="•"/>
      <w:numFmt w:val="bullet"/>
      <w:start w:val="1"/>
    </w:lvl>
  </w:abstractNum>
  <w:abstractNum w:abstractNumId="55">
    <w:nsid w:val="37DF2233"/>
    <w:multiLevelType w:val="hybridMultilevel"/>
    <w:lvl w:ilvl="0">
      <w:lvlJc w:val="left"/>
      <w:lvlText w:val="•"/>
      <w:numFmt w:val="bullet"/>
      <w:start w:val="1"/>
    </w:lvl>
  </w:abstractNum>
  <w:abstractNum w:abstractNumId="56">
    <w:nsid w:val="7AB49DAF"/>
    <w:multiLevelType w:val="hybridMultilevel"/>
    <w:lvl w:ilvl="0">
      <w:lvlJc w:val="left"/>
      <w:lvlText w:val="(%1)"/>
      <w:numFmt w:val="lowerLetter"/>
      <w:start w:val="1"/>
    </w:lvl>
  </w:abstractNum>
  <w:abstractNum w:abstractNumId="57">
    <w:nsid w:val="759F82CD"/>
    <w:multiLevelType w:val="hybridMultilevel"/>
    <w:lvl w:ilvl="0">
      <w:lvlJc w:val="left"/>
      <w:lvlText w:val="(%1)"/>
      <w:numFmt w:val="lowerRoman"/>
      <w:start w:val="1"/>
    </w:lvl>
  </w:abstractNum>
  <w:abstractNum w:abstractNumId="58">
    <w:nsid w:val="61E74EA3"/>
    <w:multiLevelType w:val="hybridMultilevel"/>
    <w:lvl w:ilvl="0">
      <w:lvlJc w:val="left"/>
      <w:lvlText w:val="*"/>
      <w:numFmt w:val="bullet"/>
      <w:start w:val="1"/>
    </w:lvl>
  </w:abstractNum>
  <w:abstractNum w:abstractNumId="59">
    <w:nsid w:val="597B4D84"/>
    <w:multiLevelType w:val="hybridMultilevel"/>
    <w:lvl w:ilvl="0">
      <w:lvlJc w:val="left"/>
      <w:lvlText w:val="•"/>
      <w:numFmt w:val="bullet"/>
      <w:start w:val="1"/>
    </w:lvl>
  </w:abstractNum>
  <w:abstractNum w:abstractNumId="60">
    <w:nsid w:val="F819E7F"/>
    <w:multiLevelType w:val="hybridMultilevel"/>
    <w:lvl w:ilvl="0">
      <w:lvlJc w:val="left"/>
      <w:lvlText w:val="•"/>
      <w:numFmt w:val="bullet"/>
      <w:start w:val="1"/>
    </w:lvl>
  </w:abstractNum>
  <w:abstractNum w:abstractNumId="61">
    <w:nsid w:val="57C7D42D"/>
    <w:multiLevelType w:val="hybridMultilevel"/>
    <w:lvl w:ilvl="0">
      <w:lvlJc w:val="left"/>
      <w:lvlText w:val="•"/>
      <w:numFmt w:val="bullet"/>
      <w:start w:val="1"/>
    </w:lvl>
  </w:abstractNum>
  <w:abstractNum w:abstractNumId="62">
    <w:nsid w:val="312167AD"/>
    <w:multiLevelType w:val="hybridMultilevel"/>
    <w:lvl w:ilvl="0">
      <w:lvlJc w:val="left"/>
      <w:lvlText w:val="•"/>
      <w:numFmt w:val="bullet"/>
      <w:start w:val="1"/>
    </w:lvl>
  </w:abstractNum>
  <w:abstractNum w:abstractNumId="63">
    <w:nsid w:val="631B64D4"/>
    <w:multiLevelType w:val="hybridMultilevel"/>
    <w:lvl w:ilvl="0">
      <w:lvlJc w:val="left"/>
      <w:lvlText w:val="%1."/>
      <w:numFmt w:val="upperLetter"/>
      <w:start w:val="4"/>
    </w:lvl>
  </w:abstractNum>
  <w:abstractNum w:abstractNumId="64">
    <w:nsid w:val="78B5E776"/>
    <w:multiLevelType w:val="hybridMultilevel"/>
    <w:lvl w:ilvl="0">
      <w:lvlJc w:val="left"/>
      <w:lvlText w:val="•"/>
      <w:numFmt w:val="bullet"/>
      <w:start w:val="1"/>
    </w:lvl>
  </w:abstractNum>
  <w:abstractNum w:abstractNumId="65">
    <w:nsid w:val="75486E47"/>
    <w:multiLevelType w:val="hybridMultilevel"/>
    <w:lvl w:ilvl="0">
      <w:lvlJc w:val="left"/>
      <w:lvlText w:val="(%1)"/>
      <w:numFmt w:val="lowerRoman"/>
      <w:start w:val="1"/>
    </w:lvl>
  </w:abstractNum>
  <w:abstractNum w:abstractNumId="66">
    <w:nsid w:val="6E534CDE"/>
    <w:multiLevelType w:val="hybridMultilevel"/>
    <w:lvl w:ilvl="0">
      <w:lvlJc w:val="left"/>
      <w:lvlText w:val="†"/>
      <w:numFmt w:val="bullet"/>
      <w:start w:val="1"/>
    </w:lvl>
  </w:abstractNum>
  <w:abstractNum w:abstractNumId="67">
    <w:nsid w:val="1A0DDE32"/>
    <w:multiLevelType w:val="hybridMultilevel"/>
    <w:lvl w:ilvl="0">
      <w:lvlJc w:val="left"/>
      <w:lvlText w:val="(%1)"/>
      <w:numFmt w:val="decimal"/>
      <w:start w:val="1"/>
    </w:lvl>
  </w:abstractNum>
  <w:abstractNum w:abstractNumId="68">
    <w:nsid w:val="65968C1C"/>
    <w:multiLevelType w:val="hybridMultilevel"/>
    <w:lvl w:ilvl="0">
      <w:lvlJc w:val="left"/>
      <w:lvlText w:val="%1."/>
      <w:numFmt w:val="upperLetter"/>
      <w:start w:val="3"/>
    </w:lvl>
  </w:abstractNum>
  <w:abstractNum w:abstractNumId="69">
    <w:nsid w:val="46263DEC"/>
    <w:multiLevelType w:val="hybridMultilevel"/>
    <w:lvl w:ilvl="0">
      <w:lvlJc w:val="left"/>
      <w:lvlText w:val="%1."/>
      <w:numFmt w:val="upperLetter"/>
      <w:start w:val="5"/>
    </w:lvl>
  </w:abstractNum>
  <w:abstractNum w:abstractNumId="70">
    <w:nsid w:val="260D8C4A"/>
    <w:multiLevelType w:val="hybridMultilevel"/>
    <w:lvl w:ilvl="0">
      <w:lvlJc w:val="left"/>
      <w:lvlText w:val="(%1)"/>
      <w:numFmt w:val="lowerLetter"/>
      <w:start w:val="1"/>
    </w:lvl>
  </w:abstractNum>
  <w:abstractNum w:abstractNumId="71">
    <w:nsid w:val="73D4D3C4"/>
    <w:multiLevelType w:val="hybridMultilevel"/>
    <w:lvl w:ilvl="0">
      <w:lvlJc w:val="left"/>
      <w:lvlText w:val="•"/>
      <w:numFmt w:val="bullet"/>
      <w:start w:val="1"/>
    </w:lvl>
  </w:abstractNum>
  <w:abstractNum w:abstractNumId="72">
    <w:nsid w:val="746F2E30"/>
    <w:multiLevelType w:val="hybridMultilevel"/>
    <w:lvl w:ilvl="0">
      <w:lvlJc w:val="left"/>
      <w:lvlText w:val="•"/>
      <w:numFmt w:val="bullet"/>
      <w:start w:val="1"/>
    </w:lvl>
  </w:abstractNum>
  <w:abstractNum w:abstractNumId="73">
    <w:nsid w:val="6FDE8AF6"/>
    <w:multiLevelType w:val="hybridMultilevel"/>
    <w:lvl w:ilvl="0">
      <w:lvlJc w:val="left"/>
      <w:lvlText w:val="•"/>
      <w:numFmt w:val="bullet"/>
      <w:start w:val="1"/>
    </w:lvl>
  </w:abstractNum>
  <w:abstractNum w:abstractNumId="74">
    <w:nsid w:val="3FC32E20"/>
    <w:multiLevelType w:val="hybridMultilevel"/>
    <w:lvl w:ilvl="0">
      <w:lvlJc w:val="left"/>
      <w:lvlText w:val="%1"/>
      <w:numFmt w:val="upperLetter"/>
      <w:start w:val="1"/>
    </w:lvl>
    <w:lvl w:ilvl="1">
      <w:lvlJc w:val="left"/>
      <w:lvlText w:val="•"/>
      <w:numFmt w:val="bullet"/>
      <w:start w:val="1"/>
    </w:lvl>
  </w:abstractNum>
  <w:abstractNum w:abstractNumId="75">
    <w:nsid w:val="49C0E823"/>
    <w:multiLevelType w:val="hybridMultilevel"/>
    <w:lvl w:ilvl="0">
      <w:lvlJc w:val="left"/>
      <w:lvlText w:val="%1."/>
      <w:numFmt w:val="upperLetter"/>
      <w:start w:val="5"/>
    </w:lvl>
  </w:abstractNum>
  <w:abstractNum w:abstractNumId="76">
    <w:nsid w:val="14D53685"/>
    <w:multiLevelType w:val="hybridMultilevel"/>
    <w:lvl w:ilvl="0">
      <w:lvlJc w:val="left"/>
      <w:lvlText w:val="(%1)"/>
      <w:numFmt w:val="lowerRoman"/>
      <w:start w:val="1"/>
    </w:lvl>
  </w:abstractNum>
  <w:abstractNum w:abstractNumId="77">
    <w:nsid w:val="230F856C"/>
    <w:multiLevelType w:val="hybridMultilevel"/>
    <w:lvl w:ilvl="0">
      <w:lvlJc w:val="left"/>
      <w:lvlText w:val="•"/>
      <w:numFmt w:val="bullet"/>
      <w:start w:val="1"/>
    </w:lvl>
  </w:abstractNum>
  <w:abstractNum w:abstractNumId="78">
    <w:nsid w:val="6EAA85FB"/>
    <w:multiLevelType w:val="hybridMultilevel"/>
    <w:lvl w:ilvl="0">
      <w:lvlJc w:val="left"/>
      <w:lvlText w:val="•"/>
      <w:numFmt w:val="bullet"/>
      <w:start w:val="1"/>
    </w:lvl>
  </w:abstractNum>
  <w:abstractNum w:abstractNumId="79">
    <w:nsid w:val="3F06ECB2"/>
    <w:multiLevelType w:val="hybridMultilevel"/>
    <w:lvl w:ilvl="0">
      <w:lvlJc w:val="left"/>
      <w:lvlText w:val="•"/>
      <w:numFmt w:val="bullet"/>
      <w:start w:val="1"/>
    </w:lvl>
  </w:abstractNum>
  <w:abstractNum w:abstractNumId="80">
    <w:nsid w:val="3B594807"/>
    <w:multiLevelType w:val="hybridMultilevel"/>
    <w:lvl w:ilvl="0">
      <w:lvlJc w:val="left"/>
      <w:lvlText w:val="•"/>
      <w:numFmt w:val="bullet"/>
      <w:start w:val="1"/>
    </w:lvl>
  </w:abstractNum>
  <w:abstractNum w:abstractNumId="81">
    <w:nsid w:val="6CAA2304"/>
    <w:multiLevelType w:val="hybridMultilevel"/>
    <w:lvl w:ilvl="0">
      <w:lvlJc w:val="left"/>
      <w:lvlText w:val="•"/>
      <w:numFmt w:val="bullet"/>
      <w:start w:val="1"/>
    </w:lvl>
  </w:abstractNum>
  <w:abstractNum w:abstractNumId="82">
    <w:nsid w:val="3F7C2FF4"/>
    <w:multiLevelType w:val="hybridMultilevel"/>
    <w:lvl w:ilvl="0">
      <w:lvlJc w:val="left"/>
      <w:lvlText w:val="(%1)"/>
      <w:numFmt w:val="decimal"/>
      <w:start w:val="1"/>
    </w:lvl>
  </w:abstractNum>
  <w:abstractNum w:abstractNumId="83">
    <w:nsid w:val="25413BEC"/>
    <w:multiLevelType w:val="hybridMultilevel"/>
    <w:lvl w:ilvl="0">
      <w:lvlJc w:val="left"/>
      <w:lvlText w:val="•"/>
      <w:numFmt w:val="bullet"/>
      <w:start w:val="1"/>
    </w:lvl>
  </w:abstractNum>
  <w:abstractNum w:abstractNumId="84">
    <w:nsid w:val="17180B0B"/>
    <w:multiLevelType w:val="hybridMultilevel"/>
    <w:lvl w:ilvl="0">
      <w:lvlJc w:val="left"/>
      <w:lvlText w:val="*"/>
      <w:numFmt w:val="bullet"/>
      <w:start w:val="1"/>
    </w:lvl>
  </w:abstractNum>
  <w:abstractNum w:abstractNumId="85">
    <w:nsid w:val="579328B9"/>
    <w:multiLevelType w:val="hybridMultilevel"/>
    <w:lvl w:ilvl="0">
      <w:lvlJc w:val="left"/>
      <w:lvlText w:val="**"/>
      <w:numFmt w:val="bullet"/>
      <w:start w:val="1"/>
    </w:lvl>
  </w:abstractNum>
  <w:abstractNum w:abstractNumId="86">
    <w:nsid w:val="5D205E20"/>
    <w:multiLevelType w:val="hybridMultilevel"/>
    <w:lvl w:ilvl="0">
      <w:lvlJc w:val="left"/>
      <w:lvlText w:val="†"/>
      <w:numFmt w:val="bullet"/>
      <w:start w:val="1"/>
    </w:lvl>
  </w:abstractNum>
  <w:abstractNum w:abstractNumId="87">
    <w:nsid w:val="11CCA8BA"/>
    <w:multiLevelType w:val="hybridMultilevel"/>
    <w:lvl w:ilvl="0">
      <w:lvlJc w:val="left"/>
      <w:lvlText w:val="1"/>
      <w:numFmt w:val="bullet"/>
      <w:start w:val="1"/>
    </w:lvl>
  </w:abstractNum>
  <w:abstractNum w:abstractNumId="88">
    <w:nsid w:val="4D32AB86"/>
    <w:multiLevelType w:val="hybridMultilevel"/>
    <w:lvl w:ilvl="0">
      <w:lvlJc w:val="left"/>
      <w:lvlText w:val="(%1)"/>
      <w:numFmt w:val="lowerLetter"/>
      <w:start w:val="1"/>
    </w:lvl>
  </w:abstractNum>
  <w:abstractNum w:abstractNumId="89">
    <w:nsid w:val="3F07ACC3"/>
    <w:multiLevelType w:val="hybridMultilevel"/>
    <w:lvl w:ilvl="0">
      <w:lvlJc w:val="left"/>
      <w:lvlText w:val="1"/>
      <w:numFmt w:val="bullet"/>
      <w:start w:val="1"/>
    </w:lvl>
  </w:abstractNum>
  <w:abstractNum w:abstractNumId="90">
    <w:nsid w:val="6B47F63E"/>
    <w:multiLevelType w:val="hybridMultilevel"/>
    <w:lvl w:ilvl="0">
      <w:lvlJc w:val="left"/>
      <w:lvlText w:val="(%1)"/>
      <w:numFmt w:val="lowerLetter"/>
      <w:start w:val="1"/>
    </w:lvl>
  </w:abstractNum>
  <w:abstractNum w:abstractNumId="91">
    <w:nsid w:val="5CB44A05"/>
    <w:multiLevelType w:val="hybridMultilevel"/>
    <w:lvl w:ilvl="0">
      <w:lvlJc w:val="left"/>
      <w:lvlText w:val="1"/>
      <w:numFmt w:val="bullet"/>
      <w:start w:val="1"/>
    </w:lvl>
  </w:abstractNum>
  <w:abstractNum w:abstractNumId="92">
    <w:nsid w:val="16CF80F1"/>
    <w:multiLevelType w:val="hybridMultilevel"/>
    <w:lvl w:ilvl="0">
      <w:lvlJc w:val="left"/>
      <w:lvlText w:val="(%1)"/>
      <w:numFmt w:val="lowerLetter"/>
      <w:start w:val="2"/>
    </w:lvl>
  </w:abstractNum>
  <w:abstractNum w:abstractNumId="93">
    <w:nsid w:val="1C695DEC"/>
    <w:multiLevelType w:val="hybridMultilevel"/>
    <w:lvl w:ilvl="0">
      <w:lvlJc w:val="left"/>
      <w:lvlText w:val="•"/>
      <w:numFmt w:val="bullet"/>
      <w:start w:val="1"/>
    </w:lvl>
  </w:abstractNum>
  <w:abstractNum w:abstractNumId="94">
    <w:nsid w:val="3FCFAED9"/>
    <w:multiLevelType w:val="hybridMultilevel"/>
    <w:lvl w:ilvl="0">
      <w:lvlJc w:val="left"/>
      <w:lvlText w:val="•"/>
      <w:numFmt w:val="bullet"/>
      <w:start w:val="1"/>
    </w:lvl>
  </w:abstractNum>
  <w:abstractNum w:abstractNumId="95">
    <w:nsid w:val="F856867"/>
    <w:multiLevelType w:val="hybridMultilevel"/>
    <w:lvl w:ilvl="0">
      <w:lvlJc w:val="left"/>
      <w:lvlText w:val="•"/>
      <w:numFmt w:val="bullet"/>
      <w:start w:val="1"/>
    </w:lvl>
  </w:abstractNum>
  <w:abstractNum w:abstractNumId="96">
    <w:nsid w:val="11B1CC33"/>
    <w:multiLevelType w:val="hybridMultilevel"/>
    <w:lvl w:ilvl="0">
      <w:lvlJc w:val="left"/>
      <w:lvlText w:val="1"/>
      <w:numFmt w:val="bullet"/>
      <w:start w:val="1"/>
    </w:lvl>
  </w:abstractNum>
  <w:abstractNum w:abstractNumId="97">
    <w:nsid w:val="2E22FBB7"/>
    <w:multiLevelType w:val="hybridMultilevel"/>
    <w:lvl w:ilvl="0">
      <w:lvlJc w:val="left"/>
      <w:lvlText w:val="(%1)"/>
      <w:numFmt w:val="lowerLetter"/>
      <w:start w:val="2"/>
    </w:lvl>
  </w:abstractNum>
  <w:abstractNum w:abstractNumId="98">
    <w:nsid w:val="29934699"/>
    <w:multiLevelType w:val="hybridMultilevel"/>
    <w:lvl w:ilvl="0">
      <w:lvlJc w:val="left"/>
      <w:lvlText w:val="•"/>
      <w:numFmt w:val="bullet"/>
      <w:start w:val="1"/>
    </w:lvl>
  </w:abstractNum>
  <w:abstractNum w:abstractNumId="99">
    <w:nsid w:val="77485850"/>
    <w:multiLevelType w:val="hybridMultilevel"/>
    <w:lvl w:ilvl="0">
      <w:lvlJc w:val="left"/>
      <w:lvlText w:val="•"/>
      <w:numFmt w:val="bullet"/>
      <w:start w:val="1"/>
    </w:lvl>
  </w:abstractNum>
  <w:abstractNum w:abstractNumId="100">
    <w:nsid w:val="744939A3"/>
    <w:multiLevelType w:val="hybridMultilevel"/>
    <w:lvl w:ilvl="0">
      <w:lvlJc w:val="left"/>
      <w:lvlText w:val="1"/>
      <w:numFmt w:val="bullet"/>
      <w:start w:val="1"/>
    </w:lvl>
  </w:abstractNum>
  <w:abstractNum w:abstractNumId="101">
    <w:nsid w:val="4FA0D2E3"/>
    <w:multiLevelType w:val="hybridMultilevel"/>
    <w:lvl w:ilvl="0">
      <w:lvlJc w:val="left"/>
      <w:lvlText w:val="(%1)"/>
      <w:numFmt w:val="lowerLetter"/>
      <w:start w:val="2"/>
    </w:lvl>
  </w:abstractNum>
  <w:abstractNum w:abstractNumId="102">
    <w:nsid w:val="6B1D2C14"/>
    <w:multiLevelType w:val="hybridMultilevel"/>
    <w:lvl w:ilvl="0">
      <w:lvlJc w:val="left"/>
      <w:lvlText w:val="2"/>
      <w:numFmt w:val="bullet"/>
      <w:start w:val="1"/>
    </w:lvl>
  </w:abstractNum>
  <w:abstractNum w:abstractNumId="103">
    <w:nsid w:val="68B867D3"/>
    <w:multiLevelType w:val="hybridMultilevel"/>
    <w:lvl w:ilvl="0">
      <w:lvlJc w:val="left"/>
      <w:lvlText w:val="(%1)"/>
      <w:numFmt w:val="lowerLetter"/>
      <w:start w:val="1"/>
    </w:lvl>
  </w:abstractNum>
  <w:abstractNum w:abstractNumId="104">
    <w:nsid w:val="3F7F5DD9"/>
    <w:multiLevelType w:val="hybridMultilevel"/>
    <w:lvl w:ilvl="0">
      <w:lvlJc w:val="left"/>
      <w:lvlText w:val="2"/>
      <w:numFmt w:val="bullet"/>
      <w:start w:val="1"/>
    </w:lvl>
  </w:abstractNum>
  <w:abstractNum w:abstractNumId="105">
    <w:nsid w:val="2AE05A34"/>
    <w:multiLevelType w:val="hybridMultilevel"/>
    <w:lvl w:ilvl="0">
      <w:lvlJc w:val="left"/>
      <w:lvlText w:val="(%1)"/>
      <w:numFmt w:val="lowerLetter"/>
      <w:start w:val="3"/>
    </w:lvl>
  </w:abstractNum>
  <w:abstractNum w:abstractNumId="106">
    <w:nsid w:val="32794FF7"/>
    <w:multiLevelType w:val="hybridMultilevel"/>
    <w:lvl w:ilvl="0">
      <w:lvlJc w:val="left"/>
      <w:lvlText w:val="2"/>
      <w:numFmt w:val="bullet"/>
      <w:start w:val="1"/>
    </w:lvl>
  </w:abstractNum>
  <w:abstractNum w:abstractNumId="107">
    <w:nsid w:val="5454945E"/>
    <w:multiLevelType w:val="hybridMultilevel"/>
    <w:lvl w:ilvl="0">
      <w:lvlJc w:val="left"/>
      <w:lvlText w:val="(%1)"/>
      <w:numFmt w:val="lowerLetter"/>
      <w:start w:val="5"/>
    </w:lvl>
  </w:abstractNum>
  <w:abstractNum w:abstractNumId="108">
    <w:nsid w:val="4DEFDFA0"/>
    <w:multiLevelType w:val="hybridMultilevel"/>
    <w:lvl w:ilvl="0">
      <w:lvlJc w:val="left"/>
      <w:lvlText w:val="2"/>
      <w:numFmt w:val="bullet"/>
      <w:start w:val="1"/>
    </w:lvl>
  </w:abstractNum>
  <w:abstractNum w:abstractNumId="109">
    <w:nsid w:val="2123D5F2"/>
    <w:multiLevelType w:val="hybridMultilevel"/>
    <w:lvl w:ilvl="0">
      <w:lvlJc w:val="left"/>
      <w:lvlText w:val="(%1)"/>
      <w:numFmt w:val="lowerLetter"/>
      <w:start w:val="9"/>
    </w:lvl>
  </w:abstractNum>
  <w:abstractNum w:abstractNumId="110">
    <w:nsid w:val="135B8110"/>
    <w:multiLevelType w:val="hybridMultilevel"/>
    <w:lvl w:ilvl="0">
      <w:lvlJc w:val="left"/>
      <w:lvlText w:val="2"/>
      <w:numFmt w:val="bullet"/>
      <w:start w:val="1"/>
    </w:lvl>
  </w:abstractNum>
  <w:abstractNum w:abstractNumId="111">
    <w:nsid w:val="94927A8"/>
    <w:multiLevelType w:val="hybridMultilevel"/>
    <w:lvl w:ilvl="0">
      <w:lvlJc w:val="left"/>
      <w:lvlText w:val="(%1)"/>
      <w:numFmt w:val="lowerLetter"/>
      <w:start w:val="13"/>
    </w:lvl>
  </w:abstractNum>
  <w:abstractNum w:abstractNumId="112">
    <w:nsid w:val="DCDF8F6"/>
    <w:multiLevelType w:val="hybridMultilevel"/>
    <w:lvl w:ilvl="0">
      <w:lvlJc w:val="left"/>
      <w:lvlText w:val="(%1)"/>
      <w:numFmt w:val="lowerLetter"/>
      <w:start w:val="15"/>
    </w:lvl>
  </w:abstractNum>
  <w:abstractNum w:abstractNumId="113">
    <w:nsid w:val="52D7B105"/>
    <w:multiLevelType w:val="hybridMultilevel"/>
    <w:lvl w:ilvl="0">
      <w:lvlJc w:val="left"/>
      <w:lvlText w:val="2"/>
      <w:numFmt w:val="bullet"/>
      <w:start w:val="1"/>
    </w:lvl>
  </w:abstractNum>
  <w:abstractNum w:abstractNumId="114">
    <w:nsid w:val="2E8A6394"/>
    <w:multiLevelType w:val="hybridMultilevel"/>
    <w:lvl w:ilvl="0">
      <w:lvlJc w:val="left"/>
      <w:lvlText w:val="(%1)"/>
      <w:numFmt w:val="lowerLetter"/>
      <w:start w:val="18"/>
    </w:lvl>
  </w:abstractNum>
  <w:abstractNum w:abstractNumId="115">
    <w:nsid w:val="24E60401"/>
    <w:multiLevelType w:val="hybridMultilevel"/>
    <w:lvl w:ilvl="0">
      <w:lvlJc w:val="left"/>
      <w:lvlText w:val="2"/>
      <w:numFmt w:val="bullet"/>
      <w:start w:val="1"/>
    </w:lvl>
  </w:abstractNum>
  <w:abstractNum w:abstractNumId="116">
    <w:nsid w:val="2A6AD9BE"/>
    <w:multiLevelType w:val="hybridMultilevel"/>
    <w:lvl w:ilvl="0">
      <w:lvlJc w:val="left"/>
      <w:lvlText w:val="(%1)"/>
      <w:numFmt w:val="lowerLetter"/>
      <w:start w:val="20"/>
    </w:lvl>
  </w:abstractNum>
  <w:abstractNum w:abstractNumId="117">
    <w:nsid w:val="BAAC1B4"/>
    <w:multiLevelType w:val="hybridMultilevel"/>
    <w:lvl w:ilvl="0">
      <w:lvlJc w:val="left"/>
      <w:lvlText w:val="2"/>
      <w:numFmt w:val="bullet"/>
      <w:start w:val="1"/>
    </w:lvl>
  </w:abstractNum>
  <w:abstractNum w:abstractNumId="118">
    <w:nsid w:val="36B2ACBC"/>
    <w:multiLevelType w:val="hybridMultilevel"/>
    <w:lvl w:ilvl="0">
      <w:lvlJc w:val="left"/>
      <w:lvlText w:val="(%1)"/>
      <w:numFmt w:val="lowerLetter"/>
      <w:start w:val="21"/>
    </w:lvl>
  </w:abstractNum>
  <w:abstractNum w:abstractNumId="119">
    <w:nsid w:val="779D8544"/>
    <w:multiLevelType w:val="hybridMultilevel"/>
    <w:lvl w:ilvl="0">
      <w:lvlJc w:val="left"/>
      <w:lvlText w:val="(%1)"/>
      <w:numFmt w:val="lowerLetter"/>
      <w:start w:val="24"/>
    </w:lvl>
  </w:abstractNum>
  <w:abstractNum w:abstractNumId="120">
    <w:nsid w:val="4AB26E78"/>
    <w:multiLevelType w:val="hybridMultilevel"/>
    <w:lvl w:ilvl="0">
      <w:lvlJc w:val="left"/>
      <w:lvlText w:val="2"/>
      <w:numFmt w:val="bullet"/>
      <w:start w:val="1"/>
    </w:lvl>
  </w:abstractNum>
  <w:abstractNum w:abstractNumId="121">
    <w:nsid w:val="21FAA2FA"/>
    <w:multiLevelType w:val="hybridMultilevel"/>
    <w:lvl w:ilvl="0">
      <w:lvlJc w:val="left"/>
      <w:lvlText w:val="(%1)"/>
      <w:numFmt w:val="lowerLetter"/>
      <w:start w:val="26"/>
    </w:lvl>
  </w:abstractNum>
  <w:abstractNum w:abstractNumId="122">
    <w:nsid w:val="5451CF49"/>
    <w:multiLevelType w:val="hybridMultilevel"/>
    <w:lvl w:ilvl="0">
      <w:lvlJc w:val="left"/>
      <w:lvlText w:val="(%1)"/>
      <w:numFmt w:val="lowerLetter"/>
      <w:start w:val="27"/>
    </w:lvl>
  </w:abstractNum>
  <w:abstractNum w:abstractNumId="123">
    <w:nsid w:val="6181EF69"/>
    <w:multiLevelType w:val="hybridMultilevel"/>
    <w:lvl w:ilvl="0">
      <w:lvlJc w:val="left"/>
      <w:lvlText w:val="2"/>
      <w:numFmt w:val="bullet"/>
      <w:start w:val="1"/>
    </w:lvl>
  </w:abstractNum>
  <w:abstractNum w:abstractNumId="124">
    <w:nsid w:val="3E6400E6"/>
    <w:multiLevelType w:val="hybridMultilevel"/>
    <w:lvl w:ilvl="0">
      <w:lvlJc w:val="left"/>
      <w:lvlText w:val="2"/>
      <w:numFmt w:val="bullet"/>
      <w:start w:val="1"/>
    </w:lvl>
  </w:abstractNum>
  <w:abstractNum w:abstractNumId="125">
    <w:nsid w:val="14217E23"/>
    <w:multiLevelType w:val="hybridMultilevel"/>
    <w:lvl w:ilvl="0">
      <w:lvlJc w:val="left"/>
      <w:lvlText w:val="2"/>
      <w:numFmt w:val="bullet"/>
      <w:start w:val="1"/>
    </w:lvl>
  </w:abstractNum>
  <w:abstractNum w:abstractNumId="126">
    <w:nsid w:val="710757D0"/>
    <w:multiLevelType w:val="hybridMultilevel"/>
    <w:lvl w:ilvl="0">
      <w:lvlJc w:val="left"/>
      <w:lvlText w:val="2"/>
      <w:numFmt w:val="bullet"/>
      <w:start w:val="1"/>
    </w:lvl>
  </w:abstractNum>
  <w:abstractNum w:abstractNumId="127">
    <w:nsid w:val="5015CD1A"/>
    <w:multiLevelType w:val="hybridMultilevel"/>
    <w:lvl w:ilvl="0">
      <w:lvlJc w:val="left"/>
      <w:lvlText w:val="2"/>
      <w:numFmt w:val="bullet"/>
      <w:start w:val="1"/>
    </w:lvl>
  </w:abstractNum>
  <w:abstractNum w:abstractNumId="128">
    <w:nsid w:val="424479DA"/>
    <w:multiLevelType w:val="hybridMultilevel"/>
    <w:lvl w:ilvl="0">
      <w:lvlJc w:val="left"/>
      <w:lvlText w:val="3"/>
      <w:numFmt w:val="bullet"/>
      <w:start w:val="1"/>
    </w:lvl>
  </w:abstractNum>
  <w:abstractNum w:abstractNumId="129">
    <w:nsid w:val="1A9A9E69"/>
    <w:multiLevelType w:val="hybridMultilevel"/>
    <w:lvl w:ilvl="0">
      <w:lvlJc w:val="left"/>
      <w:lvlText w:val="(%1)"/>
      <w:numFmt w:val="lowerLetter"/>
      <w:start w:val="1"/>
    </w:lvl>
    <w:lvl w:ilvl="1">
      <w:lvlJc w:val="left"/>
      <w:lvlText w:val="•"/>
      <w:numFmt w:val="bullet"/>
      <w:start w:val="1"/>
    </w:lvl>
  </w:abstractNum>
  <w:abstractNum w:abstractNumId="130">
    <w:nsid w:val="475E256A"/>
    <w:multiLevelType w:val="hybridMultilevel"/>
    <w:lvl w:ilvl="0">
      <w:lvlJc w:val="left"/>
      <w:lvlText w:val="3"/>
      <w:numFmt w:val="bullet"/>
      <w:start w:val="1"/>
    </w:lvl>
  </w:abstractNum>
  <w:abstractNum w:abstractNumId="131">
    <w:nsid w:val="368DB37E"/>
    <w:multiLevelType w:val="hybridMultilevel"/>
    <w:lvl w:ilvl="0">
      <w:lvlJc w:val="left"/>
      <w:lvlText w:val="(%1)"/>
      <w:numFmt w:val="lowerLetter"/>
      <w:start w:val="1"/>
    </w:lvl>
  </w:abstractNum>
  <w:abstractNum w:abstractNumId="132">
    <w:nsid w:val="6A3B714C"/>
    <w:multiLevelType w:val="hybridMultilevel"/>
    <w:lvl w:ilvl="0">
      <w:lvlJc w:val="left"/>
      <w:lvlText w:val="3"/>
      <w:numFmt w:val="bullet"/>
      <w:start w:val="1"/>
    </w:lvl>
  </w:abstractNum>
  <w:abstractNum w:abstractNumId="133">
    <w:nsid w:val="327B517E"/>
    <w:multiLevelType w:val="hybridMultilevel"/>
    <w:lvl w:ilvl="0">
      <w:lvlJc w:val="left"/>
      <w:lvlText w:val="(%1)"/>
      <w:numFmt w:val="lowerLetter"/>
      <w:start w:val="1"/>
    </w:lvl>
  </w:abstractNum>
  <w:abstractNum w:abstractNumId="134">
    <w:nsid w:val="1F461B51"/>
    <w:multiLevelType w:val="hybridMultilevel"/>
    <w:lvl w:ilvl="0">
      <w:lvlJc w:val="left"/>
      <w:lvlText w:val="3"/>
      <w:numFmt w:val="bullet"/>
      <w:start w:val="1"/>
    </w:lvl>
  </w:abstractNum>
  <w:abstractNum w:abstractNumId="135">
    <w:nsid w:val="29BACF25"/>
    <w:multiLevelType w:val="hybridMultilevel"/>
    <w:lvl w:ilvl="0">
      <w:lvlJc w:val="left"/>
      <w:lvlText w:val="(%1)"/>
      <w:numFmt w:val="lowerLetter"/>
      <w:start w:val="2"/>
    </w:lvl>
  </w:abstractNum>
  <w:abstractNum w:abstractNumId="136">
    <w:nsid w:val="5D5BABB3"/>
    <w:multiLevelType w:val="hybridMultilevel"/>
    <w:lvl w:ilvl="0">
      <w:lvlJc w:val="left"/>
      <w:lvlText w:val="3"/>
      <w:numFmt w:val="bullet"/>
      <w:start w:val="1"/>
    </w:lvl>
  </w:abstractNum>
  <w:abstractNum w:abstractNumId="137">
    <w:nsid w:val="51BF6B48"/>
    <w:multiLevelType w:val="hybridMultilevel"/>
    <w:lvl w:ilvl="0">
      <w:lvlJc w:val="left"/>
      <w:lvlText w:val="(%1)"/>
      <w:numFmt w:val="lowerLetter"/>
      <w:start w:val="3"/>
    </w:lvl>
  </w:abstractNum>
  <w:abstractNum w:abstractNumId="138">
    <w:nsid w:val="7E0F6384"/>
    <w:multiLevelType w:val="hybridMultilevel"/>
    <w:lvl w:ilvl="0">
      <w:lvlJc w:val="left"/>
      <w:lvlText w:val="3"/>
      <w:numFmt w:val="bullet"/>
      <w:start w:val="1"/>
    </w:lvl>
  </w:abstractNum>
  <w:abstractNum w:abstractNumId="139">
    <w:nsid w:val="2B4B8B53"/>
    <w:multiLevelType w:val="hybridMultilevel"/>
    <w:lvl w:ilvl="0">
      <w:lvlJc w:val="left"/>
      <w:lvlText w:val="(%1)"/>
      <w:numFmt w:val="lowerLetter"/>
      <w:start w:val="4"/>
    </w:lvl>
    <w:lvl w:ilvl="1">
      <w:lvlJc w:val="left"/>
      <w:lvlText w:val="(%2)"/>
      <w:numFmt w:val="lowerRoman"/>
      <w:start w:val="1"/>
    </w:lvl>
  </w:abstractNum>
  <w:abstractNum w:abstractNumId="140">
    <w:nsid w:val="72E3413A"/>
    <w:multiLevelType w:val="hybridMultilevel"/>
    <w:lvl w:ilvl="0">
      <w:lvlJc w:val="left"/>
      <w:lvlText w:val="4"/>
      <w:numFmt w:val="bullet"/>
      <w:start w:val="1"/>
    </w:lvl>
  </w:abstractNum>
  <w:abstractNum w:abstractNumId="141">
    <w:nsid w:val="116AE494"/>
    <w:multiLevelType w:val="hybridMultilevel"/>
    <w:lvl w:ilvl="0">
      <w:lvlJc w:val="left"/>
      <w:lvlText w:val="4"/>
      <w:numFmt w:val="bullet"/>
      <w:start w:val="1"/>
    </w:lvl>
  </w:abstractNum>
  <w:abstractNum w:abstractNumId="142">
    <w:nsid w:val="3494B2FB"/>
    <w:multiLevelType w:val="hybridMultilevel"/>
    <w:lvl w:ilvl="0">
      <w:lvlJc w:val="left"/>
      <w:lvlText w:val="(%1)"/>
      <w:numFmt w:val="lowerLetter"/>
      <w:start w:val="1"/>
    </w:lvl>
  </w:abstractNum>
  <w:abstractNum w:abstractNumId="143">
    <w:nsid w:val="B13A31"/>
    <w:multiLevelType w:val="hybridMultilevel"/>
    <w:lvl w:ilvl="0">
      <w:lvlJc w:val="left"/>
      <w:lvlText w:val="4"/>
      <w:numFmt w:val="bullet"/>
      <w:start w:val="1"/>
    </w:lvl>
  </w:abstractNum>
  <w:abstractNum w:abstractNumId="144">
    <w:nsid w:val="64429599"/>
    <w:multiLevelType w:val="hybridMultilevel"/>
    <w:lvl w:ilvl="0">
      <w:lvlJc w:val="left"/>
      <w:lvlText w:val="(%1)"/>
      <w:numFmt w:val="lowerLetter"/>
      <w:start w:val="1"/>
    </w:lvl>
  </w:abstractNum>
  <w:abstractNum w:abstractNumId="145">
    <w:nsid w:val="631F1690"/>
    <w:multiLevelType w:val="hybridMultilevel"/>
    <w:lvl w:ilvl="0">
      <w:lvlJc w:val="left"/>
      <w:lvlText w:val="(%1)"/>
      <w:numFmt w:val="lowerLetter"/>
      <w:start w:val="2"/>
    </w:lvl>
  </w:abstractNum>
  <w:abstractNum w:abstractNumId="146">
    <w:nsid w:val="25973E32"/>
    <w:multiLevelType w:val="hybridMultilevel"/>
    <w:lvl w:ilvl="0">
      <w:lvlJc w:val="left"/>
      <w:lvlText w:val="4"/>
      <w:numFmt w:val="bullet"/>
      <w:start w:val="1"/>
    </w:lvl>
  </w:abstractNum>
  <w:abstractNum w:abstractNumId="147">
    <w:nsid w:val="EAD6F57"/>
    <w:multiLevelType w:val="hybridMultilevel"/>
    <w:lvl w:ilvl="0">
      <w:lvlJc w:val="left"/>
      <w:lvlText w:val="(%1)"/>
      <w:numFmt w:val="lowerLetter"/>
      <w:start w:val="2"/>
    </w:lvl>
  </w:abstractNum>
  <w:abstractNum w:abstractNumId="148">
    <w:nsid w:val="6EC9D844"/>
    <w:multiLevelType w:val="hybridMultilevel"/>
    <w:lvl w:ilvl="0">
      <w:lvlJc w:val="left"/>
      <w:lvlText w:val="4"/>
      <w:numFmt w:val="bullet"/>
      <w:start w:val="1"/>
    </w:lvl>
  </w:abstractNum>
  <w:abstractNum w:abstractNumId="149">
    <w:nsid w:val="5C49EAEE"/>
    <w:multiLevelType w:val="hybridMultilevel"/>
    <w:lvl w:ilvl="0">
      <w:lvlJc w:val="left"/>
      <w:lvlText w:val="(%1)"/>
      <w:numFmt w:val="lowerLetter"/>
      <w:start w:val="2"/>
    </w:lvl>
  </w:abstractNum>
  <w:abstractNum w:abstractNumId="150">
    <w:nsid w:val="64AF49B"/>
    <w:multiLevelType w:val="hybridMultilevel"/>
    <w:lvl w:ilvl="0">
      <w:lvlJc w:val="left"/>
      <w:lvlText w:val="5"/>
      <w:numFmt w:val="bullet"/>
      <w:start w:val="1"/>
    </w:lvl>
  </w:abstractNum>
  <w:abstractNum w:abstractNumId="151">
    <w:nsid w:val="397C46BC"/>
    <w:multiLevelType w:val="hybridMultilevel"/>
    <w:lvl w:ilvl="0">
      <w:lvlJc w:val="left"/>
      <w:lvlText w:val="6"/>
      <w:numFmt w:val="bullet"/>
      <w:start w:val="1"/>
    </w:lvl>
  </w:abstractNum>
  <w:abstractNum w:abstractNumId="152">
    <w:nsid w:val="7E448DE9"/>
    <w:multiLevelType w:val="hybridMultilevel"/>
    <w:lvl w:ilvl="0">
      <w:lvlJc w:val="left"/>
      <w:lvlText w:val="%1"/>
      <w:numFmt w:val="decimal"/>
      <w:start w:val="14"/>
    </w:lvl>
    <w:lvl w:ilvl="1">
      <w:lvlJc w:val="left"/>
      <w:lvlText w:val="(%2)"/>
      <w:numFmt w:val="lowerRoman"/>
      <w:start w:val="1"/>
    </w:lvl>
  </w:abstractNum>
  <w:abstractNum w:abstractNumId="153">
    <w:nsid w:val="5A9CC3E5"/>
    <w:multiLevelType w:val="hybridMultilevel"/>
    <w:lvl w:ilvl="0">
      <w:lvlJc w:val="left"/>
      <w:lvlText w:val="%1"/>
      <w:numFmt w:val="decimal"/>
      <w:start w:val="14"/>
    </w:lvl>
    <w:lvl w:ilvl="1">
      <w:lvlJc w:val="left"/>
      <w:lvlText w:val="(%2)"/>
      <w:numFmt w:val="lowerRoman"/>
      <w:start w:val="7"/>
    </w:lvl>
  </w:abstractNum>
  <w:abstractNum w:abstractNumId="154">
    <w:nsid w:val="1AFE3625"/>
    <w:multiLevelType w:val="hybridMultilevel"/>
    <w:lvl w:ilvl="0">
      <w:lvlJc w:val="left"/>
      <w:lvlText w:val="%1"/>
      <w:numFmt w:val="decimal"/>
      <w:start w:val="15"/>
    </w:lvl>
  </w:abstractNum>
  <w:abstractNum w:abstractNumId="155">
    <w:nsid w:val="3CA88ECF"/>
    <w:multiLevelType w:val="hybridMultilevel"/>
    <w:lvl w:ilvl="0">
      <w:lvlJc w:val="left"/>
      <w:lvlText w:val="%1"/>
      <w:numFmt w:val="decimal"/>
      <w:start w:val="15"/>
    </w:lvl>
  </w:abstractNum>
  <w:abstractNum w:abstractNumId="156">
    <w:nsid w:val="6EBE4208"/>
    <w:multiLevelType w:val="hybridMultilevel"/>
    <w:lvl w:ilvl="0">
      <w:lvlJc w:val="left"/>
      <w:lvlText w:val="%1"/>
      <w:numFmt w:val="decimal"/>
      <w:start w:val="15"/>
    </w:lvl>
    <w:lvl w:ilvl="1">
      <w:lvlJc w:val="left"/>
      <w:lvlText w:val="•"/>
      <w:numFmt w:val="bullet"/>
      <w:start w:val="1"/>
    </w:lvl>
  </w:abstractNum>
  <w:abstractNum w:abstractNumId="157">
    <w:nsid w:val="C058DF5"/>
    <w:multiLevelType w:val="hybridMultilevel"/>
    <w:lvl w:ilvl="0">
      <w:lvlJc w:val="left"/>
      <w:lvlText w:val="%1"/>
      <w:numFmt w:val="decimal"/>
      <w:start w:val="15"/>
    </w:lvl>
  </w:abstractNum>
  <w:abstractNum w:abstractNumId="158">
    <w:nsid w:val="CBE5BE9"/>
    <w:multiLevelType w:val="hybridMultilevel"/>
    <w:lvl w:ilvl="0">
      <w:lvlJc w:val="left"/>
      <w:lvlText w:val="%1"/>
      <w:numFmt w:val="decimal"/>
      <w:start w:val="15"/>
    </w:lvl>
  </w:abstractNum>
  <w:abstractNum w:abstractNumId="159">
    <w:nsid w:val="3102BBE2"/>
    <w:multiLevelType w:val="hybridMultilevel"/>
    <w:lvl w:ilvl="0">
      <w:lvlJc w:val="left"/>
      <w:lvlText w:val="%1"/>
      <w:numFmt w:val="decimal"/>
      <w:start w:val="15"/>
    </w:lvl>
  </w:abstractNum>
  <w:abstractNum w:abstractNumId="160">
    <w:nsid w:val="26A02C5E"/>
    <w:multiLevelType w:val="hybridMultilevel"/>
    <w:lvl w:ilvl="0">
      <w:lvlJc w:val="left"/>
      <w:lvlText w:val="%1"/>
      <w:numFmt w:val="decimal"/>
      <w:start w:val="15"/>
    </w:lvl>
  </w:abstractNum>
  <w:abstractNum w:abstractNumId="161">
    <w:nsid w:val="541C8153"/>
    <w:multiLevelType w:val="hybridMultilevel"/>
    <w:lvl w:ilvl="0">
      <w:lvlJc w:val="left"/>
      <w:lvlText w:val="%1"/>
      <w:numFmt w:val="decimal"/>
      <w:start w:val="15"/>
    </w:lvl>
  </w:abstractNum>
  <w:abstractNum w:abstractNumId="162">
    <w:nsid w:val="67906F60"/>
    <w:multiLevelType w:val="hybridMultilevel"/>
    <w:lvl w:ilvl="0">
      <w:lvlJc w:val="left"/>
      <w:lvlText w:val="%1"/>
      <w:numFmt w:val="decimal"/>
      <w:start w:val="16"/>
    </w:lvl>
  </w:abstractNum>
  <w:abstractNum w:abstractNumId="163">
    <w:nsid w:val="10DB9DAA"/>
    <w:multiLevelType w:val="hybridMultilevel"/>
    <w:lvl w:ilvl="0">
      <w:lvlJc w:val="left"/>
      <w:lvlText w:val="%1"/>
      <w:numFmt w:val="decimal"/>
      <w:start w:val="17"/>
    </w:lvl>
  </w:abstractNum>
  <w:abstractNum w:abstractNumId="164">
    <w:nsid w:val="697D2D2"/>
    <w:multiLevelType w:val="hybridMultilevel"/>
    <w:lvl w:ilvl="0">
      <w:lvlJc w:val="left"/>
      <w:lvlText w:val="(%1)"/>
      <w:numFmt w:val="lowerLetter"/>
      <w:start w:val="1"/>
    </w:lvl>
  </w:abstractNum>
  <w:abstractNum w:abstractNumId="165">
    <w:nsid w:val="6D68AB2"/>
    <w:multiLevelType w:val="hybridMultilevel"/>
    <w:lvl w:ilvl="0">
      <w:lvlJc w:val="left"/>
      <w:lvlText w:val="(%1)"/>
      <w:numFmt w:val="lowerRoman"/>
      <w:start w:val="1"/>
    </w:lvl>
  </w:abstractNum>
  <w:abstractNum w:abstractNumId="166">
    <w:nsid w:val="3A966CD0"/>
    <w:multiLevelType w:val="hybridMultilevel"/>
    <w:lvl w:ilvl="0">
      <w:lvlJc w:val="left"/>
      <w:lvlText w:val="(%1)"/>
      <w:numFmt w:val="lowerLetter"/>
      <w:start w:val="1"/>
    </w:lvl>
    <w:lvl w:ilvl="1">
      <w:lvlJc w:val="left"/>
      <w:lvlText w:val="(%2)"/>
      <w:numFmt w:val="lowerRoman"/>
      <w:start w:val="3"/>
    </w:lvl>
  </w:abstractNum>
  <w:abstractNum w:abstractNumId="167">
    <w:nsid w:val="63F37E85"/>
    <w:multiLevelType w:val="hybridMultilevel"/>
    <w:lvl w:ilvl="0">
      <w:lvlJc w:val="left"/>
      <w:lvlText w:val="(%1)"/>
      <w:numFmt w:val="lowerLetter"/>
      <w:start w:val="1"/>
    </w:lvl>
  </w:abstractNum>
  <w:abstractNum w:abstractNumId="168">
    <w:nsid w:val="5895F5FA"/>
    <w:multiLevelType w:val="hybridMultilevel"/>
    <w:lvl w:ilvl="0">
      <w:lvlJc w:val="left"/>
      <w:lvlText w:val="(%1)"/>
      <w:numFmt w:val="lowerLetter"/>
      <w:start w:val="1"/>
    </w:lvl>
  </w:abstractNum>
  <w:abstractNum w:abstractNumId="169">
    <w:nsid w:val="38A5D054"/>
    <w:multiLevelType w:val="hybridMultilevel"/>
    <w:lvl w:ilvl="0">
      <w:lvlJc w:val="left"/>
      <w:lvlText w:val="%1"/>
      <w:numFmt w:val="lowerLetter"/>
      <w:start w:val="1"/>
    </w:lvl>
    <w:lvl w:ilvl="1">
      <w:lvlJc w:val="left"/>
      <w:lvlText w:val="(%2)"/>
      <w:numFmt w:val="lowerRoman"/>
      <w:start w:val="1"/>
    </w:lvl>
  </w:abstractNum>
  <w:abstractNum w:abstractNumId="170">
    <w:nsid w:val="F3F09D8"/>
    <w:multiLevelType w:val="hybridMultilevel"/>
    <w:lvl w:ilvl="0">
      <w:lvlJc w:val="left"/>
      <w:lvlText w:val="(%1)"/>
      <w:numFmt w:val="lowerLetter"/>
      <w:start w:val="2"/>
    </w:lvl>
    <w:lvl w:ilvl="1">
      <w:lvlJc w:val="left"/>
      <w:lvlText w:val="%2"/>
      <w:numFmt w:val="lowerRoman"/>
      <w:start w:val="1"/>
    </w:lvl>
  </w:abstractNum>
  <w:abstractNum w:abstractNumId="171">
    <w:nsid w:val="4B793735"/>
    <w:multiLevelType w:val="hybridMultilevel"/>
    <w:lvl w:ilvl="0">
      <w:lvlJc w:val="left"/>
      <w:lvlText w:val="(%1)"/>
      <w:numFmt w:val="lowerLetter"/>
      <w:start w:val="3"/>
    </w:lvl>
  </w:abstractNum>
  <w:abstractNum w:abstractNumId="172">
    <w:nsid w:val="4A10B4E8"/>
    <w:multiLevelType w:val="hybridMultilevel"/>
    <w:lvl w:ilvl="0">
      <w:lvlJc w:val="left"/>
      <w:lvlText w:val="(%1)"/>
      <w:numFmt w:val="lowerRoman"/>
      <w:start w:val="1"/>
    </w:lvl>
  </w:abstractNum>
  <w:abstractNum w:abstractNumId="173">
    <w:nsid w:val="43D3BCD4"/>
    <w:multiLevelType w:val="hybridMultilevel"/>
    <w:lvl w:ilvl="0">
      <w:lvlJc w:val="left"/>
      <w:lvlText w:val="%1"/>
      <w:numFmt w:val="decimal"/>
      <w:start w:val="20"/>
    </w:lvl>
  </w:abstractNum>
  <w:abstractNum w:abstractNumId="174">
    <w:nsid w:val="4C2A7166"/>
    <w:multiLevelType w:val="hybridMultilevel"/>
    <w:lvl w:ilvl="0">
      <w:lvlJc w:val="left"/>
      <w:lvlText w:val="(%1)"/>
      <w:numFmt w:val="lowerLetter"/>
      <w:start w:val="1"/>
    </w:lvl>
  </w:abstractNum>
  <w:abstractNum w:abstractNumId="175">
    <w:nsid w:val="2E534A82"/>
    <w:multiLevelType w:val="hybridMultilevel"/>
    <w:lvl w:ilvl="0">
      <w:lvlJc w:val="left"/>
      <w:lvlText w:val="(%1)"/>
      <w:numFmt w:val="lowerLetter"/>
      <w:start w:val="2"/>
    </w:lvl>
  </w:abstractNum>
  <w:abstractNum w:abstractNumId="176">
    <w:nsid w:val="26F2D364"/>
    <w:multiLevelType w:val="hybridMultilevel"/>
    <w:lvl w:ilvl="0">
      <w:lvlJc w:val="left"/>
      <w:lvlText w:val="%1"/>
      <w:numFmt w:val="decimal"/>
      <w:start w:val="20"/>
    </w:lvl>
  </w:abstractNum>
  <w:abstractNum w:abstractNumId="177">
    <w:nsid w:val="71C1AF98"/>
    <w:multiLevelType w:val="hybridMultilevel"/>
    <w:lvl w:ilvl="0">
      <w:lvlJc w:val="left"/>
      <w:lvlText w:val="(%1)"/>
      <w:numFmt w:val="lowerRoman"/>
      <w:start w:val="1"/>
    </w:lvl>
  </w:abstractNum>
  <w:abstractNum w:abstractNumId="178">
    <w:nsid w:val="3D00B9D9"/>
    <w:multiLevelType w:val="hybridMultilevel"/>
    <w:lvl w:ilvl="0">
      <w:lvlJc w:val="left"/>
      <w:lvlText w:val="%1"/>
      <w:numFmt w:val="decimal"/>
      <w:start w:val="21"/>
    </w:lvl>
  </w:abstractNum>
  <w:abstractNum w:abstractNumId="179">
    <w:nsid w:val="15BCABA8"/>
    <w:multiLevelType w:val="hybridMultilevel"/>
    <w:lvl w:ilvl="0">
      <w:lvlJc w:val="left"/>
      <w:lvlText w:val="%1"/>
      <w:numFmt w:val="decimal"/>
      <w:start w:val="22"/>
    </w:lvl>
  </w:abstractNum>
  <w:abstractNum w:abstractNumId="180">
    <w:nsid w:val="4E0B9A87"/>
    <w:multiLevelType w:val="hybridMultilevel"/>
    <w:lvl w:ilvl="0">
      <w:lvlJc w:val="left"/>
      <w:lvlText w:val="(%1)"/>
      <w:numFmt w:val="lowerLetter"/>
      <w:start w:val="1"/>
    </w:lvl>
  </w:abstractNum>
  <w:abstractNum w:abstractNumId="181">
    <w:nsid w:val="434BAE75"/>
    <w:multiLevelType w:val="hybridMultilevel"/>
    <w:lvl w:ilvl="0">
      <w:lvlJc w:val="left"/>
      <w:lvlText w:val="(%1)"/>
      <w:numFmt w:val="lowerLetter"/>
      <w:start w:val="2"/>
    </w:lvl>
  </w:abstractNum>
  <w:abstractNum w:abstractNumId="182">
    <w:nsid w:val="4F38F265"/>
    <w:multiLevelType w:val="hybridMultilevel"/>
    <w:lvl w:ilvl="0">
      <w:lvlJc w:val="left"/>
      <w:lvlText w:val="%1"/>
      <w:numFmt w:val="decimal"/>
      <w:start w:val="24"/>
    </w:lvl>
  </w:abstractNum>
  <w:abstractNum w:abstractNumId="183">
    <w:nsid w:val="4C502870"/>
    <w:multiLevelType w:val="hybridMultilevel"/>
    <w:lvl w:ilvl="0">
      <w:lvlJc w:val="left"/>
      <w:lvlText w:val="%1."/>
      <w:numFmt w:val="decimal"/>
      <w:start w:val="1"/>
    </w:lvl>
  </w:abstractNum>
  <w:abstractNum w:abstractNumId="184">
    <w:nsid w:val="1DE8725A"/>
    <w:multiLevelType w:val="hybridMultilevel"/>
    <w:lvl w:ilvl="0">
      <w:lvlJc w:val="left"/>
      <w:lvlText w:val="%1."/>
      <w:numFmt w:val="decimal"/>
      <w:start w:val="2"/>
    </w:lvl>
  </w:abstractNum>
  <w:abstractNum w:abstractNumId="185">
    <w:nsid w:val="6A37288A"/>
    <w:multiLevelType w:val="hybridMultilevel"/>
    <w:lvl w:ilvl="0">
      <w:lvlJc w:val="left"/>
      <w:lvlText w:val="%1."/>
      <w:numFmt w:val="decimal"/>
      <w:start w:val="3"/>
    </w:lvl>
  </w:abstractNum>
  <w:abstractNum w:abstractNumId="186">
    <w:nsid w:val="8F8B73F"/>
    <w:multiLevelType w:val="hybridMultilevel"/>
    <w:lvl w:ilvl="0">
      <w:lvlJc w:val="left"/>
      <w:lvlText w:val="%1."/>
      <w:numFmt w:val="decimal"/>
      <w:start w:val="4"/>
    </w:lvl>
  </w:abstractNum>
  <w:abstractNum w:abstractNumId="187">
    <w:nsid w:val="CA6B462"/>
    <w:multiLevelType w:val="hybridMultilevel"/>
    <w:lvl w:ilvl="0">
      <w:lvlJc w:val="left"/>
      <w:lvlText w:val="%1."/>
      <w:numFmt w:val="decimal"/>
      <w:start w:val="5"/>
    </w:lvl>
  </w:abstractNum>
  <w:abstractNum w:abstractNumId="188">
    <w:nsid w:val="763CB680"/>
    <w:multiLevelType w:val="hybridMultilevel"/>
    <w:lvl w:ilvl="0">
      <w:lvlJc w:val="left"/>
      <w:lvlText w:val="(%1)"/>
      <w:numFmt w:val="decimal"/>
      <w:start w:val="1"/>
    </w:lvl>
  </w:abstractNum>
  <w:abstractNum w:abstractNumId="189">
    <w:nsid w:val="15B71329"/>
    <w:multiLevelType w:val="hybridMultilevel"/>
    <w:lvl w:ilvl="0">
      <w:lvlJc w:val="left"/>
      <w:lvlText w:val="***"/>
      <w:numFmt w:val="bullet"/>
      <w:start w:val="1"/>
    </w:lvl>
  </w:abstractNum>
  <w:abstractNum w:abstractNumId="190">
    <w:nsid w:val="3DA97044"/>
    <w:multiLevelType w:val="hybridMultilevel"/>
    <w:lvl w:ilvl="0">
      <w:lvlJc w:val="left"/>
      <w:lvlText w:val="%1."/>
      <w:numFmt w:val="decimal"/>
      <w:start w:val="6"/>
    </w:lvl>
    <w:lvl w:ilvl="1">
      <w:lvlJc w:val="left"/>
      <w:lvlText w:val="***"/>
      <w:numFmt w:val="bullet"/>
      <w:start w:val="1"/>
    </w:lvl>
  </w:abstractNum>
  <w:abstractNum w:abstractNumId="191">
    <w:nsid w:val="1CDCE2DE"/>
    <w:multiLevelType w:val="hybridMultilevel"/>
    <w:lvl w:ilvl="0">
      <w:lvlJc w:val="left"/>
      <w:lvlText w:val="***"/>
      <w:numFmt w:val="bullet"/>
      <w:start w:val="1"/>
    </w:lvl>
  </w:abstractNum>
  <w:abstractNum w:abstractNumId="192">
    <w:nsid w:val="69D3947C"/>
    <w:multiLevelType w:val="hybridMultilevel"/>
    <w:lvl w:ilvl="0">
      <w:lvlJc w:val="left"/>
      <w:lvlText w:val="(%1)"/>
      <w:numFmt w:val="decimal"/>
      <w:start w:val="1"/>
    </w:lvl>
  </w:abstractNum>
  <w:abstractNum w:abstractNumId="193">
    <w:nsid w:val="2539DFA5"/>
    <w:multiLevelType w:val="hybridMultilevel"/>
    <w:lvl w:ilvl="0">
      <w:lvlJc w:val="left"/>
      <w:lvlText w:val="***"/>
      <w:numFmt w:val="bullet"/>
      <w:start w:val="1"/>
    </w:lvl>
  </w:abstractNum>
  <w:abstractNum w:abstractNumId="194">
    <w:nsid w:val="2DB88089"/>
    <w:multiLevelType w:val="hybridMultilevel"/>
    <w:lvl w:ilvl="0">
      <w:lvlJc w:val="left"/>
      <w:lvlText w:val="%1."/>
      <w:numFmt w:val="decimal"/>
      <w:start w:val="8"/>
    </w:lvl>
  </w:abstractNum>
  <w:abstractNum w:abstractNumId="195">
    <w:nsid w:val="706B674E"/>
    <w:multiLevelType w:val="hybridMultilevel"/>
    <w:lvl w:ilvl="0">
      <w:lvlJc w:val="left"/>
      <w:lvlText w:val="%1."/>
      <w:numFmt w:val="decimal"/>
      <w:start w:val="9"/>
    </w:lvl>
  </w:abstractNum>
  <w:abstractNum w:abstractNumId="196">
    <w:nsid w:val="2C106A57"/>
    <w:multiLevelType w:val="hybridMultilevel"/>
    <w:lvl w:ilvl="0">
      <w:lvlJc w:val="left"/>
      <w:lvlText w:val="(%1)"/>
      <w:numFmt w:val="decimal"/>
      <w:start w:val="1"/>
    </w:lvl>
  </w:abstractNum>
  <w:abstractNum w:abstractNumId="197">
    <w:nsid w:val="684EED59"/>
    <w:multiLevelType w:val="hybridMultilevel"/>
    <w:lvl w:ilvl="0">
      <w:lvlJc w:val="left"/>
      <w:lvlText w:val="(%1)"/>
      <w:numFmt w:val="decimal"/>
      <w:start w:val="1"/>
    </w:lvl>
  </w:abstractNum>
  <w:abstractNum w:abstractNumId="198">
    <w:nsid w:val="545EE5D3"/>
    <w:multiLevelType w:val="hybridMultilevel"/>
    <w:lvl w:ilvl="0">
      <w:lvlJc w:val="left"/>
      <w:lvlText w:val="(%1)"/>
      <w:numFmt w:val="decimal"/>
      <w:start w:val="1"/>
    </w:lvl>
  </w:abstractNum>
  <w:abstractNum w:abstractNumId="199">
    <w:nsid w:val="4A66051"/>
    <w:multiLevelType w:val="hybridMultilevel"/>
    <w:lvl w:ilvl="0">
      <w:lvlJc w:val="left"/>
      <w:lvlText w:val="%1."/>
      <w:numFmt w:val="decimal"/>
      <w:start w:val="10"/>
    </w:lvl>
  </w:abstractNum>
  <w:abstractNum w:abstractNumId="200">
    <w:nsid w:val="20F4BDAD"/>
    <w:multiLevelType w:val="hybridMultilevel"/>
    <w:lvl w:ilvl="0">
      <w:lvlJc w:val="left"/>
      <w:lvlText w:val="%1."/>
      <w:numFmt w:val="decimal"/>
      <w:start w:val="11"/>
    </w:lvl>
  </w:abstractNum>
  <w:abstractNum w:abstractNumId="201">
    <w:nsid w:val="639DEFAC"/>
    <w:multiLevelType w:val="hybridMultilevel"/>
    <w:lvl w:ilvl="0">
      <w:lvlJc w:val="left"/>
      <w:lvlText w:val="%1."/>
      <w:numFmt w:val="decimal"/>
      <w:start w:val="12"/>
    </w:lvl>
  </w:abstractNum>
  <w:abstractNum w:abstractNumId="202">
    <w:nsid w:val="501F9786"/>
    <w:multiLevelType w:val="hybridMultilevel"/>
    <w:lvl w:ilvl="0">
      <w:lvlJc w:val="left"/>
      <w:lvlText w:val="%1."/>
      <w:numFmt w:val="decimal"/>
      <w:start w:val="13"/>
    </w:lvl>
  </w:abstractNum>
  <w:abstractNum w:abstractNumId="203">
    <w:nsid w:val="6B057295"/>
    <w:multiLevelType w:val="hybridMultilevel"/>
    <w:lvl w:ilvl="0">
      <w:lvlJc w:val="left"/>
      <w:lvlText w:val="%1."/>
      <w:numFmt w:val="decimal"/>
      <w:start w:val="1"/>
    </w:lvl>
  </w:abstractNum>
  <w:abstractNum w:abstractNumId="204">
    <w:nsid w:val="2771AC80"/>
    <w:multiLevelType w:val="hybridMultilevel"/>
    <w:lvl w:ilvl="0">
      <w:lvlJc w:val="left"/>
      <w:lvlText w:val="%1."/>
      <w:numFmt w:val="decimal"/>
      <w:start w:val="2"/>
    </w:lvl>
  </w:abstractNum>
  <w:abstractNum w:abstractNumId="205">
    <w:nsid w:val="1C4A08EC"/>
    <w:multiLevelType w:val="hybridMultilevel"/>
    <w:lvl w:ilvl="0">
      <w:lvlJc w:val="left"/>
      <w:lvlText w:val="%1."/>
      <w:numFmt w:val="decimal"/>
      <w:start w:val="3"/>
    </w:lvl>
  </w:abstractNum>
  <w:abstractNum w:abstractNumId="206">
    <w:nsid w:val="1958BD17"/>
    <w:multiLevelType w:val="hybridMultilevel"/>
    <w:lvl w:ilvl="0">
      <w:lvlJc w:val="left"/>
      <w:lvlText w:val="%1."/>
      <w:numFmt w:val="decimal"/>
      <w:start w:val="4"/>
    </w:lvl>
  </w:abstractNum>
  <w:abstractNum w:abstractNumId="207">
    <w:nsid w:val="4E647FE4"/>
    <w:multiLevelType w:val="hybridMultilevel"/>
    <w:lvl w:ilvl="0">
      <w:lvlJc w:val="left"/>
      <w:lvlText w:val="%1."/>
      <w:numFmt w:val="decimal"/>
      <w:start w:val="5"/>
    </w:lvl>
  </w:abstractNum>
  <w:abstractNum w:abstractNumId="208">
    <w:nsid w:val="E0BB885"/>
    <w:multiLevelType w:val="hybridMultilevel"/>
    <w:lvl w:ilvl="0">
      <w:lvlJc w:val="left"/>
      <w:lvlText w:val="(%1)"/>
      <w:numFmt w:val="decimal"/>
      <w:start w:val="1"/>
    </w:lvl>
  </w:abstractNum>
  <w:abstractNum w:abstractNumId="209">
    <w:nsid w:val="565976F1"/>
    <w:multiLevelType w:val="hybridMultilevel"/>
    <w:lvl w:ilvl="0">
      <w:lvlJc w:val="left"/>
      <w:lvlText w:val="***"/>
      <w:numFmt w:val="bullet"/>
      <w:start w:val="1"/>
    </w:lvl>
  </w:abstractNum>
  <w:abstractNum w:abstractNumId="210">
    <w:nsid w:val="64212B8C"/>
    <w:multiLevelType w:val="hybridMultilevel"/>
    <w:lvl w:ilvl="0">
      <w:lvlJc w:val="left"/>
      <w:lvlText w:val="%1."/>
      <w:numFmt w:val="decimal"/>
      <w:start w:val="6"/>
    </w:lvl>
    <w:lvl w:ilvl="1">
      <w:lvlJc w:val="left"/>
      <w:lvlText w:val="***"/>
      <w:numFmt w:val="bullet"/>
      <w:start w:val="1"/>
    </w:lvl>
  </w:abstractNum>
  <w:abstractNum w:abstractNumId="211">
    <w:nsid w:val="5C17530C"/>
    <w:multiLevelType w:val="hybridMultilevel"/>
    <w:lvl w:ilvl="0">
      <w:lvlJc w:val="left"/>
      <w:lvlText w:val="***"/>
      <w:numFmt w:val="bullet"/>
      <w:start w:val="1"/>
    </w:lvl>
  </w:abstractNum>
  <w:abstractNum w:abstractNumId="212">
    <w:nsid w:val="19A52566"/>
    <w:multiLevelType w:val="hybridMultilevel"/>
    <w:lvl w:ilvl="0">
      <w:lvlJc w:val="left"/>
      <w:lvlText w:val="(%1)"/>
      <w:numFmt w:val="decimal"/>
      <w:start w:val="1"/>
    </w:lvl>
  </w:abstractNum>
  <w:abstractNum w:abstractNumId="213">
    <w:nsid w:val="335A1DF1"/>
    <w:multiLevelType w:val="hybridMultilevel"/>
    <w:lvl w:ilvl="0">
      <w:lvlJc w:val="left"/>
      <w:lvlText w:val="***"/>
      <w:numFmt w:val="bullet"/>
      <w:start w:val="1"/>
    </w:lvl>
  </w:abstractNum>
  <w:abstractNum w:abstractNumId="214">
    <w:nsid w:val="28677B7C"/>
    <w:multiLevelType w:val="hybridMultilevel"/>
    <w:lvl w:ilvl="0">
      <w:lvlJc w:val="left"/>
      <w:lvlText w:val="%1."/>
      <w:numFmt w:val="decimal"/>
      <w:start w:val="8"/>
    </w:lvl>
  </w:abstractNum>
  <w:abstractNum w:abstractNumId="215">
    <w:nsid w:val="378D97C0"/>
    <w:multiLevelType w:val="hybridMultilevel"/>
    <w:lvl w:ilvl="0">
      <w:lvlJc w:val="left"/>
      <w:lvlText w:val="%1."/>
      <w:numFmt w:val="decimal"/>
      <w:start w:val="9"/>
    </w:lvl>
  </w:abstractNum>
  <w:abstractNum w:abstractNumId="216">
    <w:nsid w:val="1D91467C"/>
    <w:multiLevelType w:val="hybridMultilevel"/>
    <w:lvl w:ilvl="0">
      <w:lvlJc w:val="left"/>
      <w:lvlText w:val="(%1)"/>
      <w:numFmt w:val="decimal"/>
      <w:start w:val="1"/>
    </w:lvl>
  </w:abstractNum>
  <w:abstractNum w:abstractNumId="217">
    <w:nsid w:val="316032BB"/>
    <w:multiLevelType w:val="hybridMultilevel"/>
    <w:lvl w:ilvl="0">
      <w:lvlJc w:val="left"/>
      <w:lvlText w:val="(%1)"/>
      <w:numFmt w:val="decimal"/>
      <w:start w:val="1"/>
    </w:lvl>
  </w:abstractNum>
  <w:abstractNum w:abstractNumId="218">
    <w:nsid w:val="44344C22"/>
    <w:multiLevelType w:val="hybridMultilevel"/>
    <w:lvl w:ilvl="0">
      <w:lvlJc w:val="left"/>
      <w:lvlText w:val="(%1)"/>
      <w:numFmt w:val="decimal"/>
      <w:start w:val="1"/>
    </w:lvl>
  </w:abstractNum>
  <w:abstractNum w:abstractNumId="219">
    <w:nsid w:val="13CDFCFC"/>
    <w:multiLevelType w:val="hybridMultilevel"/>
    <w:lvl w:ilvl="0">
      <w:lvlJc w:val="left"/>
      <w:lvlText w:val="%1."/>
      <w:numFmt w:val="decimal"/>
      <w:start w:val="10"/>
    </w:lvl>
  </w:abstractNum>
  <w:abstractNum w:abstractNumId="220">
    <w:nsid w:val="471745E4"/>
    <w:multiLevelType w:val="hybridMultilevel"/>
    <w:lvl w:ilvl="0">
      <w:lvlJc w:val="left"/>
      <w:lvlText w:val="%1."/>
      <w:numFmt w:val="decimal"/>
      <w:start w:val="11"/>
    </w:lvl>
  </w:abstractNum>
  <w:abstractNum w:abstractNumId="221">
    <w:nsid w:val="1DDBC66"/>
    <w:multiLevelType w:val="hybridMultilevel"/>
    <w:lvl w:ilvl="0">
      <w:lvlJc w:val="left"/>
      <w:lvlText w:val="%1."/>
      <w:numFmt w:val="decimal"/>
      <w:start w:val="12"/>
    </w:lvl>
  </w:abstractNum>
  <w:abstractNum w:abstractNumId="222">
    <w:nsid w:val="30AADFDA"/>
    <w:multiLevelType w:val="hybridMultilevel"/>
    <w:lvl w:ilvl="0">
      <w:lvlJc w:val="left"/>
      <w:lvlText w:val="%1."/>
      <w:numFmt w:val="decimal"/>
      <w:start w:val="13"/>
    </w:lvl>
  </w:abstractNum>
  <w:abstractNum w:abstractNumId="223">
    <w:nsid w:val="30EADA61"/>
    <w:multiLevelType w:val="hybridMultilevel"/>
    <w:lvl w:ilvl="0">
      <w:lvlJc w:val="left"/>
      <w:lvlText w:val="1"/>
      <w:numFmt w:val="bullet"/>
      <w:start w:val="1"/>
    </w:lvl>
  </w:abstractNum>
  <w:abstractNum w:abstractNumId="224">
    <w:nsid w:val="27179C0B"/>
    <w:multiLevelType w:val="hybridMultilevel"/>
    <w:lvl w:ilvl="0">
      <w:lvlJc w:val="left"/>
      <w:lvlText w:val="2"/>
      <w:numFmt w:val="bullet"/>
      <w:start w:val="1"/>
    </w:lvl>
  </w:abstractNum>
  <w:abstractNum w:abstractNumId="225">
    <w:nsid w:val="5E636063"/>
    <w:multiLevelType w:val="hybridMultilevel"/>
    <w:lvl w:ilvl="0">
      <w:lvlJc w:val="left"/>
      <w:lvlText w:val="3"/>
      <w:numFmt w:val="bullet"/>
      <w:start w:val="1"/>
    </w:lvl>
  </w:abstractNum>
  <w:abstractNum w:abstractNumId="226">
    <w:nsid w:val="215641AF"/>
    <w:multiLevelType w:val="hybridMultilevel"/>
    <w:lvl w:ilvl="0">
      <w:lvlJc w:val="left"/>
      <w:lvlText w:val="%1."/>
      <w:numFmt w:val="decimal"/>
      <w:start w:val="1"/>
    </w:lvl>
    <w:lvl w:ilvl="1">
      <w:lvlJc w:val="left"/>
      <w:lvlText w:val="(%2)"/>
      <w:numFmt w:val="lowerLetter"/>
      <w:start w:val="1"/>
    </w:lvl>
  </w:abstractNum>
  <w:abstractNum w:abstractNumId="227">
    <w:nsid w:val="53280662"/>
    <w:multiLevelType w:val="hybridMultilevel"/>
    <w:lvl w:ilvl="0">
      <w:lvlJc w:val="left"/>
      <w:lvlText w:val="%1."/>
      <w:numFmt w:val="decimal"/>
      <w:start w:val="1"/>
    </w:lvl>
    <w:lvl w:ilvl="1">
      <w:lvlJc w:val="left"/>
      <w:lvlText w:val="%2)"/>
      <w:numFmt w:val="lowerLetter"/>
      <w:start w:val="1"/>
    </w:lvl>
  </w:abstractNum>
  <w:abstractNum w:abstractNumId="228">
    <w:nsid w:val="46B24DBC"/>
    <w:multiLevelType w:val="hybridMultilevel"/>
    <w:lvl w:ilvl="0">
      <w:lvlJc w:val="left"/>
      <w:lvlText w:val="(%1)"/>
      <w:numFmt w:val="decimal"/>
      <w:start w:val="1"/>
    </w:lvl>
  </w:abstractNum>
  <w:abstractNum w:abstractNumId="229">
    <w:nsid w:val="75B5278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5"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jpe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jpe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jpe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jpe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jpe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jpe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jpe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jpe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jpe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jpeg"/><Relationship Id="rId287" Type="http://schemas.openxmlformats.org/officeDocument/2006/relationships/image" Target="media/image263.png"/><Relationship Id="rId288" Type="http://schemas.openxmlformats.org/officeDocument/2006/relationships/image" Target="media/image264.jpe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jpe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jpe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jpe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jpe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jpe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jpe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jpe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jpe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jpe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jpeg"/><Relationship Id="rId323" Type="http://schemas.openxmlformats.org/officeDocument/2006/relationships/image" Target="media/image299.png"/><Relationship Id="rId164" Type="http://schemas.openxmlformats.org/officeDocument/2006/relationships/hyperlink" Target="http://www.sec.gov/Archives/edgar/data/1697818/000119312517315220/d347875dex32.htm" TargetMode="External"/><Relationship Id="rId165" Type="http://schemas.openxmlformats.org/officeDocument/2006/relationships/hyperlink" Target="http://www.sec.gov/Archives/edgar/data/1697818/000119312517358756/d347875dex43.htm" TargetMode="External"/><Relationship Id="rId166" Type="http://schemas.openxmlformats.org/officeDocument/2006/relationships/hyperlink" Target="http://www.sec.gov/Archives/edgar/data/1697818/000119312517315220/d347875dex42.htm" TargetMode="External"/><Relationship Id="rId167" Type="http://schemas.openxmlformats.org/officeDocument/2006/relationships/hyperlink" Target="http://www.sec.gov/Archives/edgar/data/1697818/000119312517315220/d347875dex101.htm" TargetMode="External"/><Relationship Id="rId168" Type="http://schemas.openxmlformats.org/officeDocument/2006/relationships/hyperlink" Target="http://www.sec.gov/Archives/edgar/data/1697818/000119312517315220/d347875dex102.htm" TargetMode="External"/><Relationship Id="rId169" Type="http://schemas.openxmlformats.org/officeDocument/2006/relationships/hyperlink" Target="http://www.sec.gov/Archives/edgar/data/1697818/000119312517315220/d347875dex103.htm" TargetMode="External"/><Relationship Id="rId170" Type="http://schemas.openxmlformats.org/officeDocument/2006/relationships/hyperlink" Target="http://www.sec.gov/Archives/edgar/data/1697818/000119312517315220/d347875dex104.htm" TargetMode="External"/><Relationship Id="rId171" Type="http://schemas.openxmlformats.org/officeDocument/2006/relationships/hyperlink" Target="http://www.sec.gov/Archives/edgar/data/1697818/000119312517315220/d347875dex105.htm" TargetMode="External"/><Relationship Id="rId172" Type="http://schemas.openxmlformats.org/officeDocument/2006/relationships/hyperlink" Target="http://www.sec.gov/Archives/edgar/data/1697818/000119312517315220/d347875dex106.htm" TargetMode="External"/><Relationship Id="rId173" Type="http://schemas.openxmlformats.org/officeDocument/2006/relationships/hyperlink" Target="http://www.sec.gov/Archives/edgar/data/1697818/000119312517315220/d347875dex107.htm" TargetMode="External"/><Relationship Id="rId174" Type="http://schemas.openxmlformats.org/officeDocument/2006/relationships/hyperlink" Target="http://www.sec.gov/Archives/edgar/data/1697818/000119312517315220/d347875dex108.htm" TargetMode="External"/><Relationship Id="rId176" Type="http://schemas.openxmlformats.org/officeDocument/2006/relationships/hyperlink" Target="http://www.sec.gov/Archives/edgar/data/1697818/000119312517315220/d347875dex109.htm" TargetMode="External"/><Relationship Id="rId177" Type="http://schemas.openxmlformats.org/officeDocument/2006/relationships/hyperlink" Target="http://www.sec.gov/Archives/edgar/data/1697818/000119312517315220/d347875dex1010.htm" TargetMode="External"/><Relationship Id="rId178" Type="http://schemas.openxmlformats.org/officeDocument/2006/relationships/hyperlink" Target="http://www.sec.gov/Archives/edgar/data/1697818/000119312517315220/d347875dex1011.htm" TargetMode="External"/><Relationship Id="rId179" Type="http://schemas.openxmlformats.org/officeDocument/2006/relationships/hyperlink" Target="http://www.sec.gov/Archives/edgar/data/1697818/000119312517315220/d347875dex1012.htm" TargetMode="External"/><Relationship Id="rId180" Type="http://schemas.openxmlformats.org/officeDocument/2006/relationships/hyperlink" Target="http://www.sec.gov/Archives/edgar/data/1697818/000119312517315220/d347875dex1013.htm" TargetMode="External"/><Relationship Id="rId181" Type="http://schemas.openxmlformats.org/officeDocument/2006/relationships/hyperlink" Target="http://www.sec.gov/Archives/edgar/data/1697818/000119312517315220/d347875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2019-12-08T16:11:48Z</dcterms:created>
  <dcterms:modified xsi:type="dcterms:W3CDTF">2019-12-08T16:11:48Z</dcterms:modified>
</cp:coreProperties>
</file>