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808"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6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Zhang</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Zhang</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6858000" cy="3000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2022 Third-Quarter Unaudited Financial Results</w:t>
      </w:r>
    </w:p>
    <w:p>
      <w:pPr>
        <w:spacing w:after="0" w:line="205" w:lineRule="exact"/>
        <w:rPr>
          <w:sz w:val="20"/>
          <w:szCs w:val="20"/>
          <w:color w:val="auto"/>
        </w:rPr>
      </w:pPr>
    </w:p>
    <w:p>
      <w:pPr>
        <w:ind w:left="3500" w:hanging="104"/>
        <w:spacing w:after="0"/>
        <w:tabs>
          <w:tab w:leader="none" w:pos="350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Enterprise Solutions revenue recorded a 16% QoQ growth –</w:t>
      </w:r>
    </w:p>
    <w:p>
      <w:pPr>
        <w:spacing w:after="0" w:line="29" w:lineRule="exact"/>
        <w:rPr>
          <w:rFonts w:ascii="Times New Roman" w:cs="Times New Roman" w:eastAsia="Times New Roman" w:hAnsi="Times New Roman"/>
          <w:sz w:val="18"/>
          <w:szCs w:val="18"/>
          <w:i w:val="1"/>
          <w:iCs w:val="1"/>
          <w:color w:val="auto"/>
        </w:rPr>
      </w:pPr>
    </w:p>
    <w:p>
      <w:pPr>
        <w:ind w:left="2760" w:hanging="98"/>
        <w:spacing w:after="0"/>
        <w:tabs>
          <w:tab w:leader="none" w:pos="27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Enterprise Solutions’ revenues contribution reached a new record-high of 39% –</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November 30, 2022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unaudited financial results for the third quarter ended September 30, 2022.</w:t>
      </w: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19"/>
                <w:szCs w:val="19"/>
                <w:color w:val="auto"/>
              </w:rPr>
            </w:pPr>
          </w:p>
        </w:tc>
        <w:tc>
          <w:tcPr>
            <w:tcW w:w="43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187"/>
        </w:trPr>
        <w:tc>
          <w:tcPr>
            <w:tcW w:w="69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69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03"/>
        </w:trPr>
        <w:tc>
          <w:tcPr>
            <w:tcW w:w="6900" w:type="dxa"/>
            <w:vAlign w:val="bottom"/>
          </w:tcPr>
          <w:p>
            <w:pPr>
              <w:spacing w:after="0"/>
              <w:rPr>
                <w:sz w:val="17"/>
                <w:szCs w:val="17"/>
                <w:color w:val="auto"/>
              </w:rPr>
            </w:pPr>
          </w:p>
        </w:tc>
        <w:tc>
          <w:tcPr>
            <w:tcW w:w="268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i w:val="1"/>
                <w:iCs w:val="1"/>
                <w:color w:val="auto"/>
              </w:rPr>
              <w:t>(US$ in thousands)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6900" w:type="dxa"/>
            <w:vAlign w:val="bottom"/>
          </w:tcPr>
          <w:p>
            <w:pPr>
              <w:spacing w:after="0"/>
              <w:rPr>
                <w:sz w:val="20"/>
                <w:szCs w:val="20"/>
                <w:color w:val="auto"/>
              </w:rPr>
            </w:pPr>
          </w:p>
        </w:tc>
        <w:tc>
          <w:tcPr>
            <w:tcW w:w="18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Solutions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24,987</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66,556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Solutions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16,041</w:t>
            </w: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41,028</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9,201</w:t>
            </w: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(19,400)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(8,453)</w:t>
            </w:r>
          </w:p>
        </w:tc>
        <w:tc>
          <w:tcPr>
            <w:tcW w:w="3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6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net (loss)/income</w:t>
            </w:r>
            <w:r>
              <w:rPr>
                <w:rFonts w:ascii="Times New Roman" w:cs="Times New Roman" w:eastAsia="Times New Roman" w:hAnsi="Times New Roman"/>
                <w:sz w:val="29"/>
                <w:szCs w:val="29"/>
                <w:color w:val="auto"/>
                <w:vertAlign w:val="superscript"/>
              </w:rPr>
              <w:t>1</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(10,185)</w:t>
            </w:r>
          </w:p>
        </w:tc>
        <w:tc>
          <w:tcPr>
            <w:tcW w:w="3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Diluted adjusted net (loss)/income per American Depositary Shares (“ADS”)</w:t>
            </w:r>
            <w:r>
              <w:rPr>
                <w:rFonts w:ascii="Times New Roman" w:cs="Times New Roman" w:eastAsia="Times New Roman" w:hAnsi="Times New Roman"/>
                <w:sz w:val="29"/>
                <w:szCs w:val="29"/>
                <w:color w:val="auto"/>
                <w:vertAlign w:val="superscript"/>
              </w:rPr>
              <w:t>1,2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61,748</w:t>
            </w: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5" w:lineRule="exact"/>
        <w:rPr>
          <w:sz w:val="20"/>
          <w:szCs w:val="20"/>
          <w:color w:val="auto"/>
        </w:rPr>
      </w:pPr>
    </w:p>
    <w:p>
      <w:pPr>
        <w:ind w:firstLine="8"/>
        <w:spacing w:after="0" w:line="195" w:lineRule="auto"/>
        <w:tabs>
          <w:tab w:leader="none" w:pos="126"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4" w:lineRule="exact"/>
        <w:rPr>
          <w:sz w:val="20"/>
          <w:szCs w:val="20"/>
          <w:color w:val="auto"/>
        </w:rPr>
      </w:pPr>
    </w:p>
    <w:p>
      <w:pPr>
        <w:jc w:val="both"/>
        <w:ind w:right="20" w:firstLine="8"/>
        <w:spacing w:after="0" w:line="210" w:lineRule="auto"/>
        <w:tabs>
          <w:tab w:leader="none" w:pos="12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November 14, 2022, the Company changed the ratio of the ADS representing its Class A ordinary shares from one ADS representing one-half of one Class A ordinary share to one ADS representing five Class A ordinary shares. The diluted adjusted net (loss)/income per ADS as presented in this document has not been retrospectively adjusted to reflect the impact of the ratio change on the ADS.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Jian “T.J.” Tang, Chairman, Chief Executive Officer and Co-Founder of iClick, said, “The Company has maintained a prudent cash position in order to operate in this volatile macro environment and embrace opportunities for potential economic recovery. In the third quarter of 2022, the Company recorded sequential growth in its total revenue with Marketing Solutions revenue increasing slightly and Enterprise Solutions revenue growing by 16% quarter-over-quarter. Our core teams and products remain intact, and we continue to strengthen our capabilities in offering valuable services to our clients. We remain confident that strong demand for digital transformation and online advertising will resume as China’s economy continues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2022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third quarter of 2022 was US$41.0 million, compared with US$86.8 million for the third quarter of 2021, mainly due to the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from Marketing Solutions.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from Marketing Solutions </w:t>
      </w:r>
      <w:r>
        <w:rPr>
          <w:rFonts w:ascii="Times New Roman" w:cs="Times New Roman" w:eastAsia="Times New Roman" w:hAnsi="Times New Roman"/>
          <w:sz w:val="18"/>
          <w:szCs w:val="18"/>
          <w:color w:val="auto"/>
        </w:rPr>
        <w:t>declined to US$25.0 million for the third quarter of 2022, compared with US$66.6 million for the third quarter of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because we strategically reduced lower margin and higher risk businesses within the Marketing Solutions segment. The decline in revenue from Marketing Solutions was also due to the tightened regulation targeting certain industries in which our clients operate and consumer sentiment with respect to the uncertainties of the macro economic environment from pandemic impact, which led to a broad-based advertising market slowdown in China.</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from Enterprise Solutions </w:t>
      </w:r>
      <w:r>
        <w:rPr>
          <w:rFonts w:ascii="Times New Roman" w:cs="Times New Roman" w:eastAsia="Times New Roman" w:hAnsi="Times New Roman"/>
          <w:sz w:val="18"/>
          <w:szCs w:val="18"/>
          <w:color w:val="auto"/>
        </w:rPr>
        <w:t>was US$16.0 million for the third quarter of 2022, compared with US$20.3 million for the third quarter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revenue was primarily due to challenges from the pandemic and lockdowns, which affected the progress of our client on-boarding and solution implementation in 2022.</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third quarter of 2022 was US$9.2 million, compared with US$21.7 million for the third quarter of 2021, aligned with the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Gross profit margin decreased to 22.4% for the third quarter of 2022 from 25.0% for the third quarter of 2021, as a result of weak advertising market in China.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US$20.8 million for the third quarter of 2022, compared with US$24.1 million for the third quarter of 2021. The change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a decrease in share-based compensation expenses as well as savings on staff cost and promotional expenses in connection with our cost optimization.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was US$11.6 million for the third quarter of 2022, compared with US$2.3 million for the third quarter of 2021. This decline was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decrease in gross profit.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impairment </w:t>
      </w:r>
      <w:r>
        <w:rPr>
          <w:rFonts w:ascii="Times New Roman" w:cs="Times New Roman" w:eastAsia="Times New Roman" w:hAnsi="Times New Roman"/>
          <w:sz w:val="18"/>
          <w:szCs w:val="18"/>
          <w:color w:val="auto"/>
        </w:rPr>
        <w:t>of US$3.7 million was recorded for the third quarter of 2022 for Marketing Solutions reporting unit. This partial,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charge was primarily due to the tailing impact of COVID-19 lockdowns, which resulted in a shortfall between the carrying value and the estimated fair value of this reporting unit as of September 30, 2022.</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totalled US$19.4 million for the third quarter of 2022, compared with US$2.6 million for the third quarter of 2021, mainly attributed to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US$11.6 million, goodwill impairment of US$3.7 million and impairment of equity investments of US$3.4 million.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the Company’s shareholders per basic and diluted ADS for the third quarter of 2022 were US$0.19, compared with a net loss attributable to the Company’s shareholders per basic and diluted ADS of US$0.02 for the third quarter of 2021.</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for the third quarter of 2022 was a loss of US$8.5 million, compared with earnings of US$3.6 million for the third quarter of 2021.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reconciliation of the Company’s adjusted EBITDA from net loss, its most comparable GAAP measure, please refer to “Unaudited Reconciliations of GAAP and Non-GAAP Results.”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net loss </w:t>
      </w:r>
      <w:r>
        <w:rPr>
          <w:rFonts w:ascii="Times New Roman" w:cs="Times New Roman" w:eastAsia="Times New Roman" w:hAnsi="Times New Roman"/>
          <w:sz w:val="18"/>
          <w:szCs w:val="18"/>
          <w:color w:val="auto"/>
        </w:rPr>
        <w:t>for the third quarter of 2022 was US$10.2 million, compared with an adjusted net income of US$0.8 million in the third quarter of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reconciliation of the Company’s adjusted net (loss)/income from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Gross billing</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US$61.7 million for the third quarter of 2022, compared with US$195.4 million for the third quarter of 2021, primarily contributed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contraction in Marketing Solutions segment.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cash and cash equivalents, time deposits and restricted cash of US$99.9 million, compared with US$88.7 million as of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2021, the Company announced a share repurchase program in which it may purchase its own ADSs with an aggregate value of up to US$20.0 million from January 1, 2022 to December 31, 2022. As of September 30, 2022, the aggregate value of purchased shares was approximately US$7.3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November 30, 2022 (9:00 PM Beijing/Hong Kong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2022). Participants may join the call through either of the below methods:</w:t>
      </w:r>
    </w:p>
    <w:p>
      <w:pPr>
        <w:spacing w:after="0" w:line="20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Dial-in to the conference call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asked to pre-register for the call via the following 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https://s1.c-conf.com/diamondpass/10027062-wh4b2i.html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registered participants will receive their dial in number upon registration.</w:t>
      </w:r>
    </w:p>
    <w:p>
      <w:pPr>
        <w:spacing w:after="0" w:line="22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Webcast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also join a live and archived webcast of the call through the below 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https://edge.media-server.com/mmc/p/28t5xvzq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iClick’s investor relations website at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two hours after the end of the call through November 30, 2023. The webcast replay can be accessed through the above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adjusted EBITDA, adjusted net (loss)/income, and diluted adjusted net (loss)/income per ADS, each a non-GAAP financial measure, in evaluating the Company’s operating results and for financial and operational decision-making purposes. The Company believes that adjusted EBITDA, adjusted net (loss)/income, and diluted adjusted net (loss)/income per ADS help identify underlying trends in the Company’s business that could otherwise be distorted by the effect of the expenses and gains that the Company includes in net loss. The Company believes that adjusted EBITDA and adjusted net (loss)/income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adjusted net (loss)/income, and diluted adjusted net (loss)/income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(loss)/income, and diluted adjusted net (loss)/income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980" w:type="dxa"/>
            <w:vAlign w:val="bottom"/>
          </w:tcPr>
          <w:p>
            <w:pPr>
              <w:spacing w:after="0"/>
              <w:rPr>
                <w:sz w:val="20"/>
                <w:szCs w:val="20"/>
                <w:color w:val="auto"/>
              </w:rPr>
            </w:pPr>
          </w:p>
        </w:tc>
      </w:tr>
      <w:tr>
        <w:trPr>
          <w:trHeight w:val="41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Lisa Li</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+86-21-3230-3931 #866</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194"/>
        </w:trPr>
        <w:tc>
          <w:tcPr>
            <w:tcW w:w="4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 ir@i-click.com</w:t>
            </w:r>
          </w:p>
        </w:tc>
        <w:tc>
          <w:tcPr>
            <w:tcW w:w="6980" w:type="dxa"/>
            <w:vAlign w:val="bottom"/>
          </w:tcPr>
          <w:p>
            <w:pPr>
              <w:ind w:left="1360"/>
              <w:spacing w:after="0" w:line="194" w:lineRule="exact"/>
              <w:rPr>
                <w:sz w:val="20"/>
                <w:szCs w:val="20"/>
                <w:color w:val="auto"/>
              </w:rPr>
            </w:pPr>
            <w:r>
              <w:rPr>
                <w:rFonts w:ascii="Times New Roman" w:cs="Times New Roman" w:eastAsia="Times New Roman" w:hAnsi="Times New Roman"/>
                <w:sz w:val="18"/>
                <w:szCs w:val="18"/>
                <w:color w:val="auto"/>
              </w:rPr>
              <w:t>E-mail: tomc@coreir.com</w:t>
            </w:r>
          </w:p>
        </w:tc>
      </w:tr>
      <w:tr>
        <w:trPr>
          <w:trHeight w:val="453"/>
        </w:trPr>
        <w:tc>
          <w:tcPr>
            <w:tcW w:w="6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tables follow)</w:t>
            </w:r>
          </w:p>
        </w:tc>
      </w:tr>
      <w:tr>
        <w:trPr>
          <w:trHeight w:val="675"/>
        </w:trPr>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(31,827)</w:t>
            </w:r>
          </w:p>
        </w:tc>
        <w:tc>
          <w:tcPr>
            <w:tcW w:w="4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(65,099)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(92,030)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(165,776)</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(2,370)</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(6,788)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(10,073)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(12,706)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(32,642)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(42,264)</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(8,376)</w:t>
            </w:r>
          </w:p>
        </w:tc>
        <w:tc>
          <w:tcPr>
            <w:tcW w:w="4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(9,081)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(24,830)</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(3,730)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(28,675)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(3,857)</w:t>
            </w: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(5,990)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2,955</w:t>
            </w:r>
          </w:p>
        </w:tc>
      </w:tr>
      <w:tr>
        <w:trPr>
          <w:trHeight w:val="174"/>
        </w:trPr>
        <w:tc>
          <w:tcPr>
            <w:tcW w:w="55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 expense and share of losses from an equity</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investee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(19,223)</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(74,045)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436</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1,860</w:t>
            </w:r>
          </w:p>
        </w:tc>
      </w:tr>
      <w:tr>
        <w:trPr>
          <w:trHeight w:val="174"/>
        </w:trPr>
        <w:tc>
          <w:tcPr>
            <w:tcW w:w="55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2"/>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(18,964)</w:t>
            </w:r>
          </w:p>
        </w:tc>
        <w:tc>
          <w:tcPr>
            <w:tcW w:w="42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(72,646)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(7,645)</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(19,400)</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(2,632)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(798)</w:t>
            </w: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(3,706)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2,229</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interests Comprehensive loss attributable to iClick Interactive Asia Group</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Limited’s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5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(20,198)</w:t>
            </w:r>
          </w:p>
        </w:tc>
        <w:tc>
          <w:tcPr>
            <w:tcW w:w="14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(2,491)</w:t>
            </w:r>
          </w:p>
        </w:tc>
        <w:tc>
          <w:tcPr>
            <w:tcW w:w="14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(78,169)</w:t>
            </w:r>
          </w:p>
        </w:tc>
        <w:tc>
          <w:tcPr>
            <w:tcW w:w="1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(7,276)</w:t>
            </w:r>
          </w:p>
        </w:tc>
      </w:t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60" w:type="dxa"/>
            <w:vAlign w:val="bottom"/>
          </w:tcPr>
          <w:p>
            <w:pPr>
              <w:spacing w:after="0"/>
              <w:rPr>
                <w:sz w:val="20"/>
                <w:szCs w:val="20"/>
                <w:color w:val="auto"/>
              </w:rPr>
            </w:pPr>
          </w:p>
        </w:tc>
      </w:tr>
      <w:tr>
        <w:trPr>
          <w:trHeight w:val="459"/>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-453390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20" w:space="500"/>
            <w:col w:w="57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5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Net loss per ADS attributable to iClick Interactive Asia Group</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5"/>
        </w:trPr>
        <w:tc>
          <w:tcPr>
            <w:tcW w:w="5520" w:type="dxa"/>
            <w:vAlign w:val="bottom"/>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Limited’s ordinary shareholders</w:t>
            </w:r>
            <w:r>
              <w:rPr>
                <w:rFonts w:ascii="Times New Roman" w:cs="Times New Roman" w:eastAsia="Times New Roman" w:hAnsi="Times New Roman"/>
                <w:sz w:val="29"/>
                <w:szCs w:val="29"/>
                <w:b w:val="1"/>
                <w:bCs w:val="1"/>
                <w:color w:val="auto"/>
                <w:vertAlign w:val="superscript"/>
              </w:rPr>
              <w:t>2</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101,274,236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97,110,704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100,561,336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95,924,233</w:t>
            </w:r>
          </w:p>
        </w:tc>
        <w:tc>
          <w:tcPr>
            <w:tcW w:w="100" w:type="dxa"/>
            <w:vAlign w:val="bottom"/>
            <w:shd w:val="clear" w:color="auto" w:fill="CCEEFF"/>
          </w:tcPr>
          <w:p>
            <w:pPr>
              <w:spacing w:after="0"/>
              <w:rPr>
                <w:sz w:val="18"/>
                <w:szCs w:val="18"/>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101,274,236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97,110,704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100,561,336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95,924,233</w:t>
            </w:r>
          </w:p>
        </w:tc>
        <w:tc>
          <w:tcPr>
            <w:tcW w:w="10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ICLICK INTERACTIVE ASIA GROUP LIMITED Unaudited Condensed Consolidated Balance Sheets </w:t>
      </w:r>
      <w:r>
        <w:rPr>
          <w:rFonts w:ascii="Times New Roman" w:cs="Times New Roman" w:eastAsia="Times New Roman" w:hAnsi="Times New Roman"/>
          <w:sz w:val="18"/>
          <w:szCs w:val="18"/>
          <w:color w:val="auto"/>
        </w:rPr>
        <w:t>(US$’000, except share data and per share data, or otherwise noted,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99,897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88,717</w:t>
            </w: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US$33,533 and US$22,786 as of September 30,</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187,261</w:t>
            </w:r>
          </w:p>
        </w:tc>
        <w:tc>
          <w:tcPr>
            <w:tcW w:w="80" w:type="dxa"/>
            <w:vAlign w:val="bottom"/>
          </w:tcPr>
          <w:p>
            <w:pPr>
              <w:spacing w:after="0"/>
              <w:rPr>
                <w:sz w:val="20"/>
                <w:szCs w:val="20"/>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45,639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75,288</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51,775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81,674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51,430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53,713</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36,292</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21,081</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356,241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507,734</w:t>
            </w:r>
          </w:p>
        </w:tc>
        <w:tc>
          <w:tcPr>
            <w:tcW w:w="80" w:type="dxa"/>
            <w:vAlign w:val="bottom"/>
          </w:tcPr>
          <w:p>
            <w:pPr>
              <w:spacing w:after="0"/>
              <w:rPr>
                <w:sz w:val="24"/>
                <w:szCs w:val="24"/>
                <w:color w:val="auto"/>
              </w:rPr>
            </w:pPr>
          </w:p>
        </w:tc>
      </w:tr>
      <w:tr>
        <w:trPr>
          <w:trHeight w:val="197"/>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66,587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39,116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75,530</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60,718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58,728</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15,300</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216,145</w:t>
            </w:r>
          </w:p>
        </w:tc>
        <w:tc>
          <w:tcPr>
            <w:tcW w:w="80" w:type="dxa"/>
            <w:vAlign w:val="bottom"/>
            <w:shd w:val="clear" w:color="auto" w:fill="CCEEFF"/>
          </w:tcPr>
          <w:p>
            <w:pPr>
              <w:spacing w:after="0"/>
              <w:rPr>
                <w:sz w:val="19"/>
                <w:szCs w:val="19"/>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A (US$0.001 par value; 80,000,000 shares authorized as of September 30, 2022 and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 43,734,301 shares and 42,865,515 shares issued and outstanding as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0"/>
                <w:szCs w:val="20"/>
                <w:color w:val="auto"/>
              </w:rPr>
            </w:pP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B (US$0.001 par value; 20,000,000 shares authorized as of September 30, 2022 and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 5,034,427 shares issued and outstanding as of September 30, 2022 and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(5,284,300 shares and 2,323,802 shares as of September 30, 2022 and December 31, 2021,</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(28,173)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(20,908)</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305,212</w:t>
            </w:r>
          </w:p>
        </w:tc>
        <w:tc>
          <w:tcPr>
            <w:tcW w:w="80" w:type="dxa"/>
            <w:vAlign w:val="bottom"/>
          </w:tcPr>
          <w:p>
            <w:pPr>
              <w:spacing w:after="0"/>
              <w:rPr>
                <w:sz w:val="19"/>
                <w:szCs w:val="19"/>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iClick Interactive Asia Group Limited shareholders’ equity</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7,237</w:t>
            </w:r>
          </w:p>
        </w:tc>
        <w:tc>
          <w:tcPr>
            <w:tcW w:w="80" w:type="dxa"/>
            <w:vAlign w:val="bottom"/>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208,952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291,589</w:t>
            </w:r>
          </w:p>
        </w:tc>
        <w:tc>
          <w:tcPr>
            <w:tcW w:w="80" w:type="dxa"/>
            <w:vAlign w:val="bottom"/>
          </w:tcPr>
          <w:p>
            <w:pPr>
              <w:spacing w:after="0"/>
              <w:rPr>
                <w:sz w:val="24"/>
                <w:szCs w:val="24"/>
                <w:color w:val="auto"/>
              </w:rPr>
            </w:pPr>
          </w:p>
        </w:tc>
      </w:tr>
      <w:tr>
        <w:trPr>
          <w:trHeight w:val="196"/>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356,241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507,734</w:t>
            </w:r>
          </w:p>
        </w:tc>
        <w:tc>
          <w:tcPr>
            <w:tcW w:w="80" w:type="dxa"/>
            <w:vAlign w:val="bottom"/>
          </w:tcPr>
          <w:p>
            <w:pPr>
              <w:spacing w:after="0"/>
              <w:rPr>
                <w:sz w:val="21"/>
                <w:szCs w:val="2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ICLICK INTERACTIVE ASIA GROUP LIMITED Unaudited Reconciliations of GAAP and Non-GAAP Results </w:t>
      </w:r>
      <w:r>
        <w:rPr>
          <w:rFonts w:ascii="Times New Roman" w:cs="Times New Roman" w:eastAsia="Times New Roman" w:hAnsi="Times New Roman"/>
          <w:sz w:val="18"/>
          <w:szCs w:val="18"/>
          <w:color w:val="auto"/>
        </w:rPr>
        <w:t>(US$’000, except share data and per share data, or otherwise noted, unaudited)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interest income, (iv) income tax expense, (v) share-based compensation, (vi) goodwill impairment, (vii) other losses/(gains), net, (viii) convertible notes and shares issuance cost, (ix) net loss attributable to non-controlling interests, (x) share of losses from an equity investee, and (xi) cost related to new business setup or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(1,004)</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12,270</w:t>
            </w:r>
          </w:p>
        </w:tc>
        <w:tc>
          <w:tcPr>
            <w:tcW w:w="80" w:type="dxa"/>
            <w:vAlign w:val="bottom"/>
            <w:shd w:val="clear" w:color="auto" w:fill="CCEEFF"/>
          </w:tcPr>
          <w:p>
            <w:pPr>
              <w:spacing w:after="0"/>
              <w:rPr>
                <w:sz w:val="18"/>
                <w:szCs w:val="18"/>
                <w:color w:val="auto"/>
              </w:rPr>
            </w:pP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9"/>
                <w:szCs w:val="29"/>
                <w:color w:val="auto"/>
                <w:vertAlign w:val="superscript"/>
              </w:rPr>
              <w:t>4</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3,730</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28,675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losses/(gains), net</w:t>
            </w:r>
            <w:r>
              <w:rPr>
                <w:rFonts w:ascii="Times New Roman" w:cs="Times New Roman" w:eastAsia="Times New Roman" w:hAnsi="Times New Roman"/>
                <w:sz w:val="29"/>
                <w:szCs w:val="29"/>
                <w:color w:val="auto"/>
                <w:vertAlign w:val="superscript"/>
              </w:rPr>
              <w:t>5</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9,732</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Convertible notes and shares issuance cost</w:t>
            </w:r>
            <w:r>
              <w:rPr>
                <w:rFonts w:ascii="Times New Roman" w:cs="Times New Roman" w:eastAsia="Times New Roman" w:hAnsi="Times New Roman"/>
                <w:sz w:val="29"/>
                <w:szCs w:val="29"/>
                <w:color w:val="auto"/>
                <w:vertAlign w:val="superscript"/>
              </w:rPr>
              <w:t>6</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2"/>
                <w:szCs w:val="22"/>
                <w:color w:val="auto"/>
              </w:rPr>
            </w:pP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7</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shd w:val="clear" w:color="auto" w:fill="CCEEFF"/>
          </w:tcPr>
          <w:p>
            <w:pPr>
              <w:spacing w:after="0"/>
              <w:rPr>
                <w:sz w:val="22"/>
                <w:szCs w:val="22"/>
                <w:color w:val="auto"/>
              </w:rPr>
            </w:pPr>
          </w:p>
        </w:tc>
      </w:tr>
      <w:tr>
        <w:trPr>
          <w:trHeight w:val="256"/>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 of losses from an equity investee</w:t>
            </w:r>
            <w:r>
              <w:rPr>
                <w:rFonts w:ascii="Times New Roman" w:cs="Times New Roman" w:eastAsia="Times New Roman" w:hAnsi="Times New Roman"/>
                <w:sz w:val="29"/>
                <w:szCs w:val="29"/>
                <w:color w:val="auto"/>
                <w:vertAlign w:val="superscript"/>
              </w:rPr>
              <w:t>8</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2"/>
                <w:szCs w:val="22"/>
                <w:color w:val="auto"/>
              </w:rPr>
            </w:pPr>
          </w:p>
        </w:tc>
      </w:tr>
      <w:tr>
        <w:trPr>
          <w:trHeight w:val="270"/>
        </w:trPr>
        <w:tc>
          <w:tcPr>
            <w:tcW w:w="55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Cost related to new business setup or acquisitions</w:t>
            </w:r>
            <w:r>
              <w:rPr>
                <w:rFonts w:ascii="Times New Roman" w:cs="Times New Roman" w:eastAsia="Times New Roman" w:hAnsi="Times New Roman"/>
                <w:sz w:val="29"/>
                <w:szCs w:val="29"/>
                <w:color w:val="auto"/>
                <w:vertAlign w:val="superscript"/>
              </w:rPr>
              <w:t>9</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3"/>
                <w:szCs w:val="23"/>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Goodwill impairment represents the shortfall between the carrying value and the estimated fair value of Marketing Solutions reporting unit due to the volatile digital advertising industry for 2022.</w:t>
      </w:r>
    </w:p>
    <w:p>
      <w:pPr>
        <w:spacing w:after="0" w:line="2" w:lineRule="exact"/>
        <w:rPr>
          <w:sz w:val="20"/>
          <w:szCs w:val="20"/>
          <w:color w:val="auto"/>
        </w:rPr>
      </w:pPr>
    </w:p>
    <w:p>
      <w:pPr>
        <w:jc w:val="both"/>
        <w:ind w:left="340" w:hanging="332"/>
        <w:spacing w:after="0" w:line="187"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losses/(gains), net have been adjusted out, except for amounts of US$819 thousand, US$663 thousand, US$3,742 thousand and US$2,075 thousand in relation to government grants for the three months ended September 30, 2022 and 2021 and for the nine months ended September 30, 2022</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2021, respectively.</w:t>
      </w:r>
    </w:p>
    <w:p>
      <w:pPr>
        <w:ind w:left="340" w:hanging="332"/>
        <w:spacing w:after="0" w:line="180" w:lineRule="auto"/>
        <w:tabs>
          <w:tab w:leader="none" w:pos="34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Convertible notes and shares issuance cost represents legal and professional fee for the issue of convertible notes and shares.</w:t>
      </w:r>
    </w:p>
    <w:p>
      <w:pPr>
        <w:ind w:left="340" w:hanging="332"/>
        <w:spacing w:after="0" w:line="180"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Net loss attributable to non-controlling interests has been adjusted back because the Company’s management regularly reviews EBITDA excluding</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non-controlling interests as a measure of its operational performance.</w:t>
      </w:r>
    </w:p>
    <w:p>
      <w:pPr>
        <w:spacing w:after="0" w:line="7" w:lineRule="exact"/>
        <w:rPr>
          <w:sz w:val="20"/>
          <w:szCs w:val="20"/>
          <w:color w:val="auto"/>
        </w:rPr>
      </w:pPr>
    </w:p>
    <w:p>
      <w:pPr>
        <w:jc w:val="both"/>
        <w:ind w:left="340" w:hanging="332"/>
        <w:spacing w:after="0" w:line="187"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entities.</w:t>
      </w:r>
    </w:p>
    <w:p>
      <w:pPr>
        <w:ind w:left="340" w:hanging="332"/>
        <w:spacing w:after="0" w:line="180" w:lineRule="auto"/>
        <w:tabs>
          <w:tab w:leader="none" w:pos="34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Cost related to new business setup or acquisitions represents transaction cost (e.g. legal and professional fee)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(loss)/income represents net loss before (i) share-based compensation, (ii) goodwill impairment, (iii) other losses/(gains), net, (iv) convertible notes and shares issuance cost, (v) net loss attributable to non-controlling interests, and (vi) share of losses from an equity investee, and (vii) cost related to new business setup or acquisitions. There is no material tax effects on these non-GAAP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(loss)/income from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12,270</w:t>
            </w:r>
          </w:p>
        </w:tc>
      </w:tr>
      <w:tr>
        <w:trPr>
          <w:trHeight w:val="256"/>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9"/>
                <w:szCs w:val="29"/>
                <w:color w:val="auto"/>
                <w:vertAlign w:val="superscript"/>
              </w:rPr>
              <w:t>4</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3,730</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28,675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losses/(gains), net</w:t>
            </w:r>
            <w:r>
              <w:rPr>
                <w:rFonts w:ascii="Times New Roman" w:cs="Times New Roman" w:eastAsia="Times New Roman" w:hAnsi="Times New Roman"/>
                <w:sz w:val="29"/>
                <w:szCs w:val="29"/>
                <w:color w:val="auto"/>
                <w:vertAlign w:val="superscript"/>
              </w:rPr>
              <w:t>5</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9,732</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Convertible notes and shares issuance cost</w:t>
            </w:r>
            <w:r>
              <w:rPr>
                <w:rFonts w:ascii="Times New Roman" w:cs="Times New Roman" w:eastAsia="Times New Roman" w:hAnsi="Times New Roman"/>
                <w:sz w:val="29"/>
                <w:szCs w:val="29"/>
                <w:color w:val="auto"/>
                <w:vertAlign w:val="superscript"/>
              </w:rPr>
              <w:t>6</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7</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22"/>
                <w:szCs w:val="22"/>
                <w:color w:val="auto"/>
              </w:rPr>
            </w:pP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 of losses from an equity investee</w:t>
            </w:r>
            <w:r>
              <w:rPr>
                <w:rFonts w:ascii="Times New Roman" w:cs="Times New Roman" w:eastAsia="Times New Roman" w:hAnsi="Times New Roman"/>
                <w:sz w:val="29"/>
                <w:szCs w:val="29"/>
                <w:color w:val="auto"/>
                <w:vertAlign w:val="superscript"/>
              </w:rPr>
              <w:t>8</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2"/>
                <w:szCs w:val="22"/>
                <w:color w:val="auto"/>
              </w:rPr>
            </w:pPr>
          </w:p>
        </w:tc>
      </w:tr>
      <w:tr>
        <w:trPr>
          <w:trHeight w:val="270"/>
        </w:trPr>
        <w:tc>
          <w:tcPr>
            <w:tcW w:w="55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Cost related to new business setup or acquisitions</w:t>
            </w:r>
            <w:r>
              <w:rPr>
                <w:rFonts w:ascii="Times New Roman" w:cs="Times New Roman" w:eastAsia="Times New Roman" w:hAnsi="Times New Roman"/>
                <w:sz w:val="29"/>
                <w:szCs w:val="29"/>
                <w:color w:val="auto"/>
                <w:vertAlign w:val="superscript"/>
              </w:rPr>
              <w:t>9</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3"/>
                <w:szCs w:val="23"/>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diluted adjusted net (loss)/income per ADS for the periods indicated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94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78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 to net loss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9,215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13,566</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net loss per ADS - Weighted average ADS outstanding</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101,274,236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97,110,704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100,561,336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95,924,233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adjusted net (loss)/income per ADS - Weighted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ADS outstanding</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101,274,236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102,437,548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100,561,336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101,251,077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ADS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(0.74)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0"/>
        </w:trPr>
        <w:tc>
          <w:tcPr>
            <w:tcW w:w="55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Non-GAAP adjustments to net loss per ADS</w:t>
            </w:r>
            <w:r>
              <w:rPr>
                <w:rFonts w:ascii="Times New Roman" w:cs="Times New Roman" w:eastAsia="Times New Roman" w:hAnsi="Times New Roman"/>
                <w:sz w:val="29"/>
                <w:szCs w:val="29"/>
                <w:color w:val="auto"/>
                <w:vertAlign w:val="superscript"/>
              </w:rPr>
              <w:t>2</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Diluted adjusted net (loss)/income per ADS</w:t>
            </w:r>
            <w:r>
              <w:rPr>
                <w:rFonts w:ascii="Times New Roman" w:cs="Times New Roman" w:eastAsia="Times New Roman" w:hAnsi="Times New Roman"/>
                <w:sz w:val="29"/>
                <w:szCs w:val="29"/>
                <w:color w:val="auto"/>
                <w:vertAlign w:val="superscript"/>
              </w:rPr>
              <w:t>2</w:t>
            </w: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20" w:type="dxa"/>
            <w:vAlign w:val="bottom"/>
            <w:vMerge w:val="continue"/>
            <w:shd w:val="clear" w:color="auto" w:fill="CCEEFF"/>
          </w:tcPr>
          <w:p>
            <w:pPr>
              <w:spacing w:after="0"/>
              <w:rPr>
                <w:sz w:val="22"/>
                <w:szCs w:val="22"/>
                <w:color w:val="auto"/>
              </w:rPr>
            </w:pP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7"/>
      <w:numFmt w:val="bullet"/>
      <w:start w:val="1"/>
    </w:lvl>
  </w:abstractNum>
  <w:abstractNum w:abstractNumId="10">
    <w:nsid w:val="1190CDE7"/>
    <w:multiLevelType w:val="hybridMultilevel"/>
    <w:lvl w:ilvl="0">
      <w:lvlJc w:val="left"/>
      <w:lvlText w:val="8"/>
      <w:numFmt w:val="bullet"/>
      <w:start w:val="1"/>
    </w:lvl>
  </w:abstractNum>
  <w:abstractNum w:abstractNumId="11">
    <w:nsid w:val="66EF438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2022-11-30T15:05:59Z</dcterms:created>
  <dcterms:modified xsi:type="dcterms:W3CDTF">2022-11-30T15:05:59Z</dcterms:modified>
</cp:coreProperties>
</file>