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20-F/A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REGISTRATION STATEMENT PURSUANT TO SECTION 12(b) OR 12(g) OF THE SECURITIES EXCHANGE ACT OF 1934</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900" w:right="2100" w:hanging="3892"/>
        <w:spacing w:after="0" w:line="477" w:lineRule="auto"/>
        <w:tabs>
          <w:tab w:leader="none" w:pos="34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2022.</w:t>
      </w:r>
    </w:p>
    <w:p>
      <w:pPr>
        <w:spacing w:after="0" w:line="41"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860"/>
        <w:spacing w:after="0"/>
        <w:tabs>
          <w:tab w:leader="none" w:pos="72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b w:val="1"/>
          <w:bCs w:val="1"/>
          <w:color w:val="auto"/>
        </w:rPr>
        <w:t>SHELL COMPANY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event requiring this shell company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001-38313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iClick Interactive Asia Group Limited</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Cayman Islands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(Jurisdiction of incorporation or organization)</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15/F</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Prosperity Millennia Plaza 663 King’s Road, Quarry Bay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Hong Kong S.A.R., People’s Republic of China Tel: +852 3700 9000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David Zhang, Chief Financial Officer</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15/F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Prosperity Millennia Plaza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663 King’s Road, Quarry Bay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Hong Kong S.A.R., People’s Republic of China Tel: +852 3700 9000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E-mail: david.zhang@i-click.com</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Telephone, E-mail and/or Facsimile number and Address of Company Contact Person)</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or to be registered pursuant to Section 12(b) of the Act:</w:t>
      </w:r>
    </w:p>
    <w:p>
      <w:pPr>
        <w:sectPr>
          <w:pgSz w:w="11900" w:h="16838" w:orient="portrait"/>
          <w:cols w:equalWidth="0" w:num="1">
            <w:col w:w="11240"/>
          </w:cols>
          <w:pgMar w:left="320" w:top="1026" w:right="339" w:bottom="0" w:gutter="0" w:footer="0" w:header="0"/>
        </w:sectPr>
      </w:pPr>
    </w:p>
    <w:p>
      <w:pPr>
        <w:spacing w:after="0" w:line="200" w:lineRule="exact"/>
        <w:rPr>
          <w:sz w:val="24"/>
          <w:szCs w:val="24"/>
          <w:color w:val="auto"/>
        </w:rPr>
      </w:pPr>
    </w:p>
    <w:p>
      <w:pPr>
        <w:spacing w:after="0" w:line="241"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Title of each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2087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08780" cy="8890"/>
                    </a:xfrm>
                    <a:prstGeom prst="rect">
                      <a:avLst/>
                    </a:prstGeom>
                    <a:noFill/>
                  </pic:spPr>
                </pic:pic>
              </a:graphicData>
            </a:graphic>
          </wp:anchor>
        </w:drawing>
      </w:r>
    </w:p>
    <w:p>
      <w:pPr>
        <w:spacing w:after="0" w:line="3" w:lineRule="exact"/>
        <w:rPr>
          <w:sz w:val="24"/>
          <w:szCs w:val="24"/>
          <w:color w:val="auto"/>
        </w:rPr>
      </w:pPr>
    </w:p>
    <w:p>
      <w:pPr>
        <w:ind w:left="220"/>
        <w:spacing w:after="0"/>
        <w:rPr>
          <w:sz w:val="20"/>
          <w:szCs w:val="20"/>
          <w:color w:val="auto"/>
        </w:rPr>
      </w:pPr>
      <w:r>
        <w:rPr>
          <w:rFonts w:ascii="Arial" w:cs="Arial" w:eastAsia="Arial" w:hAnsi="Arial"/>
          <w:sz w:val="16"/>
          <w:szCs w:val="16"/>
          <w:color w:val="auto"/>
        </w:rPr>
        <w:t>American Depositary Shares, one representing five Class A ordinary shares, par value</w:t>
      </w:r>
    </w:p>
    <w:p>
      <w:pPr>
        <w:spacing w:after="0" w:line="46" w:lineRule="exact"/>
        <w:rPr>
          <w:sz w:val="24"/>
          <w:szCs w:val="24"/>
          <w:color w:val="auto"/>
        </w:rPr>
      </w:pPr>
    </w:p>
    <w:p>
      <w:pPr>
        <w:jc w:val="center"/>
        <w:ind w:left="140"/>
        <w:spacing w:after="0"/>
        <w:rPr>
          <w:sz w:val="20"/>
          <w:szCs w:val="20"/>
          <w:color w:val="auto"/>
        </w:rPr>
      </w:pPr>
      <w:r>
        <w:rPr>
          <w:rFonts w:ascii="Arial" w:cs="Arial" w:eastAsia="Arial" w:hAnsi="Arial"/>
          <w:sz w:val="18"/>
          <w:szCs w:val="18"/>
          <w:color w:val="auto"/>
        </w:rPr>
        <w:t>US$0.001 per share*</w:t>
      </w:r>
    </w:p>
    <w:p>
      <w:pPr>
        <w:spacing w:after="0" w:line="9" w:lineRule="exact"/>
        <w:rPr>
          <w:sz w:val="24"/>
          <w:szCs w:val="24"/>
          <w:color w:val="auto"/>
        </w:rPr>
      </w:pPr>
    </w:p>
    <w:p>
      <w:pPr>
        <w:jc w:val="center"/>
        <w:ind w:left="140"/>
        <w:spacing w:after="0"/>
        <w:rPr>
          <w:sz w:val="20"/>
          <w:szCs w:val="20"/>
          <w:color w:val="auto"/>
        </w:rPr>
      </w:pPr>
      <w:r>
        <w:rPr>
          <w:rFonts w:ascii="Arial" w:cs="Arial" w:eastAsia="Arial" w:hAnsi="Arial"/>
          <w:sz w:val="16"/>
          <w:szCs w:val="16"/>
          <w:color w:val="auto"/>
        </w:rPr>
        <w:t>*Not for trading, but only in connection with the listing on the Nasdaq Global Market of</w:t>
      </w:r>
    </w:p>
    <w:p>
      <w:pPr>
        <w:spacing w:after="0" w:line="32" w:lineRule="exact"/>
        <w:rPr>
          <w:sz w:val="24"/>
          <w:szCs w:val="24"/>
          <w:color w:val="auto"/>
        </w:rPr>
      </w:pPr>
    </w:p>
    <w:p>
      <w:pPr>
        <w:jc w:val="center"/>
        <w:ind w:left="140"/>
        <w:spacing w:after="0"/>
        <w:rPr>
          <w:sz w:val="20"/>
          <w:szCs w:val="20"/>
          <w:color w:val="auto"/>
        </w:rPr>
      </w:pPr>
      <w:r>
        <w:rPr>
          <w:rFonts w:ascii="Arial" w:cs="Arial" w:eastAsia="Arial" w:hAnsi="Arial"/>
          <w:sz w:val="18"/>
          <w:szCs w:val="18"/>
          <w:color w:val="auto"/>
        </w:rPr>
        <w:t>American depositary shares.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or to be registered pursuant to Section 12(g) of the Act:</w:t>
      </w:r>
    </w:p>
    <w:p>
      <w:pPr>
        <w:spacing w:after="0" w:line="225" w:lineRule="exact"/>
        <w:rPr>
          <w:sz w:val="24"/>
          <w:szCs w:val="24"/>
          <w:color w:val="auto"/>
        </w:rPr>
      </w:pPr>
    </w:p>
    <w:p>
      <w:pPr>
        <w:jc w:val="center"/>
        <w:ind w:left="4740"/>
        <w:spacing w:after="0"/>
        <w:rPr>
          <w:sz w:val="20"/>
          <w:szCs w:val="20"/>
          <w:color w:val="auto"/>
        </w:rPr>
      </w:pPr>
      <w:r>
        <w:rPr>
          <w:rFonts w:ascii="Arial" w:cs="Arial" w:eastAsia="Arial" w:hAnsi="Arial"/>
          <w:sz w:val="18"/>
          <w:szCs w:val="18"/>
          <w:color w:val="auto"/>
        </w:rPr>
        <w:t>None</w:t>
      </w:r>
    </w:p>
    <w:p>
      <w:pPr>
        <w:spacing w:after="0" w:line="23" w:lineRule="exact"/>
        <w:rPr>
          <w:sz w:val="24"/>
          <w:szCs w:val="24"/>
          <w:color w:val="auto"/>
        </w:rPr>
      </w:pPr>
    </w:p>
    <w:p>
      <w:pPr>
        <w:jc w:val="center"/>
        <w:ind w:left="4740"/>
        <w:spacing w:after="0"/>
        <w:rPr>
          <w:sz w:val="20"/>
          <w:szCs w:val="20"/>
          <w:color w:val="auto"/>
        </w:rPr>
      </w:pPr>
      <w:r>
        <w:rPr>
          <w:rFonts w:ascii="Arial" w:cs="Arial" w:eastAsia="Arial" w:hAnsi="Arial"/>
          <w:sz w:val="18"/>
          <w:szCs w:val="18"/>
          <w:color w:val="auto"/>
        </w:rPr>
        <w:t>(Title of Class)</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Trading</w:t>
            </w:r>
          </w:p>
        </w:tc>
        <w:tc>
          <w:tcPr>
            <w:tcW w:w="3460" w:type="dxa"/>
            <w:vAlign w:val="bottom"/>
          </w:tcPr>
          <w:p>
            <w:pPr>
              <w:spacing w:after="0"/>
              <w:rPr>
                <w:sz w:val="18"/>
                <w:szCs w:val="18"/>
                <w:color w:val="auto"/>
              </w:rPr>
            </w:pPr>
          </w:p>
        </w:tc>
      </w:tr>
      <w:tr>
        <w:trPr>
          <w:trHeight w:val="230"/>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Symbol</w:t>
            </w:r>
          </w:p>
        </w:tc>
        <w:tc>
          <w:tcPr>
            <w:tcW w:w="12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318"/>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rPr>
              <w:t>ICLK</w:t>
            </w:r>
          </w:p>
        </w:tc>
        <w:tc>
          <w:tcPr>
            <w:tcW w:w="3460" w:type="dxa"/>
            <w:vAlign w:val="bottom"/>
          </w:tcPr>
          <w:p>
            <w:pPr>
              <w:jc w:val="center"/>
              <w:spacing w:after="0"/>
              <w:rPr>
                <w:sz w:val="20"/>
                <w:szCs w:val="20"/>
                <w:color w:val="auto"/>
              </w:rPr>
            </w:pPr>
            <w:r>
              <w:rPr>
                <w:rFonts w:ascii="Arial" w:cs="Arial" w:eastAsia="Arial" w:hAnsi="Arial"/>
                <w:sz w:val="18"/>
                <w:szCs w:val="18"/>
                <w:color w:val="auto"/>
                <w:w w:val="95"/>
              </w:rPr>
              <w:t>NASDAQ Global Market</w:t>
            </w:r>
          </w:p>
        </w:tc>
      </w:tr>
    </w:tbl>
    <w:p>
      <w:pPr>
        <w:spacing w:after="0" w:line="1810" w:lineRule="exact"/>
        <w:rPr>
          <w:sz w:val="24"/>
          <w:szCs w:val="24"/>
          <w:color w:val="auto"/>
        </w:rPr>
      </w:pPr>
    </w:p>
    <w:p>
      <w:pPr>
        <w:sectPr>
          <w:pgSz w:w="11900" w:h="16838" w:orient="portrait"/>
          <w:cols w:equalWidth="0" w:num="2">
            <w:col w:w="6500" w:space="260"/>
            <w:col w:w="4480"/>
          </w:cols>
          <w:pgMar w:left="320" w:top="1026" w:right="339" w:bottom="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Securities for which there is a reporting obligation pursuant to Section 15(d) of the Act: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w:t>
      </w:r>
    </w:p>
    <w:p>
      <w:pPr>
        <w:spacing w:after="0" w:line="211"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the number of outstanding shares of each of the Issuer’s classes of capital or common stock as of the close of the period covered by the annual report.</w:t>
      </w:r>
    </w:p>
    <w:p>
      <w:pPr>
        <w:sectPr>
          <w:pgSz w:w="11900" w:h="16838" w:orient="portrait"/>
          <w:cols w:equalWidth="0" w:num="1">
            <w:col w:w="11240"/>
          </w:cols>
          <w:pgMar w:left="320" w:top="1026" w:right="339" w:bottom="0" w:gutter="0" w:footer="0" w:header="0"/>
          <w:type w:val="continuous"/>
        </w:sectPr>
      </w:pPr>
    </w:p>
    <w:bookmarkStart w:id="1" w:name="page2"/>
    <w:bookmarkEnd w:id="1"/>
    <w:p>
      <w:pPr>
        <w:ind w:right="220"/>
        <w:spacing w:after="0" w:line="277" w:lineRule="auto"/>
        <w:rPr>
          <w:sz w:val="20"/>
          <w:szCs w:val="20"/>
          <w:color w:val="auto"/>
        </w:rPr>
      </w:pPr>
      <w:r>
        <w:rPr>
          <w:rFonts w:ascii="Arial" w:cs="Arial" w:eastAsia="Arial" w:hAnsi="Arial"/>
          <w:sz w:val="18"/>
          <w:szCs w:val="18"/>
          <w:color w:val="auto"/>
        </w:rPr>
        <w:t>As of December 31, 2022, there were 50,045,657 ordinary shares outstanding, par value $0.001 per share, being the sum of 45,011,230 Class A ordinary shares and 5,034,427 Class B ordinary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80" w:lineRule="exact"/>
        <w:rPr>
          <w:sz w:val="20"/>
          <w:szCs w:val="20"/>
          <w:color w:val="auto"/>
        </w:rPr>
      </w:pPr>
    </w:p>
    <w:p>
      <w:pPr>
        <w:ind w:left="5340" w:hanging="209"/>
        <w:spacing w:after="0" w:line="207" w:lineRule="exact"/>
        <w:tabs>
          <w:tab w:leader="none" w:pos="5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126" w:lineRule="exact"/>
        <w:rPr>
          <w:sz w:val="20"/>
          <w:szCs w:val="20"/>
          <w:color w:val="auto"/>
        </w:rPr>
      </w:pPr>
    </w:p>
    <w:p>
      <w:pPr>
        <w:ind w:left="5340" w:hanging="209"/>
        <w:spacing w:after="0" w:line="207" w:lineRule="exact"/>
        <w:tabs>
          <w:tab w:leader="none" w:pos="534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7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9" w:lineRule="exact"/>
        <w:rPr>
          <w:sz w:val="20"/>
          <w:szCs w:val="20"/>
          <w:color w:val="auto"/>
        </w:rPr>
      </w:pPr>
    </w:p>
    <w:p>
      <w:pPr>
        <w:ind w:left="5340" w:hanging="209"/>
        <w:spacing w:after="0" w:line="207" w:lineRule="exact"/>
        <w:tabs>
          <w:tab w:leader="none" w:pos="534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7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79" w:lineRule="exact"/>
        <w:rPr>
          <w:sz w:val="20"/>
          <w:szCs w:val="20"/>
          <w:color w:val="auto"/>
        </w:rPr>
      </w:pPr>
    </w:p>
    <w:p>
      <w:pPr>
        <w:ind w:left="5340" w:hanging="209"/>
        <w:spacing w:after="0" w:line="207" w:lineRule="exact"/>
        <w:tabs>
          <w:tab w:leader="none" w:pos="534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26" w:lineRule="exact"/>
        <w:rPr>
          <w:sz w:val="20"/>
          <w:szCs w:val="20"/>
          <w:color w:val="auto"/>
        </w:rPr>
      </w:pPr>
    </w:p>
    <w:p>
      <w:pPr>
        <w:ind w:left="420"/>
        <w:spacing w:after="0" w:line="207" w:lineRule="exact"/>
        <w:tabs>
          <w:tab w:leader="none" w:pos="3120" w:val="left"/>
          <w:tab w:leader="none" w:pos="5320" w:val="left"/>
          <w:tab w:leader="none" w:pos="82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70" w:lineRule="exact"/>
        <w:rPr>
          <w:sz w:val="20"/>
          <w:szCs w:val="20"/>
          <w:color w:val="auto"/>
        </w:rPr>
      </w:pPr>
    </w:p>
    <w:p>
      <w:pPr>
        <w:spacing w:after="0" w:line="230" w:lineRule="exact"/>
        <w:rPr>
          <w:sz w:val="20"/>
          <w:szCs w:val="20"/>
          <w:color w:val="auto"/>
        </w:rPr>
      </w:pPr>
      <w:r>
        <w:rPr>
          <w:rFonts w:ascii="Arial" w:cs="Arial" w:eastAsia="Arial" w:hAnsi="Arial"/>
          <w:sz w:val="18"/>
          <w:szCs w:val="18"/>
          <w:color w:val="auto"/>
        </w:rPr>
        <w:t xml:space="preserve">If an emerging growth company that prepare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6" w:lineRule="exact"/>
        <w:rPr>
          <w:sz w:val="20"/>
          <w:szCs w:val="20"/>
          <w:color w:val="auto"/>
        </w:rPr>
      </w:pPr>
    </w:p>
    <w:p>
      <w:pPr>
        <w:ind w:right="20"/>
        <w:spacing w:after="0" w:line="230"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6" w:lineRule="exact"/>
        <w:rPr>
          <w:sz w:val="20"/>
          <w:szCs w:val="20"/>
          <w:color w:val="auto"/>
        </w:rPr>
      </w:pPr>
    </w:p>
    <w:p>
      <w:pPr>
        <w:ind w:right="280"/>
        <w:spacing w:after="0" w:line="238"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4" w:lineRule="exact"/>
        <w:rPr>
          <w:sz w:val="20"/>
          <w:szCs w:val="20"/>
          <w:color w:val="auto"/>
        </w:rPr>
      </w:pPr>
    </w:p>
    <w:p>
      <w:pPr>
        <w:ind w:right="80"/>
        <w:spacing w:after="0" w:line="238"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pacing w:after="0" w:line="194"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30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U.S. GAAP </w:t>
            </w:r>
            <w:r>
              <w:rPr>
                <w:rFonts w:ascii="MS PGothic" w:cs="MS PGothic" w:eastAsia="MS PGothic" w:hAnsi="MS PGothic"/>
                <w:sz w:val="18"/>
                <w:szCs w:val="18"/>
                <w:color w:val="auto"/>
              </w:rPr>
              <w:t>☒</w:t>
            </w:r>
          </w:p>
        </w:tc>
        <w:tc>
          <w:tcPr>
            <w:tcW w:w="6260" w:type="dxa"/>
            <w:vAlign w:val="bottom"/>
          </w:tcPr>
          <w:p>
            <w:pPr>
              <w:jc w:val="center"/>
              <w:ind w:left="10"/>
              <w:spacing w:after="0"/>
              <w:rPr>
                <w:sz w:val="20"/>
                <w:szCs w:val="20"/>
                <w:color w:val="auto"/>
              </w:rPr>
            </w:pPr>
            <w:r>
              <w:rPr>
                <w:rFonts w:ascii="Arial" w:cs="Arial" w:eastAsia="Arial" w:hAnsi="Arial"/>
                <w:sz w:val="18"/>
                <w:szCs w:val="18"/>
                <w:color w:val="auto"/>
                <w:w w:val="89"/>
              </w:rPr>
              <w:t>International Financial Reporting Standards as issued</w:t>
            </w:r>
          </w:p>
        </w:tc>
        <w:tc>
          <w:tcPr>
            <w:tcW w:w="1760" w:type="dxa"/>
            <w:vAlign w:val="bottom"/>
            <w:vMerge w:val="restart"/>
          </w:tcPr>
          <w:p>
            <w:pPr>
              <w:ind w:left="1140"/>
              <w:spacing w:after="0" w:line="207" w:lineRule="exact"/>
              <w:rPr>
                <w:sz w:val="20"/>
                <w:szCs w:val="20"/>
                <w:color w:val="auto"/>
              </w:rPr>
            </w:pPr>
            <w:r>
              <w:rPr>
                <w:rFonts w:ascii="Arial" w:cs="Arial" w:eastAsia="Arial" w:hAnsi="Arial"/>
                <w:sz w:val="18"/>
                <w:szCs w:val="18"/>
                <w:color w:val="auto"/>
                <w:w w:val="88"/>
              </w:rPr>
              <w:t xml:space="preserve">Other </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90"/>
        </w:trPr>
        <w:tc>
          <w:tcPr>
            <w:tcW w:w="2300" w:type="dxa"/>
            <w:vAlign w:val="bottom"/>
            <w:vMerge w:val="continue"/>
          </w:tcPr>
          <w:p>
            <w:pPr>
              <w:spacing w:after="0"/>
              <w:rPr>
                <w:sz w:val="16"/>
                <w:szCs w:val="16"/>
                <w:color w:val="auto"/>
              </w:rPr>
            </w:pPr>
          </w:p>
        </w:tc>
        <w:tc>
          <w:tcPr>
            <w:tcW w:w="626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w w:val="91"/>
              </w:rPr>
              <w:t xml:space="preserve">by the International Accounting Standards Board </w:t>
            </w:r>
            <w:r>
              <w:rPr>
                <w:rFonts w:ascii="MS PGothic" w:cs="MS PGothic" w:eastAsia="MS PGothic" w:hAnsi="MS PGothic"/>
                <w:sz w:val="18"/>
                <w:szCs w:val="18"/>
                <w:color w:val="auto"/>
                <w:w w:val="91"/>
              </w:rPr>
              <w:t>☐</w:t>
            </w: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2300" w:type="dxa"/>
            <w:vAlign w:val="bottom"/>
          </w:tcPr>
          <w:p>
            <w:pPr>
              <w:spacing w:after="0"/>
              <w:rPr>
                <w:sz w:val="9"/>
                <w:szCs w:val="9"/>
                <w:color w:val="auto"/>
              </w:rPr>
            </w:pPr>
          </w:p>
        </w:tc>
        <w:tc>
          <w:tcPr>
            <w:tcW w:w="6260" w:type="dxa"/>
            <w:vAlign w:val="bottom"/>
            <w:vMerge w:val="continue"/>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If “Other” has been checked in response to the previous question, indicate by check mark which financial statement item the registrant has elected to follow.</w:t>
      </w:r>
    </w:p>
    <w:p>
      <w:pPr>
        <w:spacing w:after="0" w:line="126" w:lineRule="exact"/>
        <w:rPr>
          <w:sz w:val="20"/>
          <w:szCs w:val="20"/>
          <w:color w:val="auto"/>
        </w:rPr>
      </w:pPr>
    </w:p>
    <w:p>
      <w:pPr>
        <w:ind w:left="5020" w:hanging="203"/>
        <w:spacing w:after="0" w:line="207" w:lineRule="exact"/>
        <w:tabs>
          <w:tab w:leader="none" w:pos="502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 xml:space="preserve">Item 17 </w:t>
      </w:r>
      <w:r>
        <w:rPr>
          <w:rFonts w:ascii="MS PGothic" w:cs="MS PGothic" w:eastAsia="MS PGothic" w:hAnsi="MS PGothic"/>
          <w:sz w:val="18"/>
          <w:szCs w:val="18"/>
          <w:color w:val="auto"/>
        </w:rPr>
        <w:t>☐</w:t>
      </w:r>
      <w:r>
        <w:rPr>
          <w:rFonts w:ascii="Arial" w:cs="Arial" w:eastAsia="Arial" w:hAnsi="Arial"/>
          <w:sz w:val="18"/>
          <w:szCs w:val="18"/>
          <w:color w:val="auto"/>
        </w:rPr>
        <w:t xml:space="preserve"> Item 18</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180" w:lineRule="exact"/>
        <w:rPr>
          <w:sz w:val="20"/>
          <w:szCs w:val="20"/>
          <w:color w:val="auto"/>
        </w:rPr>
      </w:pPr>
    </w:p>
    <w:p>
      <w:pPr>
        <w:ind w:left="5340" w:hanging="209"/>
        <w:spacing w:after="0" w:line="207" w:lineRule="exact"/>
        <w:tabs>
          <w:tab w:leader="none" w:pos="534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(APPLICABLE ONLY TO ISSUERS INVOLVED IN BANKRUPTCY PROCEEDINGS DURING THE PAST FIVE YEARS)</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Indicate by check mark whether the registrant has filed all documents and reports required to be filed by Sections 12, 13 or 15(d) of the Securities Exchange Act of 1934 subsequent to the distribution of securities under a plan confirmed by a court.</w:t>
      </w:r>
    </w:p>
    <w:p>
      <w:pPr>
        <w:spacing w:after="0" w:line="126" w:lineRule="exact"/>
        <w:rPr>
          <w:sz w:val="20"/>
          <w:szCs w:val="20"/>
          <w:color w:val="auto"/>
        </w:rPr>
      </w:pPr>
    </w:p>
    <w:p>
      <w:pPr>
        <w:ind w:left="5340" w:hanging="209"/>
        <w:spacing w:after="0" w:line="207" w:lineRule="exact"/>
        <w:tabs>
          <w:tab w:leader="none" w:pos="5340"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70"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Of the 45,011,230 Class A ordinary shares as of December 31, 2022, (i) 1,093,585.5 were held by Arda Holdings Limited underlying the options granted but not yet exercised (whether or not they are vested) and the options reserved for issuance under our 2018 Share Incentive Plan, and (ii) 180,843.5 were held by JPMorgan Chase Bank N.A., our depositary, underlying the unvested restricted share units under our Post-IPO Plan.</w:t>
      </w:r>
    </w:p>
    <w:p>
      <w:pPr>
        <w:spacing w:after="0" w:line="16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This Amendment No. 1 on Form 20-F/A (the “Amendment”) amends the Annual Report on Form 20-F for the year ended December 31, 2022 of iClick Interactive Asia Group Limited (the “Company”), as originally filed with the U.S. Securities and Exchange Commission on May 11, 2023 (the “Original Filing”). The Company is filing the Amendment solely to amend and restate Item 16I “Disclosure Regarding Foreign Jurisdictions that Prevent Inspections” of the Original Filing in order to provide the disclosures required under Item 16I(b) of Form 20-F.</w:t>
      </w:r>
    </w:p>
    <w:p>
      <w:pPr>
        <w:spacing w:after="0" w:line="17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Except as described above, this Amendment does not update or modify any disclosures in the Original Filing or reflect any events occurring after the filing of the Original Filing. Accordingly, this Amendment should be read in conjunction with the Original Filing and the Company’s other filings with the SEC subsequent to May 11, 2023.</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required by Rule 12b-15 of the Securities and Exchange Act of 1934, as amended, the Company is filing the certifications required under Section 302 of the Sarbanes-Oxley Act of 2002 as exhibits to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16I. DISCLOSURE REGARDING FOREIGN JURISDICTIONS THAT PREVENT INSPECTIONS</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June 1, 2022, we were conclusively listed by the SEC as a Commission-Identified Issuer under the HFCA Act following the filing of our annual report for the fiscal year ended December 31, 2021. Our auditor, a registered public accounting firm that the PCAOB was not able to inspect or investigate completely in 2021 according to the PCAOB’s December 16, 2021 determinations, issued the audit report for us for the fiscal year ended December 31, 2021. On December 15, 2022, the PCAOB issued a report that vacated its December 16, 2021 determinations and removed mainland China and Hong Kong from the list of jurisdictions where it is unable to completely inspect or investigate the registered public accounting firms. For this reason, we do not expect to be identified as a Commission-Identified Issuer under the HFCA Act after we filed our annual report for the fiscal year ended December 31, 2022.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of this Amendment, to our best knowledge:</w:t>
      </w:r>
    </w:p>
    <w:p>
      <w:pPr>
        <w:spacing w:after="0" w:line="225"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other than the 8.0% equity interest in Anhui Myhayo Technology Co., Ltd. (a subsidiary of the VIE incorporated in mainland China) owned by Hefei</w:t>
      </w:r>
    </w:p>
    <w:p>
      <w:pPr>
        <w:spacing w:after="0" w:line="46" w:lineRule="exact"/>
        <w:rPr>
          <w:rFonts w:ascii="Arial" w:cs="Arial" w:eastAsia="Arial" w:hAnsi="Arial"/>
          <w:sz w:val="16"/>
          <w:szCs w:val="16"/>
          <w:color w:val="auto"/>
        </w:rPr>
      </w:pPr>
    </w:p>
    <w:p>
      <w:pPr>
        <w:ind w:right="20"/>
        <w:spacing w:after="0" w:line="323" w:lineRule="auto"/>
        <w:rPr>
          <w:rFonts w:ascii="Arial" w:cs="Arial" w:eastAsia="Arial" w:hAnsi="Arial"/>
          <w:sz w:val="16"/>
          <w:szCs w:val="16"/>
          <w:color w:val="auto"/>
        </w:rPr>
      </w:pPr>
      <w:r>
        <w:rPr>
          <w:rFonts w:ascii="Arial" w:cs="Arial" w:eastAsia="Arial" w:hAnsi="Arial"/>
          <w:sz w:val="16"/>
          <w:szCs w:val="16"/>
          <w:color w:val="auto"/>
        </w:rPr>
        <w:t>New Economy Industry Development Investment Co., Ltd. (a PRC state-owned enterprise), no governmental entities in the Cayman Islands, British Virgin Islands, Singapore, Hong Kong, or mainland China own shares of the Company or its consolidated foreign operating entities, including the VIE entities;</w:t>
      </w:r>
    </w:p>
    <w:p>
      <w:pPr>
        <w:spacing w:after="0" w:line="138" w:lineRule="exact"/>
        <w:rPr>
          <w:rFonts w:ascii="Arial" w:cs="Arial" w:eastAsia="Arial" w:hAnsi="Arial"/>
          <w:sz w:val="16"/>
          <w:szCs w:val="16"/>
          <w:color w:val="auto"/>
        </w:rPr>
      </w:pPr>
    </w:p>
    <w:p>
      <w:pPr>
        <w:ind w:right="580" w:firstLine="8"/>
        <w:spacing w:after="0" w:line="277" w:lineRule="auto"/>
        <w:tabs>
          <w:tab w:leader="none" w:pos="2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governmental entities in any foreign jurisdiction have a controlling financial interest with respect to the Company or its consolidated foreign operating entities, including the VIE entities; and</w:t>
      </w:r>
    </w:p>
    <w:p>
      <w:pPr>
        <w:spacing w:after="0" w:line="170" w:lineRule="exact"/>
        <w:rPr>
          <w:rFonts w:ascii="Arial" w:cs="Arial" w:eastAsia="Arial" w:hAnsi="Arial"/>
          <w:sz w:val="18"/>
          <w:szCs w:val="18"/>
          <w:color w:val="auto"/>
        </w:rPr>
      </w:pPr>
    </w:p>
    <w:p>
      <w:pPr>
        <w:ind w:right="20" w:firstLine="8"/>
        <w:spacing w:after="0" w:line="277" w:lineRule="auto"/>
        <w:tabs>
          <w:tab w:leader="none" w:pos="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none of the members of the board of directors of the Company or its consolidated foreign operating entities, including the VIE entities, is an official of the Chinese Communist Party.</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addition, none of the memorandum and articles of association (or equivalent organizing document) of the Company or its consolidated foreign operating entities, including the VIE entities, contains any charter of the Chinese Communist Party, including the text of any such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19.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Exhibit</w:t>
            </w:r>
          </w:p>
        </w:tc>
        <w:tc>
          <w:tcPr>
            <w:tcW w:w="34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34"/>
        </w:trPr>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4"/>
              </w:rPr>
              <w:t>Number</w:t>
            </w:r>
          </w:p>
        </w:tc>
        <w:tc>
          <w:tcPr>
            <w:tcW w:w="340" w:type="dxa"/>
            <w:vAlign w:val="bottom"/>
          </w:tcPr>
          <w:p>
            <w:pPr>
              <w:spacing w:after="0"/>
              <w:rPr>
                <w:sz w:val="20"/>
                <w:szCs w:val="20"/>
                <w:color w:val="auto"/>
              </w:rPr>
            </w:pPr>
          </w:p>
        </w:tc>
        <w:tc>
          <w:tcPr>
            <w:tcW w:w="10220" w:type="dxa"/>
            <w:vAlign w:val="bottom"/>
            <w:tcBorders>
              <w:bottom w:val="single" w:sz="8" w:color="auto"/>
            </w:tcBorders>
            <w:gridSpan w:val="3"/>
          </w:tcPr>
          <w:p>
            <w:pPr>
              <w:ind w:left="4160"/>
              <w:spacing w:after="0"/>
              <w:rPr>
                <w:sz w:val="20"/>
                <w:szCs w:val="20"/>
                <w:color w:val="auto"/>
              </w:rPr>
            </w:pPr>
            <w:r>
              <w:rPr>
                <w:rFonts w:ascii="Arial" w:cs="Arial" w:eastAsia="Arial" w:hAnsi="Arial"/>
                <w:sz w:val="18"/>
                <w:szCs w:val="18"/>
                <w:b w:val="1"/>
                <w:bCs w:val="1"/>
                <w:color w:val="auto"/>
              </w:rPr>
              <w:t>Description of Document</w:t>
            </w:r>
          </w:p>
        </w:tc>
      </w:tr>
      <w:tr>
        <w:trPr>
          <w:trHeight w:val="385"/>
        </w:trPr>
        <w:tc>
          <w:tcPr>
            <w:tcW w:w="3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5"/>
              </w:rPr>
              <w:t>12.</w:t>
            </w:r>
            <w:r>
              <w:rPr>
                <w:rFonts w:ascii="Arial" w:cs="Arial" w:eastAsia="Arial" w:hAnsi="Arial"/>
                <w:sz w:val="18"/>
                <w:szCs w:val="18"/>
                <w:u w:val="single" w:color="auto"/>
                <w:color w:val="0000EE"/>
                <w:w w:val="85"/>
              </w:rPr>
              <w:t>1</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CEO Certification Pursuant to Section 302 of the Sarbanes-Oxley Act of 2002</w:t>
            </w:r>
          </w:p>
        </w:tc>
        <w:tc>
          <w:tcPr>
            <w:tcW w:w="4580" w:type="dxa"/>
            <w:vAlign w:val="bottom"/>
          </w:tcPr>
          <w:p>
            <w:pPr>
              <w:spacing w:after="0"/>
              <w:rPr>
                <w:sz w:val="24"/>
                <w:szCs w:val="24"/>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0000EE"/>
                <w:w w:val="85"/>
              </w:rPr>
              <w:t>12.</w:t>
            </w:r>
            <w:r>
              <w:rPr>
                <w:rFonts w:ascii="Arial" w:cs="Arial" w:eastAsia="Arial" w:hAnsi="Arial"/>
                <w:sz w:val="18"/>
                <w:szCs w:val="18"/>
                <w:u w:val="single" w:color="auto"/>
                <w:color w:val="0000EE"/>
                <w:w w:val="85"/>
              </w:rPr>
              <w:t>2</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20" w:type="dxa"/>
            <w:vAlign w:val="bottom"/>
            <w:gridSpan w:val="3"/>
          </w:tcPr>
          <w:p>
            <w:pPr>
              <w:spacing w:after="0"/>
              <w:rPr>
                <w:sz w:val="20"/>
                <w:szCs w:val="20"/>
                <w:color w:val="auto"/>
              </w:rPr>
            </w:pPr>
            <w:r>
              <w:rPr>
                <w:rFonts w:ascii="Arial" w:cs="Arial" w:eastAsia="Arial" w:hAnsi="Arial"/>
                <w:sz w:val="18"/>
                <w:szCs w:val="18"/>
                <w:color w:val="0000EE"/>
              </w:rPr>
              <w:t>CFO Certification Pursuant to Section 302 of the Sarbanes-Oxley Act of 2002</w:t>
            </w:r>
          </w:p>
        </w:tc>
      </w:tr>
      <w:tr>
        <w:trPr>
          <w:trHeight w:val="20"/>
        </w:trPr>
        <w:tc>
          <w:tcPr>
            <w:tcW w:w="3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20" w:hanging="1012"/>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ind w:right="-5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this Amendment and that it has duly caused and authorized the undersigned to sign this Amendment on its behalf.</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Jian Tang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of the Board,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60"/>
          </w:cols>
          <w:pgMar w:left="320" w:top="904" w:right="91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Exhibit 12.1</w:t>
      </w:r>
    </w:p>
    <w:p>
      <w:pPr>
        <w:spacing w:after="0" w:line="221"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Certification by the Principal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Jian Tang, certify that:</w:t>
      </w:r>
    </w:p>
    <w:p>
      <w:pPr>
        <w:spacing w:after="0" w:line="225"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annual report on Form 20-F, as amended by Amendment No.1 thereto, of iClick Interactive Asia Group Limited;</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3" w:lineRule="exact"/>
        <w:rPr>
          <w:rFonts w:ascii="Arial" w:cs="Arial" w:eastAsia="Arial" w:hAnsi="Arial"/>
          <w:sz w:val="18"/>
          <w:szCs w:val="18"/>
          <w:color w:val="auto"/>
        </w:rPr>
      </w:pPr>
    </w:p>
    <w:p>
      <w:pPr>
        <w:ind w:left="1300" w:right="160" w:hanging="644"/>
        <w:spacing w:after="0" w:line="26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20" w:hanging="644"/>
        <w:spacing w:after="0" w:line="26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this annual report that has materially affected, or is reasonably likely to materially affect, the company’s internal control over financial reporting.</w:t>
      </w:r>
    </w:p>
    <w:p>
      <w:pPr>
        <w:spacing w:after="0" w:line="183"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6" w:lineRule="exact"/>
        <w:rPr>
          <w:rFonts w:ascii="Arial" w:cs="Arial" w:eastAsia="Arial" w:hAnsi="Arial"/>
          <w:sz w:val="17"/>
          <w:szCs w:val="17"/>
          <w:color w:val="auto"/>
        </w:rPr>
      </w:pPr>
    </w:p>
    <w:p>
      <w:pPr>
        <w:ind w:left="1300" w:right="460" w:hanging="644"/>
        <w:spacing w:after="0" w:line="342"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3" w:lineRule="exact"/>
        <w:rPr>
          <w:rFonts w:ascii="Arial" w:cs="Arial" w:eastAsia="Arial" w:hAnsi="Arial"/>
          <w:sz w:val="16"/>
          <w:szCs w:val="16"/>
          <w:color w:val="auto"/>
        </w:rPr>
      </w:pPr>
    </w:p>
    <w:p>
      <w:pPr>
        <w:ind w:left="1300" w:right="160" w:hanging="644"/>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October 31, 2023</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14605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Jian Tang</w:t>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Exhibit 12.2</w:t>
      </w:r>
    </w:p>
    <w:p>
      <w:pPr>
        <w:spacing w:after="0" w:line="221"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Certification by the Principal Financial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Zhang, certify that:</w:t>
      </w:r>
    </w:p>
    <w:p>
      <w:pPr>
        <w:spacing w:after="0" w:line="225"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annual report on Form 20-F, as amended by Amendment No.1 thereto, of iClick Interactive Asia Group Limited;</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3" w:lineRule="exact"/>
        <w:rPr>
          <w:rFonts w:ascii="Arial" w:cs="Arial" w:eastAsia="Arial" w:hAnsi="Arial"/>
          <w:sz w:val="18"/>
          <w:szCs w:val="18"/>
          <w:color w:val="auto"/>
        </w:rPr>
      </w:pPr>
    </w:p>
    <w:p>
      <w:pPr>
        <w:ind w:left="1300" w:right="160" w:hanging="644"/>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20" w:hanging="644"/>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w:t>
      </w:r>
    </w:p>
    <w:p>
      <w:pPr>
        <w:spacing w:after="0" w:line="183"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6" w:lineRule="exact"/>
        <w:rPr>
          <w:rFonts w:ascii="Arial" w:cs="Arial" w:eastAsia="Arial" w:hAnsi="Arial"/>
          <w:sz w:val="17"/>
          <w:szCs w:val="17"/>
          <w:color w:val="auto"/>
        </w:rPr>
      </w:pPr>
    </w:p>
    <w:p>
      <w:pPr>
        <w:ind w:left="1300" w:right="460" w:hanging="644"/>
        <w:spacing w:after="0" w:line="342"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3" w:lineRule="exact"/>
        <w:rPr>
          <w:rFonts w:ascii="Arial" w:cs="Arial" w:eastAsia="Arial" w:hAnsi="Arial"/>
          <w:sz w:val="16"/>
          <w:szCs w:val="16"/>
          <w:color w:val="auto"/>
        </w:rPr>
      </w:pPr>
    </w:p>
    <w:p>
      <w:pPr>
        <w:ind w:left="1300" w:right="160" w:hanging="644"/>
        <w:spacing w:after="0" w:line="277"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October 31, 2023</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14605</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David Zhang</w:t>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lowerRoman"/>
      <w:start w:val="1"/>
    </w:lvl>
  </w:abstractNum>
  <w:abstractNum w:abstractNumId="12">
    <w:nsid w:val="DED7263"/>
    <w:multiLevelType w:val="hybridMultilevel"/>
    <w:lvl w:ilvl="0">
      <w:lvlJc w:val="left"/>
      <w:lvlText w:val="%1."/>
      <w:numFmt w:val="decimal"/>
      <w:start w:val="104"/>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2023-10-31T05:17:13Z</dcterms:created>
  <dcterms:modified xsi:type="dcterms:W3CDTF">2023-10-31T05:17:13Z</dcterms:modified>
</cp:coreProperties>
</file>