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iClick Interactive Asia Group Limited</w:t>
      </w:r>
    </w:p>
    <w:p>
      <w:pPr>
        <w:ind w:left="3380"/>
        <w:spacing w:after="0" w:line="238" w:lineRule="auto"/>
        <w:rPr>
          <w:sz w:val="20"/>
          <w:szCs w:val="20"/>
          <w:color w:val="auto"/>
        </w:rPr>
      </w:pPr>
      <w:r>
        <w:rPr>
          <w:rFonts w:ascii="Courier New" w:cs="Courier New" w:eastAsia="Courier New" w:hAnsi="Courier New"/>
          <w:sz w:val="18"/>
          <w:szCs w:val="18"/>
          <w:color w:val="auto"/>
        </w:rPr>
        <w:t>(Amendement No.1)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Class A Common Shares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45113Y104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31 December 2021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420" w:right="7719" w:firstLine="9"/>
        <w:spacing w:after="0" w:line="547" w:lineRule="auto"/>
        <w:tabs>
          <w:tab w:leader="none" w:pos="105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4"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45113Y104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Baillie Gifford &amp; Co (Scottish partnership)</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rFonts w:ascii="Courier New" w:cs="Courier New" w:eastAsia="Courier New" w:hAnsi="Courier New"/>
          <w:sz w:val="16"/>
          <w:szCs w:val="16"/>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SCOTLAND UK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2840" w:type="dxa"/>
            <w:vAlign w:val="bottom"/>
          </w:tcPr>
          <w:p>
            <w:pPr>
              <w:ind w:left="220"/>
              <w:spacing w:after="0"/>
              <w:rPr>
                <w:sz w:val="20"/>
                <w:szCs w:val="20"/>
                <w:color w:val="auto"/>
              </w:rPr>
            </w:pPr>
            <w:r>
              <w:rPr>
                <w:rFonts w:ascii="Courier New" w:cs="Courier New" w:eastAsia="Courier New" w:hAnsi="Courier New"/>
                <w:sz w:val="18"/>
                <w:szCs w:val="18"/>
                <w:color w:val="auto"/>
              </w:rPr>
              <w:t>2,958,874</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by</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2,958,874</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bl>
    <w:p>
      <w:pPr>
        <w:sectPr>
          <w:pgSz w:w="11900" w:h="16848" w:orient="portrait"/>
          <w:cols w:equalWidth="0" w:num="1">
            <w:col w:w="10139"/>
          </w:cols>
          <w:pgMar w:left="320" w:top="244" w:right="1440" w:bottom="0" w:gutter="0" w:footer="0" w:header="0"/>
        </w:sectPr>
      </w:pPr>
    </w:p>
    <w:bookmarkStart w:id="1" w:name="page2"/>
    <w:bookmarkEnd w:id="1"/>
    <w:p>
      <w:pPr>
        <w:ind w:left="2120" w:hanging="322"/>
        <w:spacing w:after="0"/>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w:t>
      </w:r>
    </w:p>
    <w:p>
      <w:pPr>
        <w:spacing w:after="0" w:line="207" w:lineRule="exact"/>
        <w:rPr>
          <w:rFonts w:ascii="Courier New" w:cs="Courier New" w:eastAsia="Courier New" w:hAnsi="Courier New"/>
          <w:sz w:val="18"/>
          <w:szCs w:val="18"/>
          <w:color w:val="auto"/>
        </w:rPr>
      </w:pPr>
    </w:p>
    <w:p>
      <w:pPr>
        <w:ind w:left="5280" w:right="3499" w:hanging="5272"/>
        <w:spacing w:after="0" w:line="268" w:lineRule="auto"/>
        <w:tabs>
          <w:tab w:leader="none" w:pos="33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2,958,874</w:t>
      </w:r>
    </w:p>
    <w:p>
      <w:pPr>
        <w:ind w:right="3079"/>
        <w:spacing w:after="0" w:line="235" w:lineRule="auto"/>
        <w:rPr>
          <w:sz w:val="20"/>
          <w:szCs w:val="20"/>
          <w:color w:val="auto"/>
        </w:rPr>
      </w:pPr>
      <w:r>
        <w:rPr>
          <w:rFonts w:ascii="Courier New" w:cs="Courier New" w:eastAsia="Courier New" w:hAnsi="Courier New"/>
          <w:sz w:val="18"/>
          <w:szCs w:val="18"/>
          <w:color w:val="auto"/>
        </w:rPr>
        <w:t>(These are held as 5,917,747 American Depositary Shares (ADS) with two ADS representing one Class A common share).</w:t>
      </w:r>
    </w:p>
    <w:p>
      <w:pPr>
        <w:spacing w:after="0" w:line="208" w:lineRule="exact"/>
        <w:rPr>
          <w:sz w:val="20"/>
          <w:szCs w:val="20"/>
          <w:color w:val="auto"/>
        </w:rPr>
      </w:pPr>
    </w:p>
    <w:p>
      <w:pPr>
        <w:ind w:left="320" w:right="2979" w:hanging="312"/>
        <w:spacing w:after="0" w:line="235" w:lineRule="auto"/>
        <w:tabs>
          <w:tab w:leader="none" w:pos="4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6.99%</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w:t>
      </w:r>
    </w:p>
    <w:p>
      <w:pPr>
        <w:spacing w:after="0" w:line="201" w:lineRule="exact"/>
        <w:rPr>
          <w:sz w:val="20"/>
          <w:szCs w:val="20"/>
          <w:color w:val="auto"/>
        </w:rPr>
      </w:pPr>
    </w:p>
    <w:p>
      <w:pPr>
        <w:spacing w:after="0"/>
        <w:tabs>
          <w:tab w:leader="none" w:pos="714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640"/>
        <w:spacing w:after="0"/>
        <w:tabs>
          <w:tab w:leader="none" w:pos="3140" w:val="left"/>
        </w:tabs>
        <w:rPr>
          <w:sz w:val="20"/>
          <w:szCs w:val="20"/>
          <w:color w:val="auto"/>
        </w:rPr>
      </w:pPr>
      <w:r>
        <w:rPr>
          <w:rFonts w:ascii="Courier New" w:cs="Courier New" w:eastAsia="Courier New" w:hAnsi="Courier New"/>
          <w:sz w:val="18"/>
          <w:szCs w:val="18"/>
          <w:color w:val="auto"/>
        </w:rPr>
        <w:t>(a) Name of Issuer</w:t>
      </w:r>
      <w:r>
        <w:rPr>
          <w:sz w:val="20"/>
          <w:szCs w:val="20"/>
          <w:color w:val="auto"/>
        </w:rPr>
        <w:tab/>
      </w:r>
      <w:r>
        <w:rPr>
          <w:rFonts w:ascii="Courier New" w:cs="Courier New" w:eastAsia="Courier New" w:hAnsi="Courier New"/>
          <w:sz w:val="16"/>
          <w:szCs w:val="16"/>
          <w:color w:val="auto"/>
        </w:rPr>
        <w:t>iClick Interactive Asia Group Limited</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Address of Issuers Principal Executive Offices</w:t>
      </w:r>
    </w:p>
    <w:p>
      <w:pPr>
        <w:jc w:val="right"/>
        <w:ind w:right="1699"/>
        <w:spacing w:after="0" w:line="238" w:lineRule="auto"/>
        <w:rPr>
          <w:sz w:val="20"/>
          <w:szCs w:val="20"/>
          <w:color w:val="auto"/>
        </w:rPr>
      </w:pPr>
      <w:r>
        <w:rPr>
          <w:rFonts w:ascii="Courier New" w:cs="Courier New" w:eastAsia="Courier New" w:hAnsi="Courier New"/>
          <w:sz w:val="18"/>
          <w:szCs w:val="18"/>
          <w:color w:val="auto"/>
        </w:rPr>
        <w:t>15/F PROSPPERITY MILLENNIA PLAZA</w:t>
      </w:r>
    </w:p>
    <w:p>
      <w:pPr>
        <w:ind w:left="5060"/>
        <w:spacing w:after="0" w:line="238" w:lineRule="auto"/>
        <w:rPr>
          <w:sz w:val="20"/>
          <w:szCs w:val="20"/>
          <w:color w:val="auto"/>
        </w:rPr>
      </w:pPr>
      <w:r>
        <w:rPr>
          <w:rFonts w:ascii="Courier New" w:cs="Courier New" w:eastAsia="Courier New" w:hAnsi="Courier New"/>
          <w:sz w:val="18"/>
          <w:szCs w:val="18"/>
          <w:color w:val="auto"/>
        </w:rPr>
        <w:t>663 KING'S ROAD, QUARRAY BAY</w:t>
      </w:r>
    </w:p>
    <w:p>
      <w:pPr>
        <w:ind w:left="5060"/>
        <w:spacing w:after="0"/>
        <w:rPr>
          <w:sz w:val="20"/>
          <w:szCs w:val="20"/>
          <w:color w:val="auto"/>
        </w:rPr>
      </w:pPr>
      <w:r>
        <w:rPr>
          <w:rFonts w:ascii="Courier New" w:cs="Courier New" w:eastAsia="Courier New" w:hAnsi="Courier New"/>
          <w:sz w:val="18"/>
          <w:szCs w:val="18"/>
          <w:color w:val="auto"/>
        </w:rPr>
        <w:t>HONG KONG F4 00000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640"/>
        <w:spacing w:after="0"/>
        <w:tabs>
          <w:tab w:leader="none" w:pos="4940" w:val="left"/>
        </w:tabs>
        <w:rPr>
          <w:sz w:val="20"/>
          <w:szCs w:val="20"/>
          <w:color w:val="auto"/>
        </w:rPr>
      </w:pPr>
      <w:r>
        <w:rPr>
          <w:rFonts w:ascii="Courier New" w:cs="Courier New" w:eastAsia="Courier New" w:hAnsi="Courier New"/>
          <w:sz w:val="18"/>
          <w:szCs w:val="18"/>
          <w:color w:val="auto"/>
        </w:rPr>
        <w:t>(a) Name of Person Filing</w:t>
      </w:r>
      <w:r>
        <w:rPr>
          <w:sz w:val="20"/>
          <w:szCs w:val="20"/>
          <w:color w:val="auto"/>
        </w:rPr>
        <w:tab/>
      </w:r>
      <w:r>
        <w:rPr>
          <w:rFonts w:ascii="Courier New" w:cs="Courier New" w:eastAsia="Courier New" w:hAnsi="Courier New"/>
          <w:sz w:val="16"/>
          <w:szCs w:val="16"/>
          <w:color w:val="auto"/>
        </w:rPr>
        <w:t>Baillie Gifford &amp; Co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Address of Principal Business Office or, if none, Residence</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Calton Square</w:t>
      </w:r>
    </w:p>
    <w:p>
      <w:pPr>
        <w:ind w:left="4960"/>
        <w:spacing w:after="0" w:line="238" w:lineRule="auto"/>
        <w:rPr>
          <w:sz w:val="20"/>
          <w:szCs w:val="20"/>
          <w:color w:val="auto"/>
        </w:rPr>
      </w:pPr>
      <w:r>
        <w:rPr>
          <w:rFonts w:ascii="Courier New" w:cs="Courier New" w:eastAsia="Courier New" w:hAnsi="Courier New"/>
          <w:sz w:val="18"/>
          <w:szCs w:val="18"/>
          <w:color w:val="auto"/>
        </w:rPr>
        <w:t>1 Greenside Row</w:t>
      </w:r>
    </w:p>
    <w:p>
      <w:pPr>
        <w:ind w:left="4960"/>
        <w:spacing w:after="0" w:line="238" w:lineRule="auto"/>
        <w:rPr>
          <w:sz w:val="20"/>
          <w:szCs w:val="20"/>
          <w:color w:val="auto"/>
        </w:rPr>
      </w:pPr>
      <w:r>
        <w:rPr>
          <w:rFonts w:ascii="Courier New" w:cs="Courier New" w:eastAsia="Courier New" w:hAnsi="Courier New"/>
          <w:sz w:val="18"/>
          <w:szCs w:val="18"/>
          <w:color w:val="auto"/>
        </w:rPr>
        <w:t>Edinburgh EH1 3AN</w:t>
      </w:r>
    </w:p>
    <w:p>
      <w:pPr>
        <w:ind w:left="4960"/>
        <w:spacing w:after="0"/>
        <w:rPr>
          <w:sz w:val="20"/>
          <w:szCs w:val="20"/>
          <w:color w:val="auto"/>
        </w:rPr>
      </w:pPr>
      <w:r>
        <w:rPr>
          <w:rFonts w:ascii="Courier New" w:cs="Courier New" w:eastAsia="Courier New" w:hAnsi="Courier New"/>
          <w:sz w:val="18"/>
          <w:szCs w:val="18"/>
          <w:color w:val="auto"/>
        </w:rPr>
        <w:t>Scotland</w:t>
      </w:r>
    </w:p>
    <w:p>
      <w:pPr>
        <w:ind w:left="4960"/>
        <w:spacing w:after="0" w:line="237" w:lineRule="auto"/>
        <w:rPr>
          <w:sz w:val="20"/>
          <w:szCs w:val="20"/>
          <w:color w:val="auto"/>
        </w:rPr>
      </w:pPr>
      <w:r>
        <w:rPr>
          <w:rFonts w:ascii="Courier New" w:cs="Courier New" w:eastAsia="Courier New" w:hAnsi="Courier New"/>
          <w:sz w:val="18"/>
          <w:szCs w:val="18"/>
          <w:color w:val="auto"/>
        </w:rPr>
        <w:t>UK</w:t>
      </w:r>
    </w:p>
    <w:p>
      <w:pPr>
        <w:spacing w:after="0" w:line="201" w:lineRule="exact"/>
        <w:rPr>
          <w:sz w:val="20"/>
          <w:szCs w:val="20"/>
          <w:color w:val="auto"/>
        </w:rPr>
      </w:pPr>
    </w:p>
    <w:p>
      <w:pPr>
        <w:ind w:left="640"/>
        <w:spacing w:after="0"/>
        <w:tabs>
          <w:tab w:leader="none" w:pos="4940" w:val="left"/>
        </w:tabs>
        <w:rPr>
          <w:sz w:val="20"/>
          <w:szCs w:val="20"/>
          <w:color w:val="auto"/>
        </w:rPr>
      </w:pPr>
      <w:r>
        <w:rPr>
          <w:rFonts w:ascii="Courier New" w:cs="Courier New" w:eastAsia="Courier New" w:hAnsi="Courier New"/>
          <w:sz w:val="18"/>
          <w:szCs w:val="18"/>
          <w:color w:val="auto"/>
        </w:rPr>
        <w:t>(c) Citizenship</w:t>
      </w:r>
      <w:r>
        <w:rPr>
          <w:sz w:val="20"/>
          <w:szCs w:val="20"/>
          <w:color w:val="auto"/>
        </w:rPr>
        <w:tab/>
      </w:r>
      <w:r>
        <w:rPr>
          <w:rFonts w:ascii="Courier New" w:cs="Courier New" w:eastAsia="Courier New" w:hAnsi="Courier New"/>
          <w:sz w:val="16"/>
          <w:szCs w:val="16"/>
          <w:color w:val="auto"/>
        </w:rPr>
        <w:t>Scotland UK</w:t>
      </w:r>
    </w:p>
    <w:p>
      <w:pPr>
        <w:spacing w:after="0" w:line="201" w:lineRule="exact"/>
        <w:rPr>
          <w:sz w:val="20"/>
          <w:szCs w:val="20"/>
          <w:color w:val="auto"/>
        </w:rPr>
      </w:pPr>
    </w:p>
    <w:p>
      <w:pPr>
        <w:ind w:left="640"/>
        <w:spacing w:after="0"/>
        <w:tabs>
          <w:tab w:leader="none" w:pos="504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Class A Common Shares</w:t>
      </w:r>
    </w:p>
    <w:p>
      <w:pPr>
        <w:spacing w:after="0" w:line="201" w:lineRule="exact"/>
        <w:rPr>
          <w:sz w:val="20"/>
          <w:szCs w:val="20"/>
          <w:color w:val="auto"/>
        </w:rPr>
      </w:pPr>
    </w:p>
    <w:p>
      <w:pPr>
        <w:ind w:left="640"/>
        <w:spacing w:after="0"/>
        <w:tabs>
          <w:tab w:leader="none" w:pos="494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45113Y104</w:t>
      </w:r>
    </w:p>
    <w:p>
      <w:pPr>
        <w:spacing w:after="0" w:line="207" w:lineRule="exact"/>
        <w:rPr>
          <w:sz w:val="20"/>
          <w:szCs w:val="20"/>
          <w:color w:val="auto"/>
        </w:rPr>
      </w:pPr>
    </w:p>
    <w:p>
      <w:pPr>
        <w:ind w:right="307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240.13d-1(b) or 240.13d-2(b) or (c), check whether the person filing is a:</w:t>
      </w:r>
    </w:p>
    <w:p>
      <w:pPr>
        <w:spacing w:after="0" w:line="208" w:lineRule="exact"/>
        <w:rPr>
          <w:sz w:val="20"/>
          <w:szCs w:val="20"/>
          <w:color w:val="auto"/>
        </w:rPr>
      </w:pPr>
    </w:p>
    <w:p>
      <w:pPr>
        <w:ind w:left="640" w:right="3599" w:hanging="632"/>
        <w:spacing w:after="0" w:line="235" w:lineRule="auto"/>
        <w:tabs>
          <w:tab w:leader="none" w:pos="74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6" w:lineRule="exact"/>
        <w:rPr>
          <w:rFonts w:ascii="Courier New" w:cs="Courier New" w:eastAsia="Courier New" w:hAnsi="Courier New"/>
          <w:sz w:val="18"/>
          <w:szCs w:val="18"/>
          <w:color w:val="auto"/>
        </w:rPr>
      </w:pPr>
    </w:p>
    <w:p>
      <w:pPr>
        <w:ind w:left="640" w:right="3179" w:hanging="632"/>
        <w:spacing w:after="0" w:line="235" w:lineRule="auto"/>
        <w:tabs>
          <w:tab w:leader="none" w:pos="74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740" w:right="2759" w:hanging="732"/>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 rule 240.13d-</w:t>
      </w:r>
    </w:p>
    <w:p>
      <w:pPr>
        <w:ind w:left="740"/>
        <w:spacing w:after="0" w:line="238" w:lineRule="auto"/>
        <w:rPr>
          <w:sz w:val="20"/>
          <w:szCs w:val="20"/>
          <w:color w:val="auto"/>
        </w:rPr>
      </w:pPr>
      <w:r>
        <w:rPr>
          <w:rFonts w:ascii="Courier New" w:cs="Courier New" w:eastAsia="Courier New" w:hAnsi="Courier New"/>
          <w:sz w:val="18"/>
          <w:szCs w:val="18"/>
          <w:color w:val="auto"/>
        </w:rPr>
        <w:t>1(b)(1)(ii)(E)</w:t>
      </w:r>
    </w:p>
    <w:p>
      <w:pPr>
        <w:spacing w:after="0" w:line="207" w:lineRule="exact"/>
        <w:rPr>
          <w:sz w:val="20"/>
          <w:szCs w:val="20"/>
          <w:color w:val="auto"/>
        </w:rPr>
      </w:pPr>
    </w:p>
    <w:p>
      <w:pPr>
        <w:ind w:left="740" w:right="2979" w:hanging="732"/>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740" w:right="2979" w:hanging="732"/>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240.13d-1(b) (1)(ii)(G)</w:t>
      </w:r>
    </w:p>
    <w:p>
      <w:pPr>
        <w:spacing w:after="0" w:line="208" w:lineRule="exact"/>
        <w:rPr>
          <w:rFonts w:ascii="Courier New" w:cs="Courier New" w:eastAsia="Courier New" w:hAnsi="Courier New"/>
          <w:sz w:val="18"/>
          <w:szCs w:val="18"/>
          <w:color w:val="auto"/>
        </w:rPr>
      </w:pPr>
    </w:p>
    <w:p>
      <w:pPr>
        <w:ind w:left="740" w:right="2659" w:hanging="732"/>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(j) X</w:t>
      </w:r>
      <w:r>
        <w:rPr>
          <w:sz w:val="20"/>
          <w:szCs w:val="20"/>
          <w:color w:val="auto"/>
        </w:rPr>
        <w:tab/>
      </w:r>
      <w:r>
        <w:rPr>
          <w:rFonts w:ascii="Courier New" w:cs="Courier New" w:eastAsia="Courier New" w:hAnsi="Courier New"/>
          <w:sz w:val="16"/>
          <w:szCs w:val="16"/>
          <w:color w:val="auto"/>
        </w:rPr>
        <w:t>A non-U.S. institution in accordance with 240.13d-1(b)(1)(ii)(J);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238" w:lineRule="auto"/>
        <w:rPr>
          <w:sz w:val="20"/>
          <w:szCs w:val="20"/>
          <w:color w:val="auto"/>
        </w:rPr>
      </w:pPr>
      <w:r>
        <w:rPr>
          <w:rFonts w:ascii="Courier New" w:cs="Courier New" w:eastAsia="Courier New" w:hAnsi="Courier New"/>
          <w:sz w:val="18"/>
          <w:szCs w:val="18"/>
          <w:color w:val="auto"/>
        </w:rPr>
        <w:t>Group, in accordance with 240.13d-1(b)(1)(ii)(K). If filing as a non-U.S.</w:t>
      </w:r>
    </w:p>
    <w:p>
      <w:pPr>
        <w:ind w:left="740"/>
        <w:spacing w:after="0" w:line="238" w:lineRule="auto"/>
        <w:rPr>
          <w:sz w:val="20"/>
          <w:szCs w:val="20"/>
          <w:color w:val="auto"/>
        </w:rPr>
      </w:pPr>
      <w:r>
        <w:rPr>
          <w:rFonts w:ascii="Courier New" w:cs="Courier New" w:eastAsia="Courier New" w:hAnsi="Courier New"/>
          <w:sz w:val="18"/>
          <w:szCs w:val="18"/>
          <w:color w:val="auto"/>
        </w:rPr>
        <w:t>institution in accordance with 240.13d-1(b)(1)(ii)(J),</w:t>
      </w:r>
    </w:p>
    <w:p>
      <w:pPr>
        <w:ind w:left="860"/>
        <w:spacing w:after="0"/>
        <w:rPr>
          <w:sz w:val="20"/>
          <w:szCs w:val="20"/>
          <w:color w:val="auto"/>
        </w:rPr>
      </w:pPr>
      <w:r>
        <w:rPr>
          <w:rFonts w:ascii="Courier New" w:cs="Courier New" w:eastAsia="Courier New" w:hAnsi="Courier New"/>
          <w:sz w:val="18"/>
          <w:szCs w:val="18"/>
          <w:color w:val="auto"/>
        </w:rPr>
        <w:t>please specify the type of institution: ____</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ectPr>
          <w:pgSz w:w="11900" w:h="16838" w:orient="portrait"/>
          <w:cols w:equalWidth="0" w:num="1">
            <w:col w:w="10139"/>
          </w:cols>
          <w:pgMar w:left="320" w:top="136" w:right="1440" w:bottom="0" w:gutter="0" w:footer="0" w:header="0"/>
          <w:type w:val="continuous"/>
        </w:sectPr>
      </w:pPr>
    </w:p>
    <w:bookmarkStart w:id="2" w:name="page3"/>
    <w:bookmarkEnd w:id="2"/>
    <w:p>
      <w:pPr>
        <w:ind w:right="243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row (9) on page 2.</w:t>
      </w:r>
    </w:p>
    <w:p>
      <w:pPr>
        <w:spacing w:after="0" w:line="20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see row (11) on page 2.</w:t>
      </w:r>
    </w:p>
    <w:p>
      <w:pPr>
        <w:spacing w:after="0" w:line="201"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4" w:lineRule="exact"/>
        <w:rPr>
          <w:sz w:val="20"/>
          <w:szCs w:val="20"/>
          <w:color w:val="auto"/>
        </w:rPr>
      </w:pPr>
    </w:p>
    <w:p>
      <w:pPr>
        <w:ind w:left="640" w:right="5279" w:hanging="632"/>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row (5) on page 2.</w:t>
      </w:r>
    </w:p>
    <w:p>
      <w:pPr>
        <w:spacing w:after="0" w:line="5" w:lineRule="exact"/>
        <w:rPr>
          <w:rFonts w:ascii="Courier New" w:cs="Courier New" w:eastAsia="Courier New" w:hAnsi="Courier New"/>
          <w:sz w:val="18"/>
          <w:szCs w:val="18"/>
          <w:color w:val="auto"/>
        </w:rPr>
      </w:pPr>
    </w:p>
    <w:p>
      <w:pPr>
        <w:ind w:left="640" w:right="5079" w:hanging="632"/>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row (6) on page 2</w:t>
      </w:r>
    </w:p>
    <w:p>
      <w:pPr>
        <w:spacing w:after="0" w:line="5" w:lineRule="exact"/>
        <w:rPr>
          <w:rFonts w:ascii="Courier New" w:cs="Courier New" w:eastAsia="Courier New" w:hAnsi="Courier New"/>
          <w:sz w:val="18"/>
          <w:szCs w:val="18"/>
          <w:color w:val="auto"/>
        </w:rPr>
      </w:pPr>
    </w:p>
    <w:p>
      <w:pPr>
        <w:ind w:left="640" w:right="3919" w:hanging="632"/>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row (7) on page 2</w:t>
      </w:r>
    </w:p>
    <w:p>
      <w:pPr>
        <w:spacing w:after="0" w:line="5" w:lineRule="exact"/>
        <w:rPr>
          <w:rFonts w:ascii="Courier New" w:cs="Courier New" w:eastAsia="Courier New" w:hAnsi="Courier New"/>
          <w:sz w:val="18"/>
          <w:szCs w:val="18"/>
          <w:color w:val="auto"/>
        </w:rPr>
      </w:pPr>
    </w:p>
    <w:p>
      <w:pPr>
        <w:ind w:left="640" w:right="3699" w:hanging="632"/>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row (8) on page 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2439"/>
        <w:spacing w:after="0" w:line="237" w:lineRule="auto"/>
        <w:rPr>
          <w:sz w:val="20"/>
          <w:szCs w:val="20"/>
          <w:color w:val="auto"/>
        </w:rPr>
      </w:pPr>
      <w:r>
        <w:rPr>
          <w:rFonts w:ascii="Courier New" w:cs="Courier New" w:eastAsia="Courier New" w:hAnsi="Courier New"/>
          <w:sz w:val="18"/>
          <w:szCs w:val="18"/>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p>
      <w:pPr>
        <w:spacing w:after="0" w:line="200" w:lineRule="exact"/>
        <w:rPr>
          <w:sz w:val="20"/>
          <w:szCs w:val="20"/>
          <w:color w:val="auto"/>
        </w:rPr>
      </w:pPr>
    </w:p>
    <w:p>
      <w:pPr>
        <w:spacing w:after="0" w:line="213" w:lineRule="exact"/>
        <w:rPr>
          <w:sz w:val="20"/>
          <w:szCs w:val="20"/>
          <w:color w:val="auto"/>
        </w:rPr>
      </w:pPr>
    </w:p>
    <w:p>
      <w:pPr>
        <w:ind w:right="285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rPr>
          <w:sz w:val="20"/>
          <w:szCs w:val="20"/>
          <w:color w:val="auto"/>
        </w:rPr>
      </w:pPr>
      <w:r>
        <w:rPr>
          <w:rFonts w:ascii="Courier New" w:cs="Courier New" w:eastAsia="Courier New" w:hAnsi="Courier New"/>
          <w:sz w:val="18"/>
          <w:szCs w:val="18"/>
          <w:color w:val="auto"/>
        </w:rPr>
        <w:t>- the securities referred to above were acquired and are held in</w:t>
      </w:r>
    </w:p>
    <w:p>
      <w:pPr>
        <w:spacing w:after="0" w:line="4"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 w:lineRule="exact"/>
        <w:rPr>
          <w:sz w:val="20"/>
          <w:szCs w:val="20"/>
          <w:color w:val="auto"/>
        </w:rPr>
      </w:pPr>
    </w:p>
    <w:p>
      <w:pPr>
        <w:ind w:right="2979" w:firstLine="8"/>
        <w:spacing w:after="0" w:line="236" w:lineRule="auto"/>
        <w:tabs>
          <w:tab w:leader="none" w:pos="21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regulatory scheme applicable to investment advisers is substantially comparable to the functionally equivalent U.S. institution(s).</w:t>
      </w:r>
    </w:p>
    <w:p>
      <w:pPr>
        <w:spacing w:after="0" w:line="5" w:lineRule="exact"/>
        <w:rPr>
          <w:rFonts w:ascii="Courier New" w:cs="Courier New" w:eastAsia="Courier New" w:hAnsi="Courier New"/>
          <w:sz w:val="18"/>
          <w:szCs w:val="18"/>
          <w:color w:val="auto"/>
        </w:rPr>
      </w:pPr>
    </w:p>
    <w:p>
      <w:pPr>
        <w:ind w:right="33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also undertake to furnish the Commission staff, upon request, information that would otherwise be disclosed in a Schedule 13D.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enquiry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January 2022</w:t>
      </w:r>
    </w:p>
    <w:p>
      <w:pPr>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Meikle</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139"/>
          </w:cols>
          <w:pgMar w:left="320" w:top="3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Meikle</w:t>
      </w:r>
    </w:p>
    <w:p>
      <w:pPr>
        <w:spacing w:after="0" w:line="238" w:lineRule="auto"/>
        <w:rPr>
          <w:sz w:val="20"/>
          <w:szCs w:val="20"/>
          <w:color w:val="auto"/>
        </w:rPr>
      </w:pPr>
      <w:r>
        <w:rPr>
          <w:rFonts w:ascii="Courier New" w:cs="Courier New" w:eastAsia="Courier New" w:hAnsi="Courier New"/>
          <w:sz w:val="18"/>
          <w:szCs w:val="18"/>
          <w:color w:val="auto"/>
        </w:rPr>
        <w:t>Compliance Manager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statement shall be signed by each person on</w:t>
      </w:r>
    </w:p>
    <w:p>
      <w:pPr>
        <w:spacing w:after="0" w:line="4"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Schedules filed in paper format shall include a signed original</w:t>
      </w:r>
    </w:p>
    <w:p>
      <w:pPr>
        <w:spacing w:after="0" w:line="4"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and five copies of the schedule,including all exhibits. See rule 240.13d-7 for other parties for whom copies are to be sent.</w:t>
      </w:r>
    </w:p>
    <w:p>
      <w:pPr>
        <w:spacing w:after="0" w:line="208"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1"/>
    </w:lvl>
    <w:lvl w:ilvl="1">
      <w:lvlJc w:val="left"/>
      <w:lvlText w:val="%2."/>
      <w:numFmt w:val="decimal"/>
      <w:start w:val="8"/>
    </w:lvl>
  </w:abstractNum>
  <w:abstractNum w:abstractNumId="3">
    <w:nsid w:val="79E2A9E3"/>
    <w:multiLevelType w:val="hybridMultilevel"/>
    <w:lvl w:ilvl="0">
      <w:lvlJc w:val="left"/>
      <w:lvlText w:val="%1."/>
      <w:numFmt w:val="decimal"/>
      <w:start w:val="9"/>
    </w:lvl>
    <w:lvl w:ilvl="1">
      <w:lvlJc w:val="left"/>
      <w:lvlText w:val="%2"/>
      <w:numFmt w:val="decimal"/>
      <w:start w:val="1"/>
    </w:lvl>
  </w:abstractNum>
  <w:abstractNum w:abstractNumId="4">
    <w:nsid w:val="7545E146"/>
    <w:multiLevelType w:val="hybridMultilevel"/>
    <w:lvl w:ilvl="0">
      <w:lvlJc w:val="left"/>
      <w:lvlText w:val="%1."/>
      <w:numFmt w:val="decimal"/>
      <w:start w:val="10"/>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6"/>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2022-01-20T10:20:28Z</dcterms:created>
  <dcterms:modified xsi:type="dcterms:W3CDTF">2022-01-20T10:20:28Z</dcterms:modified>
</cp:coreProperties>
</file>