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iClick Interactive Asia Group Limited</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Ordinary Shares, par value of $0.001 per share</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5"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Chan Nai Hang</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18B, MG Tower, 133 Hoi Bun Road,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Kwun Tong, Kowloon, Hong Kong S.A.R.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+852 3700 9000</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6"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20"/>
          </w:cols>
          <w:pgMar w:left="440" w:top="511" w:right="5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G47048 106</w:t>
      </w:r>
    </w:p>
    <w:p>
      <w:pPr>
        <w:spacing w:after="0" w:line="266" w:lineRule="exact"/>
        <w:rPr>
          <w:sz w:val="20"/>
          <w:szCs w:val="20"/>
          <w:color w:val="auto"/>
        </w:rPr>
      </w:pP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64" w:right="474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Chan Nai Hang</w:t>
      </w: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-710565</wp:posOffset>
            </wp:positionV>
            <wp:extent cx="6926580" cy="6249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24903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right="6660" w:hanging="417"/>
        <w:spacing w:after="0" w:line="395" w:lineRule="auto"/>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Hong Kong S.A.R.</w:t>
      </w:r>
    </w:p>
    <w:p>
      <w:pPr>
        <w:spacing w:after="0" w:line="1" w:lineRule="exact"/>
        <w:rPr>
          <w:rFonts w:ascii="Times New Roman" w:cs="Times New Roman" w:eastAsia="Times New Roman" w:hAnsi="Times New Roman"/>
          <w:sz w:val="18"/>
          <w:szCs w:val="18"/>
          <w:color w:val="auto"/>
        </w:rPr>
      </w:pPr>
    </w:p>
    <w:p>
      <w:pPr>
        <w:ind w:left="2064" w:hanging="422"/>
        <w:spacing w:after="0"/>
        <w:tabs>
          <w:tab w:leader="none" w:pos="20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33"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186,440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8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80" w:type="dxa"/>
            <w:vAlign w:val="bottom"/>
            <w:vMerge w:val="continue"/>
          </w:tcPr>
          <w:p>
            <w:pPr>
              <w:spacing w:after="0"/>
              <w:rPr>
                <w:sz w:val="9"/>
                <w:szCs w:val="9"/>
                <w:color w:val="auto"/>
              </w:rPr>
            </w:pPr>
          </w:p>
        </w:tc>
        <w:tc>
          <w:tcPr>
            <w:tcW w:w="8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8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80" w:type="dxa"/>
            <w:vAlign w:val="bottom"/>
          </w:tcPr>
          <w:p>
            <w:pPr>
              <w:spacing w:after="0"/>
              <w:rPr>
                <w:sz w:val="18"/>
                <w:szCs w:val="18"/>
                <w:color w:val="auto"/>
              </w:rPr>
            </w:pP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xml:space="preserve">186,440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5"/>
        </w:trPr>
        <w:tc>
          <w:tcPr>
            <w:tcW w:w="12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WITH</w:t>
            </w:r>
          </w:p>
        </w:tc>
        <w:tc>
          <w:tcPr>
            <w:tcW w:w="480" w:type="dxa"/>
            <w:vAlign w:val="bottom"/>
          </w:tcPr>
          <w:p>
            <w:pPr>
              <w:spacing w:after="0"/>
              <w:rPr>
                <w:sz w:val="17"/>
                <w:szCs w:val="17"/>
                <w:color w:val="auto"/>
              </w:rPr>
            </w:pPr>
          </w:p>
        </w:tc>
        <w:tc>
          <w:tcPr>
            <w:tcW w:w="8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064" w:right="6400" w:hanging="512"/>
        <w:spacing w:after="0" w:line="395" w:lineRule="auto"/>
        <w:tabs>
          <w:tab w:leader="none" w:pos="206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4" w:right="3780" w:hanging="507"/>
        <w:spacing w:after="0" w:line="406" w:lineRule="auto"/>
        <w:tabs>
          <w:tab w:leader="none" w:pos="6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186,440</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8"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35"/>
          <w:szCs w:val="35"/>
          <w:color w:val="auto"/>
          <w:vertAlign w:val="subscript"/>
        </w:rPr>
        <w:t>.4%</w:t>
      </w:r>
      <w:r>
        <w:rPr>
          <w:rFonts w:ascii="Times New Roman" w:cs="Times New Roman" w:eastAsia="Times New Roman" w:hAnsi="Times New Roman"/>
          <w:sz w:val="13"/>
          <w:szCs w:val="13"/>
          <w:color w:val="auto"/>
        </w:rPr>
        <w:t>(2)</w:t>
      </w:r>
    </w:p>
    <w:p>
      <w:pPr>
        <w:spacing w:after="0" w:line="65"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186,440 Class A Ordinary Shares held by the Reporting Person. Does not include 4,500 Class A Ordinary Shares that are issuable upon vesting of restricted stock units held by the Reporting Person that cannot vest within 60 days.</w:t>
      </w:r>
    </w:p>
    <w:p>
      <w:pPr>
        <w:ind w:left="424" w:right="180" w:hanging="424"/>
        <w:spacing w:after="0" w:line="255"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44,477,356 Class A Ordinary Shares outstanding as of November 24, 2023, as specified in the Merger Agreement (as defined herein) filed by the Issuer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24, 2023.</w:t>
      </w:r>
    </w:p>
    <w:p>
      <w:pPr>
        <w:sectPr>
          <w:pgSz w:w="11900" w:h="16838" w:orient="portrait"/>
          <w:cols w:equalWidth="0" w:num="1">
            <w:col w:w="10984"/>
          </w:cols>
          <w:pgMar w:left="436" w:top="270"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 Security and Issuer.</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Schedule 13D (this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relates to Class A Ordinary Shares, par value of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par value of $0.001 per share (the “</w:t>
      </w:r>
      <w:r>
        <w:rPr>
          <w:rFonts w:ascii="Times New Roman" w:cs="Times New Roman" w:eastAsia="Times New Roman" w:hAnsi="Times New Roman"/>
          <w:sz w:val="18"/>
          <w:szCs w:val="18"/>
          <w:u w:val="single" w:color="auto"/>
          <w:color w:val="auto"/>
        </w:rPr>
        <w:t>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Issuer’s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(one representing five Class A Ordinary Shares) are listed on the NASDAQ Global Market under the symbol “ICLK.”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principal executive office is located at 15/F, Prosperity Millennia Plaza, 663 King’s Road, Quarry Bay, Hong Kong S.A.R.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(c), (f)</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Schedule 13D is being filed by Chan Nai Hang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and is being filed because the Reporting Person may be deemed to have a formed a “group” with certain other persons, as described in Item 4 herein.</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Reporting Person is the Group CEO for CMRS Digital Solutions Limited (“</w:t>
      </w:r>
      <w:r>
        <w:rPr>
          <w:rFonts w:ascii="Times New Roman" w:cs="Times New Roman" w:eastAsia="Times New Roman" w:hAnsi="Times New Roman"/>
          <w:sz w:val="18"/>
          <w:szCs w:val="18"/>
          <w:u w:val="single" w:color="auto"/>
          <w:color w:val="auto"/>
        </w:rPr>
        <w:t>CMRS</w:t>
      </w:r>
      <w:r>
        <w:rPr>
          <w:rFonts w:ascii="Times New Roman" w:cs="Times New Roman" w:eastAsia="Times New Roman" w:hAnsi="Times New Roman"/>
          <w:sz w:val="18"/>
          <w:szCs w:val="18"/>
          <w:color w:val="auto"/>
        </w:rPr>
        <w:t>”), a wholly-owned subsidiary of the Issuer that provides online advertising, SaaS products and services. The business address for the Reporting Person and CMRS is Unit B, 18/F, MG Tower, 133 Hoi Bun Road, Kwun Tong, Hong Kong S.A.R. The Reporting Person is a citizen of Hong Kong S.A.R.</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Except as expressly otherwise stated herein, the Reporting Person expressly disclaims beneficial ownership for all purposes of the Ordinary Shares (including Ordinary Shares represented by ADSs) beneficially owned by any other person (including any other Rollover Shareholder, as defined in Item 4). Information with respect to the Reporting Person is given solely by such Reporting Person, and the Reporting Person does not assume responsibility for the accuracy or completeness of the information concerning any other person.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 (e)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last five years the Reporting Person has not: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of this Schedule 13D is incorporated herein by reference in its entirety.</w:t>
      </w:r>
    </w:p>
    <w:p>
      <w:pPr>
        <w:sectPr>
          <w:pgSz w:w="11900" w:h="16838" w:orient="portrait"/>
          <w:cols w:equalWidth="0" w:num="1">
            <w:col w:w="10940"/>
          </w:cols>
          <w:pgMar w:left="440" w:top="266" w:right="51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 Purpose of Transaction.</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On November 24, 2023, the Issuer announced in a press release that it had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TSH Merger Sub Limited, an exempted company with limited liability incorporated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merge with and into the Issuer, with the Issuer continuing as the surviving company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the Reporting Person and the other shareholders party thereto (collectively with the Reporting Person,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executed a support agreement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pursuant to which, each of the Rollover Shareholders has agreed to, subject to the terms and conditions set forth therein and among other obligations, (i) the cancellation of the shares held by such Rollover Shareholders for no cash consideration, (ii) subscribe for newly issued ordinary shares of Parent immediately prior to the closing of the Merger, (iii) vote in favor of authorization and approval of the Merger Agreement and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including the Merger; and (iv) against any proposals or actions inconsistent or interfering with the Transactions.</w:t>
      </w:r>
    </w:p>
    <w:p>
      <w:pPr>
        <w:spacing w:after="0" w:line="18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purpose of the Transactions, including the Merger, is to acquire all of the shares of the Ordinary Shares held by shareholders of the Issuer other than the Rollover Shares. Following consummation of the Merger, the Issuer will become a wholly-owned subsidiary of the Parent. In addition, if the Merger is consummated, the Issuer will be privately-held by the other Rollover Shareholders and its ADSs will no longer be listed on the Nasdaq Global Market.</w:t>
      </w:r>
    </w:p>
    <w:p>
      <w:pPr>
        <w:spacing w:after="0" w:line="180"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information disclosed in this Item 4 does not purport to be complete and is qualified in its entirety by references to the Merger Agreement and the Support Agreement, a copy of each which is filed as Exhibits 99.1 and 99.2, respectively, and incorporated herein by reference in its entirety.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paragraph (a) – (c), (f) of Item 2 of this Schedule 13D is incorporated herein by reference in its entirety.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described above, the Reporting Person has no plans or proposals which relate to or would result in any of the actions specified in paragraphs</w:t>
      </w:r>
    </w:p>
    <w:p>
      <w:pPr>
        <w:spacing w:after="0" w:line="27" w:lineRule="exact"/>
        <w:rPr>
          <w:sz w:val="20"/>
          <w:szCs w:val="20"/>
          <w:color w:val="auto"/>
        </w:rPr>
      </w:pPr>
    </w:p>
    <w:p>
      <w:pPr>
        <w:ind w:left="4" w:right="200" w:hanging="4"/>
        <w:spacing w:after="0" w:line="255"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(j) of Item 4 of Schedule 13D. The Reporting Person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17" w:lineRule="exact"/>
        <w:rPr>
          <w:sz w:val="20"/>
          <w:szCs w:val="20"/>
          <w:color w:val="auto"/>
        </w:rPr>
      </w:pPr>
    </w:p>
    <w:p>
      <w:pPr>
        <w:ind w:left="4" w:right="260" w:hanging="4"/>
        <w:spacing w:after="0" w:line="286" w:lineRule="auto"/>
        <w:tabs>
          <w:tab w:leader="none" w:pos="259"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(b) </w:t>
      </w:r>
      <w:r>
        <w:rPr>
          <w:rFonts w:ascii="Times New Roman" w:cs="Times New Roman" w:eastAsia="Times New Roman" w:hAnsi="Times New Roman"/>
          <w:sz w:val="18"/>
          <w:szCs w:val="18"/>
          <w:color w:val="auto"/>
        </w:rPr>
        <w:t>The response of the Reporting Person to Rows (7) through (13), including the footnotes thereto, of the cover pages of this Schedule 13D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incorporated by reference in this Item 5.</w:t>
      </w:r>
    </w:p>
    <w:p>
      <w:pPr>
        <w:spacing w:after="0" w:line="159"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As a result of entering into the Support Agreement, the Reporting Person may be deemed to be the member of a “group” with the other Rollover Shareholders pursuant to Section 13(d) of the Exchange Act. However, the Reporting Person expressly disclaims beneficial ownership of the Ordinary Shares (including Ordinary Shares represented by ADSs) beneficially owned (or deemed to be beneficially owned) by any of the other Rollover Shareholders. Neither the filing of this Schedule 13D nor any of its contents shall be deemed to constitute an admission that the Reporting Person beneficially owns any Ordinary Shares (including Ordinary Shares represented by ADSs) that are beneficially owned (or deemed to be beneficially owned) by any of the other Rollover Shareholders.</w:t>
      </w:r>
    </w:p>
    <w:p>
      <w:pPr>
        <w:spacing w:after="0" w:line="187"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Collectively, the “group” may be deemed to beneficially own 17,589,131 Class A Ordinary Shares, comprised of an aggregate of (a) 13,107,568 Class A Ordinary Shares; (b) 4,385,078 Class A Ordinary Shares issuable upon the conversion of 4,385,078 Class B Ordinary Shares; and (c) 96,485 Class A Ordinary Shares issuable upon the exercise of options, held by the Rollover Shareholders. This total does not include 27,905 Class A Ordinary shares that are issuable upon the exercise of options and 164,990 Class A Ordinary Shares that are issuable upon vesting of</w:t>
      </w:r>
    </w:p>
    <w:p>
      <w:pPr>
        <w:sectPr>
          <w:pgSz w:w="11900" w:h="16838" w:orient="portrait"/>
          <w:cols w:equalWidth="0" w:num="1">
            <w:col w:w="10984"/>
          </w:cols>
          <w:pgMar w:left="436" w:top="266" w:right="479" w:bottom="1440" w:gutter="0" w:footer="0" w:header="0"/>
        </w:sectPr>
      </w:pPr>
    </w:p>
    <w:bookmarkStart w:id="4" w:name="page5"/>
    <w:bookmarkEnd w:id="4"/>
    <w:p>
      <w:pPr>
        <w:ind w:left="4" w:right="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units, held by the Rollover Shareholders, that cannot be exercised or vest, respectively, within 60 days. This represents approximately 36% of the total outstanding Class A Ordinary Shares, assuming that there is a total of 48,958,919 Class A Ordinary Shares outstanding, which includes:</w:t>
      </w:r>
    </w:p>
    <w:p>
      <w:pPr>
        <w:spacing w:after="0" w:line="1" w:lineRule="exact"/>
        <w:rPr>
          <w:sz w:val="20"/>
          <w:szCs w:val="20"/>
          <w:color w:val="auto"/>
        </w:rPr>
      </w:pPr>
    </w:p>
    <w:p>
      <w:pPr>
        <w:ind w:left="4" w:right="20" w:hanging="4"/>
        <w:spacing w:after="0" w:line="255"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44,477,356 Class A Ordinary Shares outstanding as of November 24, 2023, as specified in the Merger Agreement filed by the Issuer with the SEC on November 24, 2023; (ii) 4,385,078 Class A Ordinary Shares issuable upon the conversion of the Class B Ordinary Shares held by the Rollover Shareholders; and (iii) 96,485 Class A Ordinary Shares issuable upon the exercise of options held by the Rollover Shareholders.</w:t>
      </w:r>
    </w:p>
    <w:p>
      <w:pPr>
        <w:spacing w:after="0" w:line="186" w:lineRule="exact"/>
        <w:rPr>
          <w:sz w:val="20"/>
          <w:szCs w:val="20"/>
          <w:color w:val="auto"/>
        </w:rPr>
      </w:pPr>
    </w:p>
    <w:p>
      <w:pPr>
        <w:ind w:left="4" w:right="240" w:hanging="4"/>
        <w:spacing w:after="0" w:line="282" w:lineRule="auto"/>
        <w:tabs>
          <w:tab w:leader="none" w:pos="24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the Reporting Person has not effected any transaction in the Class A Ordinary Shares during the 60 days preceding the date hereof.</w:t>
      </w:r>
    </w:p>
    <w:p>
      <w:pPr>
        <w:spacing w:after="0" w:line="161" w:lineRule="exact"/>
        <w:rPr>
          <w:rFonts w:ascii="Times New Roman" w:cs="Times New Roman" w:eastAsia="Times New Roman" w:hAnsi="Times New Roman"/>
          <w:sz w:val="18"/>
          <w:szCs w:val="18"/>
          <w:b w:val="1"/>
          <w:bCs w:val="1"/>
          <w:color w:val="auto"/>
        </w:rPr>
      </w:pPr>
    </w:p>
    <w:p>
      <w:pPr>
        <w:ind w:left="4" w:right="340" w:hanging="4"/>
        <w:spacing w:after="0" w:line="282" w:lineRule="auto"/>
        <w:tabs>
          <w:tab w:leader="none" w:pos="269"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to the best knowledge of the Reporting Person, no other person has the right to receive or the power to direct the receipt of dividends from, or the proceeds from the sale of, the Class A Ordinary Shares beneficially owned by the Reporting Person.</w:t>
      </w:r>
    </w:p>
    <w:p>
      <w:pPr>
        <w:spacing w:after="0" w:line="161"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disclosure under Item 4 is incorporated herein by reference in its entirety.</w:t>
      </w:r>
    </w:p>
    <w:p>
      <w:pPr>
        <w:spacing w:after="0" w:line="225"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To the best knowledge of the Reporting Person, except as provided herein, there are no other contracts, arrangements, understandings or relationships (legal or otherwise) between the Reporting Person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2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5080</wp:posOffset>
            </wp:positionV>
            <wp:extent cx="64376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77" w:lineRule="exact"/>
        <w:rPr>
          <w:sz w:val="20"/>
          <w:szCs w:val="20"/>
          <w:color w:val="auto"/>
        </w:rPr>
      </w:pPr>
    </w:p>
    <w:p>
      <w:pPr>
        <w:ind w:left="884" w:hanging="876"/>
        <w:spacing w:after="0" w:line="266"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23">
        <w:r>
          <w:rPr>
            <w:rFonts w:ascii="Times New Roman" w:cs="Times New Roman" w:eastAsia="Times New Roman" w:hAnsi="Times New Roman"/>
            <w:sz w:val="18"/>
            <w:szCs w:val="18"/>
            <w:u w:val="single" w:color="auto"/>
            <w:color w:val="0000EE"/>
          </w:rPr>
          <w:t>Agreement and Plan of Merger, dated as of November 24, 2023, by and between TSH Investment Holding Limited, TSH Merger Sub</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Limited and iClick Interactive Asia Group Limited, incorporated herein by reference to Exhibit 99.2 to the Report on Form 6-K furnished by</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the Issuer to the SEC on November 24, 2023.</w:t>
        </w:r>
      </w:hyperlink>
    </w:p>
    <w:p>
      <w:pPr>
        <w:spacing w:after="0" w:line="68" w:lineRule="exact"/>
        <w:rPr>
          <w:rFonts w:ascii="Times New Roman" w:cs="Times New Roman" w:eastAsia="Times New Roman" w:hAnsi="Times New Roman"/>
          <w:sz w:val="18"/>
          <w:szCs w:val="18"/>
          <w:u w:val="single" w:color="auto"/>
          <w:color w:val="0000EE"/>
        </w:rPr>
      </w:pPr>
    </w:p>
    <w:p>
      <w:pPr>
        <w:ind w:left="884" w:right="220" w:hanging="876"/>
        <w:spacing w:after="0" w:line="277" w:lineRule="auto"/>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24">
        <w:r>
          <w:rPr>
            <w:rFonts w:ascii="Times New Roman" w:cs="Times New Roman" w:eastAsia="Times New Roman" w:hAnsi="Times New Roman"/>
            <w:sz w:val="17"/>
            <w:szCs w:val="17"/>
            <w:u w:val="single" w:color="auto"/>
            <w:color w:val="0000EE"/>
          </w:rPr>
          <w:t>Support Agreement, dated November 24, 2023, by and among TSH Investment Holding Limited, Igomax Inc., Jian Tang, Bubinga</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Holdings Limited, Wing Hong Sammy Hsieh, Marine Central Limited, Jianjun Huang, Creative Big Limited, Cheer Lead Global Limited,</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Huge Superpower Limited, Capable Excel Limited, Infinity Global Fund SPC, Integrated Asset Management (Asia) Limited, Chan Nai</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Hang, Likeable Limited, Tsang Hing Sze, Lau Ying Wai, Chik Yu Chung Roni, Tse Kok Yu Ryan, Imen Pang, Zhao Yong and Yang Xin,</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incorporated herein by reference to Exhibit 99.5 of the Schedule 13D/A furnished by the Sponsor to the SEC on November 27, 2023.</w:t>
        </w:r>
      </w:hyperlink>
    </w:p>
    <w:p>
      <w:pPr>
        <w:sectPr>
          <w:pgSz w:w="11900" w:h="16838" w:orient="portrait"/>
          <w:cols w:equalWidth="0" w:num="1">
            <w:col w:w="11024"/>
          </w:cols>
          <w:pgMar w:left="436" w:top="270" w:right="439" w:bottom="1440" w:gutter="0" w:footer="0" w:header="0"/>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 NAI HANG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Chan Nai 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3"/>
    </w:lvl>
    <w:lvl w:ilvl="1">
      <w:lvlJc w:val="left"/>
      <w:lvlText w:val="%2."/>
      <w:numFmt w:val="decimal"/>
      <w:start w:val="7"/>
    </w:lvl>
  </w:abstractNum>
  <w:abstractNum w:abstractNumId="2">
    <w:nsid w:val="507ED7A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2EB141F2"/>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41B71EF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3" Type="http://schemas.openxmlformats.org/officeDocument/2006/relationships/hyperlink" Target="http://www.sec.gov/Archives/edgar/data/1697818/000110465923120926/tm2331491d1_ex99-2.htm" TargetMode="External"/><Relationship Id="rId24" Type="http://schemas.openxmlformats.org/officeDocument/2006/relationships/hyperlink" Target="http://www.sec.gov/Archives/edgar/data/1697818/000121390023089945/ea189015ex99-5_icli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2023-12-04T15:47:59Z</dcterms:created>
  <dcterms:modified xsi:type="dcterms:W3CDTF">2023-12-04T15:47:59Z</dcterms:modified>
</cp:coreProperties>
</file>